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0"/>
        <w:ind w:left="298" w:right="50" w:firstLine="0"/>
        <w:jc w:val="center"/>
        <w:rPr>
          <w:b/>
          <w:sz w:val="22"/>
        </w:rPr>
      </w:pPr>
      <w:r>
        <w:rPr>
          <w:b/>
          <w:sz w:val="22"/>
        </w:rPr>
        <w:t>Minutes of the Meeting of the Working Group on Sterling Risk-Free Reference Rates</w:t>
      </w:r>
    </w:p>
    <w:p>
      <w:pPr>
        <w:pStyle w:val="Heading1"/>
        <w:spacing w:line="400" w:lineRule="auto" w:before="160"/>
        <w:ind w:left="4119" w:right="3874"/>
        <w:jc w:val="center"/>
      </w:pPr>
      <w:r>
        <w:rPr/>
        <w:t>Wednesday 18 March Bank of England</w:t>
      </w:r>
    </w:p>
    <w:p>
      <w:pPr>
        <w:spacing w:before="120"/>
        <w:ind w:left="298" w:right="7213" w:firstLine="0"/>
        <w:jc w:val="center"/>
        <w:rPr>
          <w:b/>
          <w:sz w:val="20"/>
        </w:rPr>
      </w:pPr>
      <w:r>
        <w:rPr>
          <w:b/>
          <w:sz w:val="20"/>
        </w:rPr>
        <w:t>Introduction and welcome</w:t>
      </w:r>
    </w:p>
    <w:p>
      <w:pPr>
        <w:pStyle w:val="BodyText"/>
        <w:spacing w:before="6"/>
        <w:rPr>
          <w:b/>
          <w:sz w:val="27"/>
        </w:rPr>
      </w:pPr>
    </w:p>
    <w:p>
      <w:pPr>
        <w:pStyle w:val="ListParagraph"/>
        <w:numPr>
          <w:ilvl w:val="0"/>
          <w:numId w:val="1"/>
        </w:numPr>
        <w:tabs>
          <w:tab w:pos="745" w:val="left" w:leader="none"/>
        </w:tabs>
        <w:spacing w:line="240" w:lineRule="auto" w:before="1" w:after="0"/>
        <w:ind w:left="744" w:right="0" w:hanging="428"/>
        <w:jc w:val="both"/>
        <w:rPr>
          <w:sz w:val="20"/>
        </w:rPr>
      </w:pPr>
      <w:r>
        <w:rPr>
          <w:sz w:val="20"/>
        </w:rPr>
        <w:t>Minouche Shafik welcomed attendees, and thanked them for participating in the</w:t>
      </w:r>
      <w:r>
        <w:rPr>
          <w:spacing w:val="-8"/>
          <w:sz w:val="20"/>
        </w:rPr>
        <w:t> </w:t>
      </w:r>
      <w:r>
        <w:rPr>
          <w:sz w:val="20"/>
        </w:rPr>
        <w:t>Group.</w:t>
      </w:r>
    </w:p>
    <w:p>
      <w:pPr>
        <w:pStyle w:val="BodyText"/>
        <w:spacing w:before="4"/>
        <w:rPr>
          <w:sz w:val="27"/>
        </w:rPr>
      </w:pPr>
    </w:p>
    <w:p>
      <w:pPr>
        <w:pStyle w:val="Heading1"/>
      </w:pPr>
      <w:r>
        <w:rPr/>
        <w:t>The global context for reference rate reform</w:t>
      </w:r>
    </w:p>
    <w:p>
      <w:pPr>
        <w:pStyle w:val="BodyText"/>
        <w:spacing w:before="4"/>
        <w:rPr>
          <w:b/>
          <w:sz w:val="27"/>
        </w:rPr>
      </w:pPr>
    </w:p>
    <w:p>
      <w:pPr>
        <w:pStyle w:val="ListParagraph"/>
        <w:numPr>
          <w:ilvl w:val="0"/>
          <w:numId w:val="1"/>
        </w:numPr>
        <w:tabs>
          <w:tab w:pos="745" w:val="left" w:leader="none"/>
        </w:tabs>
        <w:spacing w:line="360" w:lineRule="auto" w:before="0" w:after="0"/>
        <w:ind w:left="317" w:right="200" w:firstLine="0"/>
        <w:jc w:val="both"/>
        <w:rPr>
          <w:sz w:val="20"/>
        </w:rPr>
      </w:pPr>
      <w:r>
        <w:rPr>
          <w:sz w:val="20"/>
        </w:rPr>
        <w:t>Martin Wheatley (Financial Conduct Authority) outlined the conclusions of the recent Financial Stability Board</w:t>
      </w:r>
      <w:r>
        <w:rPr>
          <w:spacing w:val="-3"/>
          <w:sz w:val="20"/>
        </w:rPr>
        <w:t> </w:t>
      </w:r>
      <w:r>
        <w:rPr>
          <w:sz w:val="20"/>
        </w:rPr>
        <w:t>(FSB)</w:t>
      </w:r>
      <w:r>
        <w:rPr>
          <w:spacing w:val="-4"/>
          <w:sz w:val="20"/>
        </w:rPr>
        <w:t> </w:t>
      </w:r>
      <w:r>
        <w:rPr>
          <w:sz w:val="20"/>
        </w:rPr>
        <w:t>report</w:t>
      </w:r>
      <w:r>
        <w:rPr>
          <w:spacing w:val="-3"/>
          <w:sz w:val="20"/>
        </w:rPr>
        <w:t> </w:t>
      </w:r>
      <w:r>
        <w:rPr>
          <w:sz w:val="20"/>
        </w:rPr>
        <w:t>‘Reforming</w:t>
      </w:r>
      <w:r>
        <w:rPr>
          <w:spacing w:val="-4"/>
          <w:sz w:val="20"/>
        </w:rPr>
        <w:t> </w:t>
      </w:r>
      <w:r>
        <w:rPr>
          <w:sz w:val="20"/>
        </w:rPr>
        <w:t>Major</w:t>
      </w:r>
      <w:r>
        <w:rPr>
          <w:spacing w:val="-5"/>
          <w:sz w:val="20"/>
        </w:rPr>
        <w:t> </w:t>
      </w:r>
      <w:r>
        <w:rPr>
          <w:sz w:val="20"/>
        </w:rPr>
        <w:t>Interest</w:t>
      </w:r>
      <w:r>
        <w:rPr>
          <w:spacing w:val="-4"/>
          <w:sz w:val="20"/>
        </w:rPr>
        <w:t> </w:t>
      </w:r>
      <w:r>
        <w:rPr>
          <w:sz w:val="20"/>
        </w:rPr>
        <w:t>Rate</w:t>
      </w:r>
      <w:r>
        <w:rPr>
          <w:spacing w:val="-4"/>
          <w:sz w:val="20"/>
        </w:rPr>
        <w:t> </w:t>
      </w:r>
      <w:r>
        <w:rPr>
          <w:sz w:val="20"/>
        </w:rPr>
        <w:t>Benchmarks’,</w:t>
      </w:r>
      <w:r>
        <w:rPr>
          <w:spacing w:val="-5"/>
          <w:sz w:val="20"/>
        </w:rPr>
        <w:t> </w:t>
      </w:r>
      <w:r>
        <w:rPr>
          <w:sz w:val="20"/>
        </w:rPr>
        <w:t>which</w:t>
      </w:r>
      <w:r>
        <w:rPr>
          <w:spacing w:val="-5"/>
          <w:sz w:val="20"/>
        </w:rPr>
        <w:t> </w:t>
      </w:r>
      <w:r>
        <w:rPr>
          <w:sz w:val="20"/>
        </w:rPr>
        <w:t>provided</w:t>
      </w:r>
      <w:r>
        <w:rPr>
          <w:spacing w:val="-5"/>
          <w:sz w:val="20"/>
        </w:rPr>
        <w:t> </w:t>
      </w:r>
      <w:r>
        <w:rPr>
          <w:sz w:val="20"/>
        </w:rPr>
        <w:t>the</w:t>
      </w:r>
      <w:r>
        <w:rPr>
          <w:spacing w:val="-5"/>
          <w:sz w:val="20"/>
        </w:rPr>
        <w:t> </w:t>
      </w:r>
      <w:r>
        <w:rPr>
          <w:sz w:val="20"/>
        </w:rPr>
        <w:t>context</w:t>
      </w:r>
      <w:r>
        <w:rPr>
          <w:spacing w:val="-5"/>
          <w:sz w:val="20"/>
        </w:rPr>
        <w:t> </w:t>
      </w:r>
      <w:r>
        <w:rPr>
          <w:sz w:val="20"/>
        </w:rPr>
        <w:t>and</w:t>
      </w:r>
      <w:r>
        <w:rPr>
          <w:spacing w:val="-5"/>
          <w:sz w:val="20"/>
        </w:rPr>
        <w:t> </w:t>
      </w:r>
      <w:r>
        <w:rPr>
          <w:sz w:val="20"/>
        </w:rPr>
        <w:t>motivation for the establishment of the Working</w:t>
      </w:r>
      <w:r>
        <w:rPr>
          <w:spacing w:val="-8"/>
          <w:sz w:val="20"/>
        </w:rPr>
        <w:t> </w:t>
      </w:r>
      <w:r>
        <w:rPr>
          <w:sz w:val="20"/>
        </w:rPr>
        <w:t>Group.</w:t>
      </w:r>
    </w:p>
    <w:p>
      <w:pPr>
        <w:pStyle w:val="BodyText"/>
        <w:spacing w:before="3"/>
        <w:rPr>
          <w:sz w:val="17"/>
        </w:rPr>
      </w:pPr>
    </w:p>
    <w:p>
      <w:pPr>
        <w:pStyle w:val="ListParagraph"/>
        <w:numPr>
          <w:ilvl w:val="0"/>
          <w:numId w:val="1"/>
        </w:numPr>
        <w:tabs>
          <w:tab w:pos="745" w:val="left" w:leader="none"/>
        </w:tabs>
        <w:spacing w:line="360" w:lineRule="auto" w:before="0" w:after="0"/>
        <w:ind w:left="317" w:right="115" w:firstLine="0"/>
        <w:jc w:val="both"/>
        <w:rPr>
          <w:sz w:val="20"/>
        </w:rPr>
      </w:pPr>
      <w:r>
        <w:rPr>
          <w:sz w:val="20"/>
        </w:rPr>
        <w:t>David Bowman (Federal Reserve Board) summarised the ongoing parallel process underway in the US. The Federal Reserve Board and the Federal Reserve Bank of New York had jointly convened the Alternative Reference Rates Committee (ARRC), prompted by the FSB recommendations and the US Financial Stability Oversight Council</w:t>
      </w:r>
      <w:r>
        <w:rPr>
          <w:spacing w:val="-4"/>
          <w:sz w:val="20"/>
        </w:rPr>
        <w:t> </w:t>
      </w:r>
      <w:r>
        <w:rPr>
          <w:sz w:val="20"/>
        </w:rPr>
        <w:t>(FSOC).</w:t>
      </w:r>
    </w:p>
    <w:p>
      <w:pPr>
        <w:pStyle w:val="BodyText"/>
        <w:spacing w:before="5"/>
        <w:rPr>
          <w:sz w:val="17"/>
        </w:rPr>
      </w:pPr>
    </w:p>
    <w:p>
      <w:pPr>
        <w:pStyle w:val="Heading1"/>
      </w:pPr>
      <w:r>
        <w:rPr/>
        <w:t>The role of the Working Group on Sterling Risk-Free Reference Rates</w:t>
      </w:r>
    </w:p>
    <w:p>
      <w:pPr>
        <w:pStyle w:val="BodyText"/>
        <w:spacing w:before="4"/>
        <w:rPr>
          <w:b/>
          <w:sz w:val="27"/>
        </w:rPr>
      </w:pPr>
    </w:p>
    <w:p>
      <w:pPr>
        <w:pStyle w:val="ListParagraph"/>
        <w:numPr>
          <w:ilvl w:val="0"/>
          <w:numId w:val="1"/>
        </w:numPr>
        <w:tabs>
          <w:tab w:pos="744" w:val="left" w:leader="none"/>
          <w:tab w:pos="745" w:val="left" w:leader="none"/>
        </w:tabs>
        <w:spacing w:line="362" w:lineRule="auto" w:before="0" w:after="0"/>
        <w:ind w:left="317" w:right="315" w:firstLine="0"/>
        <w:jc w:val="left"/>
        <w:rPr>
          <w:sz w:val="20"/>
        </w:rPr>
      </w:pPr>
      <w:r>
        <w:rPr>
          <w:sz w:val="20"/>
        </w:rPr>
        <w:t>Chris Salmon outlined the objectives and structure of the Working Group, as described in its Terms</w:t>
      </w:r>
      <w:r>
        <w:rPr>
          <w:spacing w:val="-24"/>
          <w:sz w:val="20"/>
        </w:rPr>
        <w:t> </w:t>
      </w:r>
      <w:r>
        <w:rPr>
          <w:sz w:val="20"/>
        </w:rPr>
        <w:t>of Reference.</w:t>
      </w:r>
      <w:r>
        <w:rPr>
          <w:sz w:val="20"/>
          <w:vertAlign w:val="superscript"/>
        </w:rPr>
        <w:t>1,2</w:t>
      </w:r>
      <w:r>
        <w:rPr>
          <w:sz w:val="20"/>
          <w:vertAlign w:val="baseline"/>
        </w:rPr>
        <w:t> Members were invited to comment on the Terms of</w:t>
      </w:r>
      <w:r>
        <w:rPr>
          <w:spacing w:val="-3"/>
          <w:sz w:val="20"/>
          <w:vertAlign w:val="baseline"/>
        </w:rPr>
        <w:t> </w:t>
      </w:r>
      <w:r>
        <w:rPr>
          <w:sz w:val="20"/>
          <w:vertAlign w:val="baseline"/>
        </w:rPr>
        <w:t>Reference.</w:t>
      </w:r>
    </w:p>
    <w:p>
      <w:pPr>
        <w:pStyle w:val="ListParagraph"/>
        <w:numPr>
          <w:ilvl w:val="0"/>
          <w:numId w:val="1"/>
        </w:numPr>
        <w:tabs>
          <w:tab w:pos="744" w:val="left" w:leader="none"/>
          <w:tab w:pos="745" w:val="left" w:leader="none"/>
        </w:tabs>
        <w:spacing w:line="240" w:lineRule="auto" w:before="198" w:after="0"/>
        <w:ind w:left="744" w:right="0" w:hanging="428"/>
        <w:jc w:val="left"/>
        <w:rPr>
          <w:sz w:val="20"/>
        </w:rPr>
      </w:pPr>
      <w:r>
        <w:rPr>
          <w:sz w:val="20"/>
        </w:rPr>
        <w:t>In the absence of comments, the Terms of Reference were approved by the</w:t>
      </w:r>
      <w:r>
        <w:rPr>
          <w:spacing w:val="-7"/>
          <w:sz w:val="20"/>
        </w:rPr>
        <w:t> </w:t>
      </w:r>
      <w:r>
        <w:rPr>
          <w:sz w:val="20"/>
        </w:rPr>
        <w:t>Group.</w:t>
      </w:r>
    </w:p>
    <w:p>
      <w:pPr>
        <w:pStyle w:val="BodyText"/>
        <w:spacing w:before="2"/>
        <w:rPr>
          <w:sz w:val="27"/>
        </w:rPr>
      </w:pPr>
    </w:p>
    <w:p>
      <w:pPr>
        <w:pStyle w:val="Heading1"/>
      </w:pPr>
      <w:r>
        <w:rPr/>
        <w:t>Bank initial views on alternative RFRs and transition strategies</w:t>
      </w:r>
    </w:p>
    <w:p>
      <w:pPr>
        <w:pStyle w:val="BodyText"/>
        <w:spacing w:before="5"/>
        <w:rPr>
          <w:b/>
          <w:sz w:val="27"/>
        </w:rPr>
      </w:pPr>
    </w:p>
    <w:p>
      <w:pPr>
        <w:pStyle w:val="ListParagraph"/>
        <w:numPr>
          <w:ilvl w:val="0"/>
          <w:numId w:val="1"/>
        </w:numPr>
        <w:tabs>
          <w:tab w:pos="744" w:val="left" w:leader="none"/>
          <w:tab w:pos="745" w:val="left" w:leader="none"/>
        </w:tabs>
        <w:spacing w:line="362" w:lineRule="auto" w:before="0" w:after="0"/>
        <w:ind w:left="317" w:right="167" w:firstLine="0"/>
        <w:jc w:val="left"/>
        <w:rPr>
          <w:sz w:val="20"/>
        </w:rPr>
      </w:pPr>
      <w:r>
        <w:rPr>
          <w:sz w:val="20"/>
        </w:rPr>
        <w:t>Bank staff outlined five potential candidate near risk-free reference rates (RFR) that had been identified by the FSB or suggested by market</w:t>
      </w:r>
      <w:r>
        <w:rPr>
          <w:spacing w:val="-10"/>
          <w:sz w:val="20"/>
        </w:rPr>
        <w:t> </w:t>
      </w:r>
      <w:r>
        <w:rPr>
          <w:sz w:val="20"/>
        </w:rPr>
        <w:t>participants:</w:t>
      </w:r>
    </w:p>
    <w:p>
      <w:pPr>
        <w:pStyle w:val="ListParagraph"/>
        <w:numPr>
          <w:ilvl w:val="1"/>
          <w:numId w:val="1"/>
        </w:numPr>
        <w:tabs>
          <w:tab w:pos="1397" w:val="left" w:leader="none"/>
          <w:tab w:pos="1398" w:val="left" w:leader="none"/>
        </w:tabs>
        <w:spacing w:line="240" w:lineRule="auto" w:before="196" w:after="0"/>
        <w:ind w:left="1397" w:right="0" w:hanging="462"/>
        <w:jc w:val="left"/>
        <w:rPr>
          <w:sz w:val="20"/>
        </w:rPr>
      </w:pPr>
      <w:r>
        <w:rPr>
          <w:sz w:val="20"/>
        </w:rPr>
        <w:t>Bank of England Bank</w:t>
      </w:r>
      <w:r>
        <w:rPr>
          <w:spacing w:val="5"/>
          <w:sz w:val="20"/>
        </w:rPr>
        <w:t> </w:t>
      </w:r>
      <w:r>
        <w:rPr>
          <w:sz w:val="20"/>
        </w:rPr>
        <w:t>Rate;</w:t>
      </w:r>
    </w:p>
    <w:p>
      <w:pPr>
        <w:pStyle w:val="ListParagraph"/>
        <w:numPr>
          <w:ilvl w:val="1"/>
          <w:numId w:val="1"/>
        </w:numPr>
        <w:tabs>
          <w:tab w:pos="1397" w:val="left" w:leader="none"/>
          <w:tab w:pos="1398" w:val="left" w:leader="none"/>
        </w:tabs>
        <w:spacing w:line="240" w:lineRule="auto" w:before="116" w:after="0"/>
        <w:ind w:left="1397" w:right="0" w:hanging="505"/>
        <w:jc w:val="left"/>
        <w:rPr>
          <w:sz w:val="20"/>
        </w:rPr>
      </w:pPr>
      <w:r>
        <w:rPr>
          <w:sz w:val="20"/>
        </w:rPr>
        <w:t>Sterling Overnight Index Average (SONIA) – a measure of overnight unsecured</w:t>
      </w:r>
      <w:r>
        <w:rPr>
          <w:spacing w:val="-7"/>
          <w:sz w:val="20"/>
        </w:rPr>
        <w:t> </w:t>
      </w:r>
      <w:r>
        <w:rPr>
          <w:sz w:val="20"/>
        </w:rPr>
        <w:t>deposits;</w:t>
      </w:r>
    </w:p>
    <w:p>
      <w:pPr>
        <w:pStyle w:val="ListParagraph"/>
        <w:numPr>
          <w:ilvl w:val="1"/>
          <w:numId w:val="1"/>
        </w:numPr>
        <w:tabs>
          <w:tab w:pos="1397" w:val="left" w:leader="none"/>
          <w:tab w:pos="1398" w:val="left" w:leader="none"/>
        </w:tabs>
        <w:spacing w:line="240" w:lineRule="auto" w:before="115" w:after="0"/>
        <w:ind w:left="1397" w:right="0" w:hanging="551"/>
        <w:jc w:val="left"/>
        <w:rPr>
          <w:sz w:val="20"/>
        </w:rPr>
      </w:pPr>
      <w:r>
        <w:rPr>
          <w:sz w:val="20"/>
        </w:rPr>
        <w:t>An overnight secured (repo)</w:t>
      </w:r>
      <w:r>
        <w:rPr>
          <w:spacing w:val="-4"/>
          <w:sz w:val="20"/>
        </w:rPr>
        <w:t> </w:t>
      </w:r>
      <w:r>
        <w:rPr>
          <w:sz w:val="20"/>
        </w:rPr>
        <w:t>rate;</w:t>
      </w:r>
    </w:p>
    <w:p>
      <w:pPr>
        <w:pStyle w:val="ListParagraph"/>
        <w:numPr>
          <w:ilvl w:val="1"/>
          <w:numId w:val="1"/>
        </w:numPr>
        <w:tabs>
          <w:tab w:pos="1397" w:val="left" w:leader="none"/>
          <w:tab w:pos="1398" w:val="left" w:leader="none"/>
        </w:tabs>
        <w:spacing w:line="360" w:lineRule="auto" w:before="113" w:after="0"/>
        <w:ind w:left="1397" w:right="229" w:hanging="560"/>
        <w:jc w:val="left"/>
        <w:rPr>
          <w:sz w:val="20"/>
        </w:rPr>
      </w:pPr>
      <w:r>
        <w:rPr>
          <w:sz w:val="20"/>
        </w:rPr>
        <w:t>A weighted average of the rate on Bank of England reserves and overnight unsecured</w:t>
      </w:r>
      <w:r>
        <w:rPr>
          <w:spacing w:val="-27"/>
          <w:sz w:val="20"/>
        </w:rPr>
        <w:t> </w:t>
      </w:r>
      <w:r>
        <w:rPr>
          <w:sz w:val="20"/>
        </w:rPr>
        <w:t>deposits in private</w:t>
      </w:r>
      <w:r>
        <w:rPr>
          <w:spacing w:val="-2"/>
          <w:sz w:val="20"/>
        </w:rPr>
        <w:t> </w:t>
      </w:r>
      <w:r>
        <w:rPr>
          <w:sz w:val="20"/>
        </w:rPr>
        <w:t>markets;</w:t>
      </w:r>
    </w:p>
    <w:p>
      <w:pPr>
        <w:pStyle w:val="ListParagraph"/>
        <w:numPr>
          <w:ilvl w:val="1"/>
          <w:numId w:val="1"/>
        </w:numPr>
        <w:tabs>
          <w:tab w:pos="1394" w:val="left" w:leader="none"/>
          <w:tab w:pos="1395" w:val="left" w:leader="none"/>
        </w:tabs>
        <w:spacing w:line="240" w:lineRule="auto" w:before="4" w:after="0"/>
        <w:ind w:left="1394" w:right="0" w:hanging="514"/>
        <w:jc w:val="left"/>
        <w:rPr>
          <w:sz w:val="20"/>
        </w:rPr>
      </w:pPr>
      <w:r>
        <w:rPr>
          <w:sz w:val="20"/>
        </w:rPr>
        <w:t>A rate constructed from term overnight index swaps</w:t>
      </w:r>
      <w:r>
        <w:rPr>
          <w:spacing w:val="4"/>
          <w:sz w:val="20"/>
        </w:rPr>
        <w:t> </w:t>
      </w:r>
      <w:r>
        <w:rPr>
          <w:sz w:val="20"/>
        </w:rPr>
        <w:t>(OIS).</w:t>
      </w:r>
    </w:p>
    <w:p>
      <w:pPr>
        <w:pStyle w:val="BodyText"/>
        <w:spacing w:before="2"/>
        <w:rPr>
          <w:sz w:val="27"/>
        </w:rPr>
      </w:pPr>
    </w:p>
    <w:p>
      <w:pPr>
        <w:pStyle w:val="ListParagraph"/>
        <w:numPr>
          <w:ilvl w:val="0"/>
          <w:numId w:val="1"/>
        </w:numPr>
        <w:tabs>
          <w:tab w:pos="744" w:val="left" w:leader="none"/>
          <w:tab w:pos="745" w:val="left" w:leader="none"/>
        </w:tabs>
        <w:spacing w:line="360" w:lineRule="auto" w:before="0" w:after="0"/>
        <w:ind w:left="317" w:right="236" w:firstLine="0"/>
        <w:jc w:val="left"/>
        <w:rPr>
          <w:sz w:val="20"/>
        </w:rPr>
      </w:pPr>
      <w:r>
        <w:rPr>
          <w:sz w:val="20"/>
        </w:rPr>
        <w:t>The Bank noted that there were a number of issues that would need to be considered when</w:t>
      </w:r>
      <w:r>
        <w:rPr>
          <w:spacing w:val="-26"/>
          <w:sz w:val="20"/>
        </w:rPr>
        <w:t> </w:t>
      </w:r>
      <w:r>
        <w:rPr>
          <w:sz w:val="20"/>
        </w:rPr>
        <w:t>evaluating these potential RFRs. They included the volume of transactions underpinning the rate; the sustainability of the underlying market; the extent to which market infrastructure for the rate already existed; and the likely ease of transition from Libor to a new</w:t>
      </w:r>
      <w:r>
        <w:rPr>
          <w:spacing w:val="-4"/>
          <w:sz w:val="20"/>
        </w:rPr>
        <w:t> </w:t>
      </w:r>
      <w:r>
        <w:rPr>
          <w:sz w:val="20"/>
        </w:rPr>
        <w:t>RFR.</w:t>
      </w:r>
    </w:p>
    <w:p>
      <w:pPr>
        <w:pStyle w:val="BodyText"/>
      </w:pPr>
    </w:p>
    <w:p>
      <w:pPr>
        <w:pStyle w:val="BodyText"/>
      </w:pPr>
    </w:p>
    <w:p>
      <w:pPr>
        <w:pStyle w:val="BodyText"/>
      </w:pPr>
    </w:p>
    <w:p>
      <w:pPr>
        <w:pStyle w:val="BodyText"/>
      </w:pPr>
    </w:p>
    <w:p>
      <w:pPr>
        <w:pStyle w:val="BodyText"/>
        <w:spacing w:before="3"/>
        <w:rPr>
          <w:sz w:val="22"/>
        </w:rPr>
      </w:pPr>
      <w:r>
        <w:rPr/>
        <w:pict>
          <v:shape style="position:absolute;margin-left:63.863998pt;margin-top:15.154823pt;width:144.050pt;height:.1pt;mso-position-horizontal-relative:page;mso-position-vertical-relative:paragraph;z-index:-251658240;mso-wrap-distance-left:0;mso-wrap-distance-right:0" coordorigin="1277,303" coordsize="2881,0" path="m1277,303l4158,303e" filled="false" stroked="true" strokeweight=".72003pt" strokecolor="#000000">
            <v:path arrowok="t"/>
            <v:stroke dashstyle="solid"/>
            <w10:wrap type="topAndBottom"/>
          </v:shape>
        </w:pict>
      </w:r>
    </w:p>
    <w:p>
      <w:pPr>
        <w:spacing w:before="46"/>
        <w:ind w:left="317" w:right="3457" w:firstLine="0"/>
        <w:jc w:val="left"/>
        <w:rPr>
          <w:sz w:val="16"/>
        </w:rPr>
      </w:pPr>
      <w:r>
        <w:rPr>
          <w:position w:val="8"/>
          <w:sz w:val="10"/>
        </w:rPr>
        <w:t>1 </w:t>
      </w:r>
      <w:r>
        <w:rPr>
          <w:sz w:val="16"/>
        </w:rPr>
        <w:t>Chris Salmon’s remarks are available on the Bank’s website here: </w:t>
      </w:r>
      <w:hyperlink r:id="rId6">
        <w:r>
          <w:rPr>
            <w:color w:val="0000FF"/>
            <w:sz w:val="16"/>
            <w:u w:val="single" w:color="0000FF"/>
          </w:rPr>
          <w:t>http://www.bankofengland.co.uk/publications/Documents/speeches/2015/speech811.pdf</w:t>
        </w:r>
      </w:hyperlink>
    </w:p>
    <w:p>
      <w:pPr>
        <w:spacing w:before="35"/>
        <w:ind w:left="317" w:right="0" w:firstLine="0"/>
        <w:jc w:val="left"/>
        <w:rPr>
          <w:sz w:val="16"/>
        </w:rPr>
      </w:pPr>
      <w:r>
        <w:rPr>
          <w:position w:val="8"/>
          <w:sz w:val="10"/>
        </w:rPr>
        <w:t>2 </w:t>
      </w:r>
      <w:r>
        <w:rPr>
          <w:sz w:val="16"/>
        </w:rPr>
        <w:t>Terms of Reference available here: </w:t>
      </w:r>
      <w:hyperlink r:id="rId7">
        <w:r>
          <w:rPr>
            <w:color w:val="0000FF"/>
            <w:sz w:val="16"/>
            <w:u w:val="single" w:color="0000FF"/>
          </w:rPr>
          <w:t>http://www.bankofengland.co.uk/markets/Documents/sterlingoperations/rfr/tor.pdf</w:t>
        </w:r>
      </w:hyperlink>
    </w:p>
    <w:p>
      <w:pPr>
        <w:spacing w:after="0"/>
        <w:jc w:val="left"/>
        <w:rPr>
          <w:sz w:val="16"/>
        </w:rPr>
        <w:sectPr>
          <w:footerReference w:type="default" r:id="rId5"/>
          <w:type w:val="continuous"/>
          <w:pgSz w:w="11910" w:h="16840"/>
          <w:pgMar w:footer="707" w:top="900" w:bottom="900" w:left="960" w:right="920"/>
          <w:pgNumType w:start="1"/>
        </w:sectPr>
      </w:pPr>
    </w:p>
    <w:p>
      <w:pPr>
        <w:pStyle w:val="ListParagraph"/>
        <w:numPr>
          <w:ilvl w:val="0"/>
          <w:numId w:val="1"/>
        </w:numPr>
        <w:tabs>
          <w:tab w:pos="744" w:val="left" w:leader="none"/>
          <w:tab w:pos="745" w:val="left" w:leader="none"/>
        </w:tabs>
        <w:spacing w:line="360" w:lineRule="auto" w:before="72" w:after="0"/>
        <w:ind w:left="317" w:right="175" w:firstLine="0"/>
        <w:jc w:val="left"/>
        <w:rPr>
          <w:sz w:val="20"/>
        </w:rPr>
      </w:pPr>
      <w:r>
        <w:rPr>
          <w:sz w:val="20"/>
        </w:rPr>
        <w:t>It would also be important for the Group to consider how to ensure the robustness </w:t>
      </w:r>
      <w:r>
        <w:rPr>
          <w:spacing w:val="3"/>
          <w:sz w:val="20"/>
        </w:rPr>
        <w:t>of </w:t>
      </w:r>
      <w:r>
        <w:rPr>
          <w:sz w:val="20"/>
        </w:rPr>
        <w:t>financial</w:t>
      </w:r>
      <w:r>
        <w:rPr>
          <w:spacing w:val="-36"/>
          <w:sz w:val="20"/>
        </w:rPr>
        <w:t> </w:t>
      </w:r>
      <w:r>
        <w:rPr>
          <w:sz w:val="20"/>
        </w:rPr>
        <w:t>contracts in the event of a sudden unavailability of the RFR, or potential changes in market structure, in line with the IOSCO Principles for Financial</w:t>
      </w:r>
      <w:r>
        <w:rPr>
          <w:spacing w:val="-2"/>
          <w:sz w:val="20"/>
        </w:rPr>
        <w:t> </w:t>
      </w:r>
      <w:r>
        <w:rPr>
          <w:sz w:val="20"/>
        </w:rPr>
        <w:t>Benchmarks.</w:t>
      </w:r>
    </w:p>
    <w:p>
      <w:pPr>
        <w:pStyle w:val="BodyText"/>
        <w:spacing w:before="4"/>
        <w:rPr>
          <w:sz w:val="17"/>
        </w:rPr>
      </w:pPr>
    </w:p>
    <w:p>
      <w:pPr>
        <w:pStyle w:val="Heading1"/>
      </w:pPr>
      <w:r>
        <w:rPr/>
        <w:t>Working Group open discussion</w:t>
      </w:r>
    </w:p>
    <w:p>
      <w:pPr>
        <w:pStyle w:val="BodyText"/>
        <w:spacing w:before="6"/>
        <w:rPr>
          <w:b/>
          <w:sz w:val="27"/>
        </w:rPr>
      </w:pPr>
    </w:p>
    <w:p>
      <w:pPr>
        <w:pStyle w:val="ListParagraph"/>
        <w:numPr>
          <w:ilvl w:val="0"/>
          <w:numId w:val="1"/>
        </w:numPr>
        <w:tabs>
          <w:tab w:pos="744" w:val="left" w:leader="none"/>
          <w:tab w:pos="745" w:val="left" w:leader="none"/>
        </w:tabs>
        <w:spacing w:line="240" w:lineRule="auto" w:before="0" w:after="0"/>
        <w:ind w:left="744" w:right="0" w:hanging="428"/>
        <w:jc w:val="left"/>
        <w:rPr>
          <w:sz w:val="20"/>
        </w:rPr>
      </w:pPr>
      <w:r>
        <w:rPr>
          <w:sz w:val="20"/>
        </w:rPr>
        <w:t>There followed a wide-ranging exchange of initial views among group members, summarised</w:t>
      </w:r>
      <w:r>
        <w:rPr>
          <w:spacing w:val="-16"/>
          <w:sz w:val="20"/>
        </w:rPr>
        <w:t> </w:t>
      </w:r>
      <w:r>
        <w:rPr>
          <w:sz w:val="20"/>
        </w:rPr>
        <w:t>here.</w:t>
      </w:r>
    </w:p>
    <w:p>
      <w:pPr>
        <w:pStyle w:val="BodyText"/>
        <w:spacing w:before="2"/>
        <w:rPr>
          <w:sz w:val="27"/>
        </w:rPr>
      </w:pPr>
    </w:p>
    <w:p>
      <w:pPr>
        <w:spacing w:before="0"/>
        <w:ind w:left="317" w:right="0" w:firstLine="0"/>
        <w:jc w:val="left"/>
        <w:rPr>
          <w:i/>
          <w:sz w:val="20"/>
        </w:rPr>
      </w:pPr>
      <w:r>
        <w:rPr>
          <w:i/>
          <w:sz w:val="20"/>
        </w:rPr>
        <w:t>What importance should be placed on cross-currency coordination?</w:t>
      </w:r>
    </w:p>
    <w:p>
      <w:pPr>
        <w:pStyle w:val="BodyText"/>
        <w:spacing w:before="7"/>
        <w:rPr>
          <w:i/>
          <w:sz w:val="27"/>
        </w:rPr>
      </w:pPr>
    </w:p>
    <w:p>
      <w:pPr>
        <w:pStyle w:val="ListParagraph"/>
        <w:numPr>
          <w:ilvl w:val="0"/>
          <w:numId w:val="1"/>
        </w:numPr>
        <w:tabs>
          <w:tab w:pos="744" w:val="left" w:leader="none"/>
          <w:tab w:pos="745" w:val="left" w:leader="none"/>
        </w:tabs>
        <w:spacing w:line="360" w:lineRule="auto" w:before="0" w:after="0"/>
        <w:ind w:left="317" w:right="213" w:firstLine="0"/>
        <w:jc w:val="left"/>
        <w:rPr>
          <w:sz w:val="20"/>
        </w:rPr>
      </w:pPr>
      <w:r>
        <w:rPr>
          <w:sz w:val="20"/>
        </w:rPr>
        <w:t>The Group considered the extent to which RFR choice should be coordinated across currencies. For example, would it be problematic for cross-currency basis swap markets if some RFRs were secured rates and some were unsecured? These issues would need to be thought through in detail. There was a suggestion that the Group could delay making its decision until after the US ARRC had chosen its preferred rate.</w:t>
      </w:r>
    </w:p>
    <w:p>
      <w:pPr>
        <w:pStyle w:val="BodyText"/>
        <w:spacing w:before="5"/>
        <w:rPr>
          <w:sz w:val="17"/>
        </w:rPr>
      </w:pPr>
    </w:p>
    <w:p>
      <w:pPr>
        <w:spacing w:before="0"/>
        <w:ind w:left="317" w:right="0" w:firstLine="0"/>
        <w:jc w:val="left"/>
        <w:rPr>
          <w:i/>
          <w:sz w:val="20"/>
        </w:rPr>
      </w:pPr>
      <w:r>
        <w:rPr>
          <w:i/>
          <w:sz w:val="20"/>
        </w:rPr>
        <w:t>Initial discussion of the RFR options</w:t>
      </w:r>
    </w:p>
    <w:p>
      <w:pPr>
        <w:pStyle w:val="BodyText"/>
        <w:spacing w:before="4"/>
        <w:rPr>
          <w:i/>
          <w:sz w:val="27"/>
        </w:rPr>
      </w:pPr>
    </w:p>
    <w:p>
      <w:pPr>
        <w:pStyle w:val="ListParagraph"/>
        <w:numPr>
          <w:ilvl w:val="0"/>
          <w:numId w:val="1"/>
        </w:numPr>
        <w:tabs>
          <w:tab w:pos="744" w:val="left" w:leader="none"/>
          <w:tab w:pos="745" w:val="left" w:leader="none"/>
        </w:tabs>
        <w:spacing w:line="360" w:lineRule="auto" w:before="1" w:after="0"/>
        <w:ind w:left="317" w:right="223" w:firstLine="0"/>
        <w:jc w:val="left"/>
        <w:rPr>
          <w:sz w:val="20"/>
        </w:rPr>
      </w:pPr>
      <w:r>
        <w:rPr>
          <w:sz w:val="20"/>
        </w:rPr>
        <w:t>The relatively low transactions volumes underpinning the SONIA benchmark were noted by the Group. In that context participants welcomed the Bank’s initiative to collect data from banks to support a broader overnight unsecured benchmark – a reformed SONIA – including bilateral as well as brokered transactions. It would be important for the level and volatility of the proposed new rate to be as similar as possible to the existing rate. However, there was some residual concern about the possibility that the downward trend in unsecured volumes over recent years might continue.</w:t>
      </w:r>
    </w:p>
    <w:p>
      <w:pPr>
        <w:pStyle w:val="BodyText"/>
        <w:spacing w:before="2"/>
        <w:rPr>
          <w:sz w:val="17"/>
        </w:rPr>
      </w:pPr>
    </w:p>
    <w:p>
      <w:pPr>
        <w:pStyle w:val="ListParagraph"/>
        <w:numPr>
          <w:ilvl w:val="0"/>
          <w:numId w:val="1"/>
        </w:numPr>
        <w:tabs>
          <w:tab w:pos="744" w:val="left" w:leader="none"/>
          <w:tab w:pos="745" w:val="left" w:leader="none"/>
        </w:tabs>
        <w:spacing w:line="360" w:lineRule="auto" w:before="0" w:after="0"/>
        <w:ind w:left="317" w:right="98" w:firstLine="0"/>
        <w:jc w:val="left"/>
        <w:rPr>
          <w:sz w:val="20"/>
        </w:rPr>
      </w:pPr>
      <w:r>
        <w:rPr>
          <w:sz w:val="20"/>
        </w:rPr>
        <w:t>In contrast most participants expected volumes in general collateral (GC) repo markets to be robust over the medium-term. It would be important to work through the impact of regulatory initiatives on this market. While some regulations encouraged the increased use of funding via the secured market, the role of the Leverage Ratio could be to reduce overnight repo volumes, and both the Liquidity Coverage Ratio and Net Stable Funding Ratio encouraged banks to reduce their reliance on overnight funding, and increase term funding.</w:t>
      </w:r>
    </w:p>
    <w:p>
      <w:pPr>
        <w:pStyle w:val="BodyText"/>
        <w:spacing w:before="6"/>
        <w:rPr>
          <w:sz w:val="17"/>
        </w:rPr>
      </w:pPr>
    </w:p>
    <w:p>
      <w:pPr>
        <w:pStyle w:val="ListParagraph"/>
        <w:numPr>
          <w:ilvl w:val="0"/>
          <w:numId w:val="1"/>
        </w:numPr>
        <w:tabs>
          <w:tab w:pos="745" w:val="left" w:leader="none"/>
        </w:tabs>
        <w:spacing w:line="362" w:lineRule="auto" w:before="0" w:after="0"/>
        <w:ind w:left="317" w:right="138" w:firstLine="0"/>
        <w:jc w:val="both"/>
        <w:rPr>
          <w:sz w:val="20"/>
        </w:rPr>
      </w:pPr>
      <w:r>
        <w:rPr>
          <w:sz w:val="20"/>
        </w:rPr>
        <w:t>The Working Group noted the embedded role of Bank Rate in the UK economy – for example, its use a reference rate in mortgage contracts. Choosing Bank Rate as the RFR would allow treasury desks to hedge the interest rate risk associated with such mortgages with little or no basis</w:t>
      </w:r>
      <w:r>
        <w:rPr>
          <w:spacing w:val="1"/>
          <w:sz w:val="20"/>
        </w:rPr>
        <w:t> </w:t>
      </w:r>
      <w:r>
        <w:rPr>
          <w:sz w:val="20"/>
        </w:rPr>
        <w:t>risk.</w:t>
      </w:r>
    </w:p>
    <w:p>
      <w:pPr>
        <w:pStyle w:val="ListParagraph"/>
        <w:numPr>
          <w:ilvl w:val="0"/>
          <w:numId w:val="1"/>
        </w:numPr>
        <w:tabs>
          <w:tab w:pos="744" w:val="left" w:leader="none"/>
          <w:tab w:pos="745" w:val="left" w:leader="none"/>
        </w:tabs>
        <w:spacing w:line="360" w:lineRule="auto" w:before="194" w:after="0"/>
        <w:ind w:left="317" w:right="190" w:firstLine="0"/>
        <w:jc w:val="left"/>
        <w:rPr>
          <w:sz w:val="20"/>
        </w:rPr>
      </w:pPr>
      <w:r>
        <w:rPr>
          <w:sz w:val="20"/>
        </w:rPr>
        <w:t>There was a brief discussion of an RFR that weighted together secured and unsecured money market rates. That would have the benefit of future-proofing the rate to potential changes in market structure. Some participants were sceptical due to the potential complexity of such a</w:t>
      </w:r>
      <w:r>
        <w:rPr>
          <w:spacing w:val="-9"/>
          <w:sz w:val="20"/>
        </w:rPr>
        <w:t> </w:t>
      </w:r>
      <w:r>
        <w:rPr>
          <w:sz w:val="20"/>
        </w:rPr>
        <w:t>rate.</w:t>
      </w:r>
    </w:p>
    <w:p>
      <w:pPr>
        <w:pStyle w:val="BodyText"/>
        <w:spacing w:before="4"/>
        <w:rPr>
          <w:sz w:val="17"/>
        </w:rPr>
      </w:pPr>
    </w:p>
    <w:p>
      <w:pPr>
        <w:pStyle w:val="ListParagraph"/>
        <w:numPr>
          <w:ilvl w:val="0"/>
          <w:numId w:val="1"/>
        </w:numPr>
        <w:tabs>
          <w:tab w:pos="744" w:val="left" w:leader="none"/>
          <w:tab w:pos="745" w:val="left" w:leader="none"/>
        </w:tabs>
        <w:spacing w:line="360" w:lineRule="auto" w:before="0" w:after="0"/>
        <w:ind w:left="317" w:right="104" w:firstLine="0"/>
        <w:jc w:val="left"/>
        <w:rPr>
          <w:sz w:val="20"/>
        </w:rPr>
      </w:pPr>
      <w:r>
        <w:rPr>
          <w:sz w:val="20"/>
        </w:rPr>
        <w:t>Regarding term OIS as a potential RFR, some noted end-user demand for a term element within the swap reference rate, so this should not be ruled out. Once a robust overnight rate has been established, with a well-developed OIS market, a term OIS fixing could be created using an aggregated central limit order book. A high volume of transactions might not be necessary if the rate were based on firm, executable quotes. The Working Group noted that this solution may form part of a second round</w:t>
      </w:r>
      <w:r>
        <w:rPr>
          <w:spacing w:val="-23"/>
          <w:sz w:val="20"/>
        </w:rPr>
        <w:t> </w:t>
      </w:r>
      <w:r>
        <w:rPr>
          <w:sz w:val="20"/>
        </w:rPr>
        <w:t>recommendation.</w:t>
      </w:r>
    </w:p>
    <w:p>
      <w:pPr>
        <w:pStyle w:val="BodyText"/>
        <w:spacing w:before="4"/>
        <w:rPr>
          <w:sz w:val="17"/>
        </w:rPr>
      </w:pPr>
    </w:p>
    <w:p>
      <w:pPr>
        <w:spacing w:before="0"/>
        <w:ind w:left="317" w:right="0" w:firstLine="0"/>
        <w:jc w:val="left"/>
        <w:rPr>
          <w:i/>
          <w:sz w:val="20"/>
        </w:rPr>
      </w:pPr>
      <w:r>
        <w:rPr>
          <w:i/>
          <w:sz w:val="20"/>
        </w:rPr>
        <w:t>Contract robustness</w:t>
      </w:r>
    </w:p>
    <w:p>
      <w:pPr>
        <w:spacing w:after="0"/>
        <w:jc w:val="left"/>
        <w:rPr>
          <w:sz w:val="20"/>
        </w:rPr>
        <w:sectPr>
          <w:pgSz w:w="11910" w:h="16840"/>
          <w:pgMar w:header="0" w:footer="707" w:top="900" w:bottom="980" w:left="960" w:right="920"/>
        </w:sectPr>
      </w:pPr>
    </w:p>
    <w:p>
      <w:pPr>
        <w:pStyle w:val="ListParagraph"/>
        <w:numPr>
          <w:ilvl w:val="0"/>
          <w:numId w:val="1"/>
        </w:numPr>
        <w:tabs>
          <w:tab w:pos="744" w:val="left" w:leader="none"/>
          <w:tab w:pos="745" w:val="left" w:leader="none"/>
        </w:tabs>
        <w:spacing w:line="360" w:lineRule="auto" w:before="72" w:after="0"/>
        <w:ind w:left="317" w:right="235" w:firstLine="0"/>
        <w:jc w:val="left"/>
        <w:rPr>
          <w:sz w:val="20"/>
        </w:rPr>
      </w:pPr>
      <w:r>
        <w:rPr>
          <w:sz w:val="20"/>
        </w:rPr>
        <w:t>The Group discussed the role of fall-back provisions and alternative rates. Regardless of the RFR eventually selected, the alternatives could potentially be useful in a contingency scenario. It was noted that formal legal advice would be required when considering any potential changes to contracts to include more robust fall-back</w:t>
      </w:r>
      <w:r>
        <w:rPr>
          <w:spacing w:val="1"/>
          <w:sz w:val="20"/>
        </w:rPr>
        <w:t> </w:t>
      </w:r>
      <w:r>
        <w:rPr>
          <w:sz w:val="20"/>
        </w:rPr>
        <w:t>provisions.</w:t>
      </w:r>
    </w:p>
    <w:p>
      <w:pPr>
        <w:pStyle w:val="BodyText"/>
        <w:spacing w:before="4"/>
        <w:rPr>
          <w:sz w:val="17"/>
        </w:rPr>
      </w:pPr>
    </w:p>
    <w:p>
      <w:pPr>
        <w:spacing w:before="0"/>
        <w:ind w:left="317" w:right="0" w:firstLine="0"/>
        <w:jc w:val="left"/>
        <w:rPr>
          <w:i/>
          <w:sz w:val="20"/>
        </w:rPr>
      </w:pPr>
      <w:r>
        <w:rPr>
          <w:i/>
          <w:sz w:val="20"/>
        </w:rPr>
        <w:t>Ensuring a successful transition</w:t>
      </w:r>
    </w:p>
    <w:p>
      <w:pPr>
        <w:pStyle w:val="BodyText"/>
        <w:spacing w:before="4"/>
        <w:rPr>
          <w:i/>
          <w:sz w:val="27"/>
        </w:rPr>
      </w:pPr>
    </w:p>
    <w:p>
      <w:pPr>
        <w:pStyle w:val="ListParagraph"/>
        <w:numPr>
          <w:ilvl w:val="0"/>
          <w:numId w:val="1"/>
        </w:numPr>
        <w:tabs>
          <w:tab w:pos="744" w:val="left" w:leader="none"/>
          <w:tab w:pos="745" w:val="left" w:leader="none"/>
        </w:tabs>
        <w:spacing w:line="360" w:lineRule="auto" w:before="1" w:after="0"/>
        <w:ind w:left="317" w:right="248" w:firstLine="0"/>
        <w:jc w:val="left"/>
        <w:rPr>
          <w:sz w:val="20"/>
        </w:rPr>
      </w:pPr>
      <w:r>
        <w:rPr>
          <w:sz w:val="20"/>
        </w:rPr>
        <w:t>The Working Group noted that the dealer community would not itself be able to force a transition away from Libor. End-users of the reference rate would need to be convinced that the proposed RFR benefitted them directly. In addition, the liquidity of the associated market would be crucial in determining whether market participants would be willing to use that</w:t>
      </w:r>
      <w:r>
        <w:rPr>
          <w:spacing w:val="1"/>
          <w:sz w:val="20"/>
        </w:rPr>
        <w:t> </w:t>
      </w:r>
      <w:r>
        <w:rPr>
          <w:sz w:val="20"/>
        </w:rPr>
        <w:t>RFR.</w:t>
      </w:r>
    </w:p>
    <w:p>
      <w:pPr>
        <w:pStyle w:val="BodyText"/>
        <w:spacing w:before="3"/>
        <w:rPr>
          <w:sz w:val="17"/>
        </w:rPr>
      </w:pPr>
    </w:p>
    <w:p>
      <w:pPr>
        <w:pStyle w:val="ListParagraph"/>
        <w:numPr>
          <w:ilvl w:val="0"/>
          <w:numId w:val="1"/>
        </w:numPr>
        <w:tabs>
          <w:tab w:pos="745" w:val="left" w:leader="none"/>
        </w:tabs>
        <w:spacing w:line="362" w:lineRule="auto" w:before="1" w:after="0"/>
        <w:ind w:left="317" w:right="367" w:firstLine="0"/>
        <w:jc w:val="both"/>
        <w:rPr>
          <w:sz w:val="20"/>
        </w:rPr>
      </w:pPr>
      <w:r>
        <w:rPr>
          <w:sz w:val="20"/>
        </w:rPr>
        <w:t>The role of accounting standards was briefly discussed. The Group was clear that it was vital that the RFR (and its associated curve) was aligned with the common discount rate in Credit Support Annexes, as well as the rate used for mark-to-market and accounting</w:t>
      </w:r>
      <w:r>
        <w:rPr>
          <w:spacing w:val="-11"/>
          <w:sz w:val="20"/>
        </w:rPr>
        <w:t> </w:t>
      </w:r>
      <w:r>
        <w:rPr>
          <w:sz w:val="20"/>
        </w:rPr>
        <w:t>purposes.</w:t>
      </w:r>
    </w:p>
    <w:p>
      <w:pPr>
        <w:pStyle w:val="ListParagraph"/>
        <w:numPr>
          <w:ilvl w:val="0"/>
          <w:numId w:val="1"/>
        </w:numPr>
        <w:tabs>
          <w:tab w:pos="744" w:val="left" w:leader="none"/>
          <w:tab w:pos="745" w:val="left" w:leader="none"/>
        </w:tabs>
        <w:spacing w:line="360" w:lineRule="auto" w:before="194" w:after="0"/>
        <w:ind w:left="317" w:right="130" w:firstLine="0"/>
        <w:jc w:val="left"/>
        <w:rPr>
          <w:sz w:val="20"/>
        </w:rPr>
      </w:pPr>
      <w:r>
        <w:rPr>
          <w:sz w:val="20"/>
        </w:rPr>
        <w:t>Finally, the Group noted that the expectation for the RFR initiative should not be for a 100% shift from Libor to the new RFR. There would be a long tail of legacy contracts referencing Libor (some with</w:t>
      </w:r>
      <w:r>
        <w:rPr>
          <w:spacing w:val="-34"/>
          <w:sz w:val="20"/>
        </w:rPr>
        <w:t> </w:t>
      </w:r>
      <w:r>
        <w:rPr>
          <w:sz w:val="20"/>
        </w:rPr>
        <w:t>remaining maturities of 50 years or more) and we should anticipate an ongoing need to risk-manage these legacy positions with new Libor referenced contracts. There could also continue to be demand, particularly from corporates, for a reference rate which includes a term credit risk</w:t>
      </w:r>
      <w:r>
        <w:rPr>
          <w:spacing w:val="-2"/>
          <w:sz w:val="20"/>
        </w:rPr>
        <w:t> </w:t>
      </w:r>
      <w:r>
        <w:rPr>
          <w:sz w:val="20"/>
        </w:rPr>
        <w:t>component.</w:t>
      </w:r>
    </w:p>
    <w:p>
      <w:pPr>
        <w:pStyle w:val="BodyText"/>
        <w:spacing w:before="5"/>
        <w:rPr>
          <w:sz w:val="17"/>
        </w:rPr>
      </w:pPr>
    </w:p>
    <w:p>
      <w:pPr>
        <w:pStyle w:val="Heading1"/>
      </w:pPr>
      <w:r>
        <w:rPr/>
        <w:t>Election of Chair and next steps</w:t>
      </w:r>
    </w:p>
    <w:p>
      <w:pPr>
        <w:pStyle w:val="BodyText"/>
        <w:spacing w:before="6"/>
        <w:rPr>
          <w:b/>
          <w:sz w:val="27"/>
        </w:rPr>
      </w:pPr>
    </w:p>
    <w:p>
      <w:pPr>
        <w:pStyle w:val="ListParagraph"/>
        <w:numPr>
          <w:ilvl w:val="0"/>
          <w:numId w:val="1"/>
        </w:numPr>
        <w:tabs>
          <w:tab w:pos="745" w:val="left" w:leader="none"/>
        </w:tabs>
        <w:spacing w:line="240" w:lineRule="auto" w:before="1" w:after="0"/>
        <w:ind w:left="744" w:right="0" w:hanging="428"/>
        <w:jc w:val="both"/>
        <w:rPr>
          <w:sz w:val="20"/>
        </w:rPr>
      </w:pPr>
      <w:r>
        <w:rPr>
          <w:sz w:val="20"/>
        </w:rPr>
        <w:t>Nominations for the Chair of the Working Group were announced and Francois Jourdain was</w:t>
      </w:r>
      <w:r>
        <w:rPr>
          <w:spacing w:val="-26"/>
          <w:sz w:val="20"/>
        </w:rPr>
        <w:t> </w:t>
      </w:r>
      <w:r>
        <w:rPr>
          <w:sz w:val="20"/>
        </w:rPr>
        <w:t>elected.</w:t>
      </w:r>
    </w:p>
    <w:p>
      <w:pPr>
        <w:pStyle w:val="BodyText"/>
        <w:spacing w:before="1"/>
        <w:rPr>
          <w:sz w:val="27"/>
        </w:rPr>
      </w:pPr>
    </w:p>
    <w:p>
      <w:pPr>
        <w:pStyle w:val="ListParagraph"/>
        <w:numPr>
          <w:ilvl w:val="0"/>
          <w:numId w:val="1"/>
        </w:numPr>
        <w:tabs>
          <w:tab w:pos="744" w:val="left" w:leader="none"/>
          <w:tab w:pos="745" w:val="left" w:leader="none"/>
        </w:tabs>
        <w:spacing w:line="362" w:lineRule="auto" w:before="0" w:after="0"/>
        <w:ind w:left="317" w:right="162" w:firstLine="0"/>
        <w:jc w:val="left"/>
        <w:rPr>
          <w:sz w:val="20"/>
        </w:rPr>
      </w:pPr>
      <w:r>
        <w:rPr>
          <w:sz w:val="20"/>
        </w:rPr>
        <w:t>The Chair will develop a work plan for the Group – in coordination with Group members and the Bank – which will be discussed and agreed at the next</w:t>
      </w:r>
      <w:r>
        <w:rPr>
          <w:spacing w:val="-8"/>
          <w:sz w:val="20"/>
        </w:rPr>
        <w:t> </w:t>
      </w:r>
      <w:r>
        <w:rPr>
          <w:sz w:val="20"/>
        </w:rPr>
        <w:t>meeting.</w:t>
      </w:r>
    </w:p>
    <w:p>
      <w:pPr>
        <w:spacing w:after="0" w:line="362" w:lineRule="auto"/>
        <w:jc w:val="left"/>
        <w:rPr>
          <w:sz w:val="20"/>
        </w:rPr>
        <w:sectPr>
          <w:pgSz w:w="11910" w:h="16840"/>
          <w:pgMar w:header="0" w:footer="707" w:top="900" w:bottom="980" w:left="960" w:right="920"/>
        </w:sect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75"/>
        <w:gridCol w:w="4220"/>
      </w:tblGrid>
      <w:tr>
        <w:trPr>
          <w:trHeight w:val="287" w:hRule="atLeast"/>
        </w:trPr>
        <w:tc>
          <w:tcPr>
            <w:tcW w:w="3775" w:type="dxa"/>
          </w:tcPr>
          <w:p>
            <w:pPr>
              <w:pStyle w:val="TableParagraph"/>
              <w:spacing w:line="220" w:lineRule="exact" w:before="0"/>
              <w:rPr>
                <w:b/>
                <w:sz w:val="20"/>
              </w:rPr>
            </w:pPr>
            <w:r>
              <w:rPr>
                <w:b/>
                <w:sz w:val="20"/>
              </w:rPr>
              <w:t>Private Sector Attendees</w:t>
            </w:r>
          </w:p>
        </w:tc>
        <w:tc>
          <w:tcPr>
            <w:tcW w:w="4220" w:type="dxa"/>
          </w:tcPr>
          <w:p>
            <w:pPr>
              <w:pStyle w:val="TableParagraph"/>
              <w:spacing w:before="0"/>
              <w:ind w:left="0"/>
              <w:rPr>
                <w:rFonts w:ascii="Times New Roman"/>
                <w:sz w:val="18"/>
              </w:rPr>
            </w:pPr>
          </w:p>
        </w:tc>
      </w:tr>
      <w:tr>
        <w:trPr>
          <w:trHeight w:val="350" w:hRule="atLeast"/>
        </w:trPr>
        <w:tc>
          <w:tcPr>
            <w:tcW w:w="3775" w:type="dxa"/>
          </w:tcPr>
          <w:p>
            <w:pPr>
              <w:pStyle w:val="TableParagraph"/>
              <w:spacing w:before="55"/>
              <w:rPr>
                <w:sz w:val="20"/>
              </w:rPr>
            </w:pPr>
            <w:r>
              <w:rPr>
                <w:sz w:val="20"/>
              </w:rPr>
              <w:t>Nick Saggers</w:t>
            </w:r>
          </w:p>
        </w:tc>
        <w:tc>
          <w:tcPr>
            <w:tcW w:w="4220" w:type="dxa"/>
          </w:tcPr>
          <w:p>
            <w:pPr>
              <w:pStyle w:val="TableParagraph"/>
              <w:spacing w:before="55"/>
              <w:ind w:left="1353"/>
              <w:rPr>
                <w:sz w:val="20"/>
              </w:rPr>
            </w:pPr>
            <w:r>
              <w:rPr>
                <w:sz w:val="20"/>
              </w:rPr>
              <w:t>Bank of America-Merrill Lynch</w:t>
            </w:r>
          </w:p>
        </w:tc>
      </w:tr>
      <w:tr>
        <w:trPr>
          <w:trHeight w:val="349" w:hRule="atLeast"/>
        </w:trPr>
        <w:tc>
          <w:tcPr>
            <w:tcW w:w="3775" w:type="dxa"/>
          </w:tcPr>
          <w:p>
            <w:pPr>
              <w:pStyle w:val="TableParagraph"/>
              <w:spacing w:before="53"/>
              <w:rPr>
                <w:sz w:val="20"/>
              </w:rPr>
            </w:pPr>
            <w:r>
              <w:rPr>
                <w:sz w:val="20"/>
              </w:rPr>
              <w:t>Francois Jourdain</w:t>
            </w:r>
          </w:p>
        </w:tc>
        <w:tc>
          <w:tcPr>
            <w:tcW w:w="4220" w:type="dxa"/>
          </w:tcPr>
          <w:p>
            <w:pPr>
              <w:pStyle w:val="TableParagraph"/>
              <w:spacing w:before="53"/>
              <w:ind w:left="1353"/>
              <w:rPr>
                <w:sz w:val="20"/>
              </w:rPr>
            </w:pPr>
            <w:r>
              <w:rPr>
                <w:sz w:val="20"/>
              </w:rPr>
              <w:t>Barclays</w:t>
            </w:r>
          </w:p>
        </w:tc>
      </w:tr>
      <w:tr>
        <w:trPr>
          <w:trHeight w:val="700" w:hRule="atLeast"/>
        </w:trPr>
        <w:tc>
          <w:tcPr>
            <w:tcW w:w="3775" w:type="dxa"/>
          </w:tcPr>
          <w:p>
            <w:pPr>
              <w:pStyle w:val="TableParagraph"/>
              <w:rPr>
                <w:sz w:val="20"/>
              </w:rPr>
            </w:pPr>
            <w:r>
              <w:rPr>
                <w:sz w:val="20"/>
              </w:rPr>
              <w:t>Laurent Dulout</w:t>
            </w:r>
          </w:p>
          <w:p>
            <w:pPr>
              <w:pStyle w:val="TableParagraph"/>
              <w:spacing w:before="120"/>
              <w:rPr>
                <w:sz w:val="20"/>
              </w:rPr>
            </w:pPr>
            <w:r>
              <w:rPr>
                <w:sz w:val="20"/>
              </w:rPr>
              <w:t>Mathieu Gaveau</w:t>
            </w:r>
          </w:p>
        </w:tc>
        <w:tc>
          <w:tcPr>
            <w:tcW w:w="4220" w:type="dxa"/>
          </w:tcPr>
          <w:p>
            <w:pPr>
              <w:pStyle w:val="TableParagraph"/>
              <w:ind w:left="1353"/>
              <w:rPr>
                <w:sz w:val="20"/>
              </w:rPr>
            </w:pPr>
            <w:r>
              <w:rPr>
                <w:sz w:val="20"/>
              </w:rPr>
              <w:t>BNP</w:t>
            </w:r>
            <w:r>
              <w:rPr>
                <w:spacing w:val="-6"/>
                <w:sz w:val="20"/>
              </w:rPr>
              <w:t> </w:t>
            </w:r>
            <w:r>
              <w:rPr>
                <w:sz w:val="20"/>
              </w:rPr>
              <w:t>Paribas</w:t>
            </w:r>
          </w:p>
          <w:p>
            <w:pPr>
              <w:pStyle w:val="TableParagraph"/>
              <w:spacing w:before="120"/>
              <w:ind w:left="1353"/>
              <w:rPr>
                <w:sz w:val="20"/>
              </w:rPr>
            </w:pPr>
            <w:r>
              <w:rPr>
                <w:sz w:val="20"/>
              </w:rPr>
              <w:t>BNP</w:t>
            </w:r>
            <w:r>
              <w:rPr>
                <w:spacing w:val="-6"/>
                <w:sz w:val="20"/>
              </w:rPr>
              <w:t> </w:t>
            </w:r>
            <w:r>
              <w:rPr>
                <w:sz w:val="20"/>
              </w:rPr>
              <w:t>Paribas</w:t>
            </w:r>
          </w:p>
        </w:tc>
      </w:tr>
      <w:tr>
        <w:trPr>
          <w:trHeight w:val="700" w:hRule="atLeast"/>
        </w:trPr>
        <w:tc>
          <w:tcPr>
            <w:tcW w:w="3775" w:type="dxa"/>
          </w:tcPr>
          <w:p>
            <w:pPr>
              <w:pStyle w:val="TableParagraph"/>
              <w:rPr>
                <w:sz w:val="20"/>
              </w:rPr>
            </w:pPr>
            <w:r>
              <w:rPr>
                <w:sz w:val="20"/>
              </w:rPr>
              <w:t>Mark Smith</w:t>
            </w:r>
          </w:p>
          <w:p>
            <w:pPr>
              <w:pStyle w:val="TableParagraph"/>
              <w:spacing w:before="120"/>
              <w:rPr>
                <w:sz w:val="20"/>
              </w:rPr>
            </w:pPr>
            <w:r>
              <w:rPr>
                <w:sz w:val="20"/>
              </w:rPr>
              <w:t>Alain Verdickt</w:t>
            </w:r>
          </w:p>
        </w:tc>
        <w:tc>
          <w:tcPr>
            <w:tcW w:w="4220" w:type="dxa"/>
          </w:tcPr>
          <w:p>
            <w:pPr>
              <w:pStyle w:val="TableParagraph"/>
              <w:ind w:left="1353"/>
              <w:rPr>
                <w:sz w:val="20"/>
              </w:rPr>
            </w:pPr>
            <w:r>
              <w:rPr>
                <w:sz w:val="20"/>
              </w:rPr>
              <w:t>Citigroup</w:t>
            </w:r>
          </w:p>
          <w:p>
            <w:pPr>
              <w:pStyle w:val="TableParagraph"/>
              <w:spacing w:before="120"/>
              <w:ind w:left="1353"/>
              <w:rPr>
                <w:sz w:val="20"/>
              </w:rPr>
            </w:pPr>
            <w:r>
              <w:rPr>
                <w:sz w:val="20"/>
              </w:rPr>
              <w:t>Citigroup</w:t>
            </w:r>
          </w:p>
        </w:tc>
      </w:tr>
      <w:tr>
        <w:trPr>
          <w:trHeight w:val="349" w:hRule="atLeast"/>
        </w:trPr>
        <w:tc>
          <w:tcPr>
            <w:tcW w:w="3775" w:type="dxa"/>
          </w:tcPr>
          <w:p>
            <w:pPr>
              <w:pStyle w:val="TableParagraph"/>
              <w:rPr>
                <w:sz w:val="20"/>
              </w:rPr>
            </w:pPr>
            <w:r>
              <w:rPr>
                <w:sz w:val="20"/>
              </w:rPr>
              <w:t>Laurent Curtat</w:t>
            </w:r>
          </w:p>
        </w:tc>
        <w:tc>
          <w:tcPr>
            <w:tcW w:w="4220" w:type="dxa"/>
          </w:tcPr>
          <w:p>
            <w:pPr>
              <w:pStyle w:val="TableParagraph"/>
              <w:ind w:left="1353"/>
              <w:rPr>
                <w:sz w:val="20"/>
              </w:rPr>
            </w:pPr>
            <w:r>
              <w:rPr>
                <w:sz w:val="20"/>
              </w:rPr>
              <w:t>Credit Suisse</w:t>
            </w:r>
          </w:p>
        </w:tc>
      </w:tr>
      <w:tr>
        <w:trPr>
          <w:trHeight w:val="349" w:hRule="atLeast"/>
        </w:trPr>
        <w:tc>
          <w:tcPr>
            <w:tcW w:w="3775" w:type="dxa"/>
          </w:tcPr>
          <w:p>
            <w:pPr>
              <w:pStyle w:val="TableParagraph"/>
              <w:spacing w:before="52"/>
              <w:rPr>
                <w:sz w:val="20"/>
              </w:rPr>
            </w:pPr>
            <w:r>
              <w:rPr>
                <w:sz w:val="20"/>
              </w:rPr>
              <w:t>Adrian Munday</w:t>
            </w:r>
          </w:p>
        </w:tc>
        <w:tc>
          <w:tcPr>
            <w:tcW w:w="4220" w:type="dxa"/>
          </w:tcPr>
          <w:p>
            <w:pPr>
              <w:pStyle w:val="TableParagraph"/>
              <w:spacing w:before="52"/>
              <w:ind w:left="1353"/>
              <w:rPr>
                <w:sz w:val="20"/>
              </w:rPr>
            </w:pPr>
            <w:r>
              <w:rPr>
                <w:sz w:val="20"/>
              </w:rPr>
              <w:t>Deutsche Bank</w:t>
            </w:r>
          </w:p>
        </w:tc>
      </w:tr>
      <w:tr>
        <w:trPr>
          <w:trHeight w:val="700" w:hRule="atLeast"/>
        </w:trPr>
        <w:tc>
          <w:tcPr>
            <w:tcW w:w="3775" w:type="dxa"/>
          </w:tcPr>
          <w:p>
            <w:pPr>
              <w:pStyle w:val="TableParagraph"/>
              <w:rPr>
                <w:sz w:val="20"/>
              </w:rPr>
            </w:pPr>
            <w:r>
              <w:rPr>
                <w:sz w:val="20"/>
              </w:rPr>
              <w:t>Jonathan Hall</w:t>
            </w:r>
          </w:p>
          <w:p>
            <w:pPr>
              <w:pStyle w:val="TableParagraph"/>
              <w:spacing w:before="120"/>
              <w:rPr>
                <w:sz w:val="20"/>
              </w:rPr>
            </w:pPr>
            <w:r>
              <w:rPr>
                <w:sz w:val="20"/>
              </w:rPr>
              <w:t>Nirubhan Pathmanabhan</w:t>
            </w:r>
          </w:p>
        </w:tc>
        <w:tc>
          <w:tcPr>
            <w:tcW w:w="4220" w:type="dxa"/>
          </w:tcPr>
          <w:p>
            <w:pPr>
              <w:pStyle w:val="TableParagraph"/>
              <w:ind w:left="1353"/>
              <w:rPr>
                <w:sz w:val="20"/>
              </w:rPr>
            </w:pPr>
            <w:r>
              <w:rPr>
                <w:sz w:val="20"/>
              </w:rPr>
              <w:t>Goldman</w:t>
            </w:r>
            <w:r>
              <w:rPr>
                <w:spacing w:val="-8"/>
                <w:sz w:val="20"/>
              </w:rPr>
              <w:t> </w:t>
            </w:r>
            <w:r>
              <w:rPr>
                <w:sz w:val="20"/>
              </w:rPr>
              <w:t>Sachs</w:t>
            </w:r>
          </w:p>
          <w:p>
            <w:pPr>
              <w:pStyle w:val="TableParagraph"/>
              <w:spacing w:before="120"/>
              <w:ind w:left="1353"/>
              <w:rPr>
                <w:sz w:val="20"/>
              </w:rPr>
            </w:pPr>
            <w:r>
              <w:rPr>
                <w:sz w:val="20"/>
              </w:rPr>
              <w:t>Goldman</w:t>
            </w:r>
            <w:r>
              <w:rPr>
                <w:spacing w:val="-8"/>
                <w:sz w:val="20"/>
              </w:rPr>
              <w:t> </w:t>
            </w:r>
            <w:r>
              <w:rPr>
                <w:sz w:val="20"/>
              </w:rPr>
              <w:t>Sachs</w:t>
            </w:r>
          </w:p>
        </w:tc>
      </w:tr>
      <w:tr>
        <w:trPr>
          <w:trHeight w:val="350" w:hRule="atLeast"/>
        </w:trPr>
        <w:tc>
          <w:tcPr>
            <w:tcW w:w="3775" w:type="dxa"/>
          </w:tcPr>
          <w:p>
            <w:pPr>
              <w:pStyle w:val="TableParagraph"/>
              <w:rPr>
                <w:sz w:val="20"/>
              </w:rPr>
            </w:pPr>
            <w:r>
              <w:rPr>
                <w:sz w:val="20"/>
              </w:rPr>
              <w:t>Elie El Hayek</w:t>
            </w:r>
          </w:p>
        </w:tc>
        <w:tc>
          <w:tcPr>
            <w:tcW w:w="4220" w:type="dxa"/>
          </w:tcPr>
          <w:p>
            <w:pPr>
              <w:pStyle w:val="TableParagraph"/>
              <w:ind w:left="1353"/>
              <w:rPr>
                <w:sz w:val="20"/>
              </w:rPr>
            </w:pPr>
            <w:r>
              <w:rPr>
                <w:sz w:val="20"/>
              </w:rPr>
              <w:t>HSBC</w:t>
            </w:r>
          </w:p>
        </w:tc>
      </w:tr>
      <w:tr>
        <w:trPr>
          <w:trHeight w:val="349" w:hRule="atLeast"/>
        </w:trPr>
        <w:tc>
          <w:tcPr>
            <w:tcW w:w="3775" w:type="dxa"/>
          </w:tcPr>
          <w:p>
            <w:pPr>
              <w:pStyle w:val="TableParagraph"/>
              <w:rPr>
                <w:sz w:val="20"/>
              </w:rPr>
            </w:pPr>
            <w:r>
              <w:rPr>
                <w:sz w:val="20"/>
              </w:rPr>
              <w:t>Charles Bristow</w:t>
            </w:r>
          </w:p>
        </w:tc>
        <w:tc>
          <w:tcPr>
            <w:tcW w:w="4220" w:type="dxa"/>
          </w:tcPr>
          <w:p>
            <w:pPr>
              <w:pStyle w:val="TableParagraph"/>
              <w:ind w:left="1353"/>
              <w:rPr>
                <w:sz w:val="20"/>
              </w:rPr>
            </w:pPr>
            <w:r>
              <w:rPr>
                <w:sz w:val="20"/>
              </w:rPr>
              <w:t>JP Morgan Chase</w:t>
            </w:r>
          </w:p>
        </w:tc>
      </w:tr>
      <w:tr>
        <w:trPr>
          <w:trHeight w:val="349" w:hRule="atLeast"/>
        </w:trPr>
        <w:tc>
          <w:tcPr>
            <w:tcW w:w="3775" w:type="dxa"/>
          </w:tcPr>
          <w:p>
            <w:pPr>
              <w:pStyle w:val="TableParagraph"/>
              <w:spacing w:before="53"/>
              <w:rPr>
                <w:sz w:val="20"/>
              </w:rPr>
            </w:pPr>
            <w:r>
              <w:rPr>
                <w:sz w:val="20"/>
              </w:rPr>
              <w:t>Christophe Coutte</w:t>
            </w:r>
          </w:p>
        </w:tc>
        <w:tc>
          <w:tcPr>
            <w:tcW w:w="4220" w:type="dxa"/>
          </w:tcPr>
          <w:p>
            <w:pPr>
              <w:pStyle w:val="TableParagraph"/>
              <w:spacing w:before="53"/>
              <w:ind w:left="1353"/>
              <w:rPr>
                <w:sz w:val="20"/>
              </w:rPr>
            </w:pPr>
            <w:r>
              <w:rPr>
                <w:sz w:val="20"/>
              </w:rPr>
              <w:t>Lloyds</w:t>
            </w:r>
          </w:p>
        </w:tc>
      </w:tr>
      <w:tr>
        <w:trPr>
          <w:trHeight w:val="350" w:hRule="atLeast"/>
        </w:trPr>
        <w:tc>
          <w:tcPr>
            <w:tcW w:w="3775" w:type="dxa"/>
          </w:tcPr>
          <w:p>
            <w:pPr>
              <w:pStyle w:val="TableParagraph"/>
              <w:rPr>
                <w:sz w:val="20"/>
              </w:rPr>
            </w:pPr>
            <w:r>
              <w:rPr>
                <w:sz w:val="20"/>
              </w:rPr>
              <w:t>Ed McAleer</w:t>
            </w:r>
          </w:p>
        </w:tc>
        <w:tc>
          <w:tcPr>
            <w:tcW w:w="4220" w:type="dxa"/>
          </w:tcPr>
          <w:p>
            <w:pPr>
              <w:pStyle w:val="TableParagraph"/>
              <w:ind w:left="1353"/>
              <w:rPr>
                <w:sz w:val="20"/>
              </w:rPr>
            </w:pPr>
            <w:r>
              <w:rPr>
                <w:sz w:val="20"/>
              </w:rPr>
              <w:t>Morgan Stanley</w:t>
            </w:r>
          </w:p>
        </w:tc>
      </w:tr>
      <w:tr>
        <w:trPr>
          <w:trHeight w:val="700" w:hRule="atLeast"/>
        </w:trPr>
        <w:tc>
          <w:tcPr>
            <w:tcW w:w="3775" w:type="dxa"/>
          </w:tcPr>
          <w:p>
            <w:pPr>
              <w:pStyle w:val="TableParagraph"/>
              <w:rPr>
                <w:sz w:val="20"/>
              </w:rPr>
            </w:pPr>
            <w:r>
              <w:rPr>
                <w:sz w:val="20"/>
              </w:rPr>
              <w:t>Tom Heenan</w:t>
            </w:r>
          </w:p>
          <w:p>
            <w:pPr>
              <w:pStyle w:val="TableParagraph"/>
              <w:spacing w:before="120"/>
              <w:rPr>
                <w:sz w:val="20"/>
              </w:rPr>
            </w:pPr>
            <w:r>
              <w:rPr>
                <w:sz w:val="20"/>
              </w:rPr>
              <w:t>Lewis O’Donald</w:t>
            </w:r>
          </w:p>
        </w:tc>
        <w:tc>
          <w:tcPr>
            <w:tcW w:w="4220" w:type="dxa"/>
          </w:tcPr>
          <w:p>
            <w:pPr>
              <w:pStyle w:val="TableParagraph"/>
              <w:ind w:left="1353"/>
              <w:rPr>
                <w:sz w:val="20"/>
              </w:rPr>
            </w:pPr>
            <w:r>
              <w:rPr>
                <w:sz w:val="20"/>
              </w:rPr>
              <w:t>Nomura</w:t>
            </w:r>
          </w:p>
          <w:p>
            <w:pPr>
              <w:pStyle w:val="TableParagraph"/>
              <w:spacing w:before="120"/>
              <w:ind w:left="1353"/>
              <w:rPr>
                <w:sz w:val="20"/>
              </w:rPr>
            </w:pPr>
            <w:r>
              <w:rPr>
                <w:sz w:val="20"/>
              </w:rPr>
              <w:t>Nomura</w:t>
            </w:r>
          </w:p>
        </w:tc>
      </w:tr>
      <w:tr>
        <w:trPr>
          <w:trHeight w:val="350" w:hRule="atLeast"/>
        </w:trPr>
        <w:tc>
          <w:tcPr>
            <w:tcW w:w="3775" w:type="dxa"/>
          </w:tcPr>
          <w:p>
            <w:pPr>
              <w:pStyle w:val="TableParagraph"/>
              <w:rPr>
                <w:sz w:val="20"/>
              </w:rPr>
            </w:pPr>
            <w:r>
              <w:rPr>
                <w:sz w:val="20"/>
              </w:rPr>
              <w:t>Peter Nielsen</w:t>
            </w:r>
          </w:p>
        </w:tc>
        <w:tc>
          <w:tcPr>
            <w:tcW w:w="4220" w:type="dxa"/>
          </w:tcPr>
          <w:p>
            <w:pPr>
              <w:pStyle w:val="TableParagraph"/>
              <w:ind w:left="1353"/>
              <w:rPr>
                <w:sz w:val="20"/>
              </w:rPr>
            </w:pPr>
            <w:r>
              <w:rPr>
                <w:sz w:val="20"/>
              </w:rPr>
              <w:t>Royal Bank of Scotland</w:t>
            </w:r>
          </w:p>
        </w:tc>
      </w:tr>
      <w:tr>
        <w:trPr>
          <w:trHeight w:val="349" w:hRule="atLeast"/>
        </w:trPr>
        <w:tc>
          <w:tcPr>
            <w:tcW w:w="3775" w:type="dxa"/>
          </w:tcPr>
          <w:p>
            <w:pPr>
              <w:pStyle w:val="TableParagraph"/>
              <w:rPr>
                <w:sz w:val="20"/>
              </w:rPr>
            </w:pPr>
            <w:r>
              <w:rPr>
                <w:sz w:val="20"/>
              </w:rPr>
              <w:t>Paul Barnes</w:t>
            </w:r>
          </w:p>
        </w:tc>
        <w:tc>
          <w:tcPr>
            <w:tcW w:w="4220" w:type="dxa"/>
          </w:tcPr>
          <w:p>
            <w:pPr>
              <w:pStyle w:val="TableParagraph"/>
              <w:ind w:left="1353"/>
              <w:rPr>
                <w:sz w:val="20"/>
              </w:rPr>
            </w:pPr>
            <w:r>
              <w:rPr>
                <w:sz w:val="20"/>
              </w:rPr>
              <w:t>Santander UK</w:t>
            </w:r>
          </w:p>
        </w:tc>
      </w:tr>
      <w:tr>
        <w:trPr>
          <w:trHeight w:val="349" w:hRule="atLeast"/>
        </w:trPr>
        <w:tc>
          <w:tcPr>
            <w:tcW w:w="3775" w:type="dxa"/>
          </w:tcPr>
          <w:p>
            <w:pPr>
              <w:pStyle w:val="TableParagraph"/>
              <w:spacing w:before="52"/>
              <w:rPr>
                <w:sz w:val="20"/>
              </w:rPr>
            </w:pPr>
            <w:r>
              <w:rPr>
                <w:sz w:val="20"/>
              </w:rPr>
              <w:t>Stephane Cuny</w:t>
            </w:r>
          </w:p>
        </w:tc>
        <w:tc>
          <w:tcPr>
            <w:tcW w:w="4220" w:type="dxa"/>
          </w:tcPr>
          <w:p>
            <w:pPr>
              <w:pStyle w:val="TableParagraph"/>
              <w:spacing w:before="52"/>
              <w:ind w:left="1353"/>
              <w:rPr>
                <w:sz w:val="20"/>
              </w:rPr>
            </w:pPr>
            <w:r>
              <w:rPr>
                <w:sz w:val="20"/>
              </w:rPr>
              <w:t>Société Générale</w:t>
            </w:r>
          </w:p>
        </w:tc>
      </w:tr>
      <w:tr>
        <w:trPr>
          <w:trHeight w:val="350" w:hRule="atLeast"/>
        </w:trPr>
        <w:tc>
          <w:tcPr>
            <w:tcW w:w="3775" w:type="dxa"/>
          </w:tcPr>
          <w:p>
            <w:pPr>
              <w:pStyle w:val="TableParagraph"/>
              <w:rPr>
                <w:sz w:val="20"/>
              </w:rPr>
            </w:pPr>
            <w:r>
              <w:rPr>
                <w:sz w:val="20"/>
              </w:rPr>
              <w:t>Paul Canty</w:t>
            </w:r>
          </w:p>
        </w:tc>
        <w:tc>
          <w:tcPr>
            <w:tcW w:w="4220" w:type="dxa"/>
          </w:tcPr>
          <w:p>
            <w:pPr>
              <w:pStyle w:val="TableParagraph"/>
              <w:ind w:left="1353"/>
              <w:rPr>
                <w:sz w:val="20"/>
              </w:rPr>
            </w:pPr>
            <w:r>
              <w:rPr>
                <w:sz w:val="20"/>
              </w:rPr>
              <w:t>UBS</w:t>
            </w:r>
          </w:p>
        </w:tc>
      </w:tr>
      <w:tr>
        <w:trPr>
          <w:trHeight w:val="524" w:hRule="atLeast"/>
        </w:trPr>
        <w:tc>
          <w:tcPr>
            <w:tcW w:w="3775" w:type="dxa"/>
          </w:tcPr>
          <w:p>
            <w:pPr>
              <w:pStyle w:val="TableParagraph"/>
              <w:rPr>
                <w:sz w:val="20"/>
              </w:rPr>
            </w:pPr>
            <w:r>
              <w:rPr>
                <w:sz w:val="20"/>
              </w:rPr>
              <w:t>David Geen</w:t>
            </w:r>
          </w:p>
        </w:tc>
        <w:tc>
          <w:tcPr>
            <w:tcW w:w="4220" w:type="dxa"/>
          </w:tcPr>
          <w:p>
            <w:pPr>
              <w:pStyle w:val="TableParagraph"/>
              <w:ind w:left="1353"/>
              <w:rPr>
                <w:sz w:val="20"/>
              </w:rPr>
            </w:pPr>
            <w:r>
              <w:rPr>
                <w:sz w:val="20"/>
              </w:rPr>
              <w:t>ISDA (Observer only)</w:t>
            </w:r>
          </w:p>
        </w:tc>
      </w:tr>
      <w:tr>
        <w:trPr>
          <w:trHeight w:val="525" w:hRule="atLeast"/>
        </w:trPr>
        <w:tc>
          <w:tcPr>
            <w:tcW w:w="3775" w:type="dxa"/>
          </w:tcPr>
          <w:p>
            <w:pPr>
              <w:pStyle w:val="TableParagraph"/>
              <w:spacing w:before="9"/>
              <w:ind w:left="0"/>
              <w:rPr>
                <w:sz w:val="19"/>
              </w:rPr>
            </w:pPr>
          </w:p>
          <w:p>
            <w:pPr>
              <w:pStyle w:val="TableParagraph"/>
              <w:spacing w:before="0"/>
              <w:rPr>
                <w:b/>
                <w:sz w:val="20"/>
              </w:rPr>
            </w:pPr>
            <w:r>
              <w:rPr>
                <w:b/>
                <w:sz w:val="20"/>
              </w:rPr>
              <w:t>Official Sector Attendees</w:t>
            </w:r>
          </w:p>
        </w:tc>
        <w:tc>
          <w:tcPr>
            <w:tcW w:w="4220" w:type="dxa"/>
          </w:tcPr>
          <w:p>
            <w:pPr>
              <w:pStyle w:val="TableParagraph"/>
              <w:spacing w:before="0"/>
              <w:ind w:left="0"/>
              <w:rPr>
                <w:rFonts w:ascii="Times New Roman"/>
                <w:sz w:val="18"/>
              </w:rPr>
            </w:pPr>
          </w:p>
        </w:tc>
      </w:tr>
      <w:tr>
        <w:trPr>
          <w:trHeight w:val="350" w:hRule="atLeast"/>
        </w:trPr>
        <w:tc>
          <w:tcPr>
            <w:tcW w:w="3775" w:type="dxa"/>
          </w:tcPr>
          <w:p>
            <w:pPr>
              <w:pStyle w:val="TableParagraph"/>
              <w:spacing w:before="55"/>
              <w:rPr>
                <w:sz w:val="20"/>
              </w:rPr>
            </w:pPr>
            <w:r>
              <w:rPr>
                <w:sz w:val="20"/>
              </w:rPr>
              <w:t>Minouche Shafik</w:t>
            </w:r>
          </w:p>
        </w:tc>
        <w:tc>
          <w:tcPr>
            <w:tcW w:w="4220" w:type="dxa"/>
          </w:tcPr>
          <w:p>
            <w:pPr>
              <w:pStyle w:val="TableParagraph"/>
              <w:spacing w:before="55"/>
              <w:ind w:left="1353"/>
              <w:rPr>
                <w:sz w:val="20"/>
              </w:rPr>
            </w:pPr>
            <w:r>
              <w:rPr>
                <w:sz w:val="20"/>
              </w:rPr>
              <w:t>Bank of England</w:t>
            </w:r>
          </w:p>
        </w:tc>
      </w:tr>
      <w:tr>
        <w:trPr>
          <w:trHeight w:val="349" w:hRule="atLeast"/>
        </w:trPr>
        <w:tc>
          <w:tcPr>
            <w:tcW w:w="3775" w:type="dxa"/>
          </w:tcPr>
          <w:p>
            <w:pPr>
              <w:pStyle w:val="TableParagraph"/>
              <w:spacing w:before="52"/>
              <w:rPr>
                <w:sz w:val="20"/>
              </w:rPr>
            </w:pPr>
            <w:r>
              <w:rPr>
                <w:sz w:val="20"/>
              </w:rPr>
              <w:t>Chris Salmon</w:t>
            </w:r>
          </w:p>
        </w:tc>
        <w:tc>
          <w:tcPr>
            <w:tcW w:w="4220" w:type="dxa"/>
          </w:tcPr>
          <w:p>
            <w:pPr>
              <w:pStyle w:val="TableParagraph"/>
              <w:spacing w:before="52"/>
              <w:ind w:left="1353"/>
              <w:rPr>
                <w:sz w:val="20"/>
              </w:rPr>
            </w:pPr>
            <w:r>
              <w:rPr>
                <w:sz w:val="20"/>
              </w:rPr>
              <w:t>Bank of England</w:t>
            </w:r>
          </w:p>
        </w:tc>
      </w:tr>
      <w:tr>
        <w:trPr>
          <w:trHeight w:val="350" w:hRule="atLeast"/>
        </w:trPr>
        <w:tc>
          <w:tcPr>
            <w:tcW w:w="3775" w:type="dxa"/>
          </w:tcPr>
          <w:p>
            <w:pPr>
              <w:pStyle w:val="TableParagraph"/>
              <w:rPr>
                <w:sz w:val="20"/>
              </w:rPr>
            </w:pPr>
            <w:r>
              <w:rPr>
                <w:sz w:val="20"/>
              </w:rPr>
              <w:t>Tim Taylor</w:t>
            </w:r>
          </w:p>
        </w:tc>
        <w:tc>
          <w:tcPr>
            <w:tcW w:w="4220" w:type="dxa"/>
          </w:tcPr>
          <w:p>
            <w:pPr>
              <w:pStyle w:val="TableParagraph"/>
              <w:ind w:left="1353"/>
              <w:rPr>
                <w:sz w:val="20"/>
              </w:rPr>
            </w:pPr>
            <w:r>
              <w:rPr>
                <w:sz w:val="20"/>
              </w:rPr>
              <w:t>Bank of England</w:t>
            </w:r>
          </w:p>
        </w:tc>
      </w:tr>
      <w:tr>
        <w:trPr>
          <w:trHeight w:val="350" w:hRule="atLeast"/>
        </w:trPr>
        <w:tc>
          <w:tcPr>
            <w:tcW w:w="3775" w:type="dxa"/>
          </w:tcPr>
          <w:p>
            <w:pPr>
              <w:pStyle w:val="TableParagraph"/>
              <w:rPr>
                <w:sz w:val="20"/>
              </w:rPr>
            </w:pPr>
            <w:r>
              <w:rPr>
                <w:sz w:val="20"/>
              </w:rPr>
              <w:t>Ed Ocampo</w:t>
            </w:r>
          </w:p>
        </w:tc>
        <w:tc>
          <w:tcPr>
            <w:tcW w:w="4220" w:type="dxa"/>
          </w:tcPr>
          <w:p>
            <w:pPr>
              <w:pStyle w:val="TableParagraph"/>
              <w:ind w:left="1353"/>
              <w:rPr>
                <w:sz w:val="20"/>
              </w:rPr>
            </w:pPr>
            <w:r>
              <w:rPr>
                <w:sz w:val="20"/>
              </w:rPr>
              <w:t>Bank of England</w:t>
            </w:r>
          </w:p>
        </w:tc>
      </w:tr>
      <w:tr>
        <w:trPr>
          <w:trHeight w:val="350" w:hRule="atLeast"/>
        </w:trPr>
        <w:tc>
          <w:tcPr>
            <w:tcW w:w="3775" w:type="dxa"/>
          </w:tcPr>
          <w:p>
            <w:pPr>
              <w:pStyle w:val="TableParagraph"/>
              <w:rPr>
                <w:sz w:val="20"/>
              </w:rPr>
            </w:pPr>
            <w:r>
              <w:rPr>
                <w:sz w:val="20"/>
              </w:rPr>
              <w:t>Martin Wheatley</w:t>
            </w:r>
          </w:p>
        </w:tc>
        <w:tc>
          <w:tcPr>
            <w:tcW w:w="4220" w:type="dxa"/>
          </w:tcPr>
          <w:p>
            <w:pPr>
              <w:pStyle w:val="TableParagraph"/>
              <w:ind w:left="1353"/>
              <w:rPr>
                <w:sz w:val="20"/>
              </w:rPr>
            </w:pPr>
            <w:r>
              <w:rPr>
                <w:sz w:val="20"/>
              </w:rPr>
              <w:t>Financial Conduct Authority</w:t>
            </w:r>
          </w:p>
        </w:tc>
      </w:tr>
      <w:tr>
        <w:trPr>
          <w:trHeight w:val="350" w:hRule="atLeast"/>
        </w:trPr>
        <w:tc>
          <w:tcPr>
            <w:tcW w:w="3775" w:type="dxa"/>
          </w:tcPr>
          <w:p>
            <w:pPr>
              <w:pStyle w:val="TableParagraph"/>
              <w:rPr>
                <w:sz w:val="20"/>
              </w:rPr>
            </w:pPr>
            <w:r>
              <w:rPr>
                <w:sz w:val="20"/>
              </w:rPr>
              <w:t>Carlos Molinas</w:t>
            </w:r>
          </w:p>
        </w:tc>
        <w:tc>
          <w:tcPr>
            <w:tcW w:w="4220" w:type="dxa"/>
          </w:tcPr>
          <w:p>
            <w:pPr>
              <w:pStyle w:val="TableParagraph"/>
              <w:ind w:left="1353"/>
              <w:rPr>
                <w:sz w:val="20"/>
              </w:rPr>
            </w:pPr>
            <w:r>
              <w:rPr>
                <w:sz w:val="20"/>
              </w:rPr>
              <w:t>Financial Conduct Authority</w:t>
            </w:r>
          </w:p>
        </w:tc>
      </w:tr>
      <w:tr>
        <w:trPr>
          <w:trHeight w:val="349" w:hRule="atLeast"/>
        </w:trPr>
        <w:tc>
          <w:tcPr>
            <w:tcW w:w="3775" w:type="dxa"/>
          </w:tcPr>
          <w:p>
            <w:pPr>
              <w:pStyle w:val="TableParagraph"/>
              <w:rPr>
                <w:sz w:val="20"/>
              </w:rPr>
            </w:pPr>
            <w:r>
              <w:rPr>
                <w:sz w:val="20"/>
              </w:rPr>
              <w:t>David Bowman</w:t>
            </w:r>
          </w:p>
        </w:tc>
        <w:tc>
          <w:tcPr>
            <w:tcW w:w="4220" w:type="dxa"/>
          </w:tcPr>
          <w:p>
            <w:pPr>
              <w:pStyle w:val="TableParagraph"/>
              <w:ind w:left="1353"/>
              <w:rPr>
                <w:sz w:val="20"/>
              </w:rPr>
            </w:pPr>
            <w:r>
              <w:rPr>
                <w:sz w:val="20"/>
              </w:rPr>
              <w:t>US Federal Reserve Board</w:t>
            </w:r>
          </w:p>
        </w:tc>
      </w:tr>
      <w:tr>
        <w:trPr>
          <w:trHeight w:val="285" w:hRule="atLeast"/>
        </w:trPr>
        <w:tc>
          <w:tcPr>
            <w:tcW w:w="3775" w:type="dxa"/>
          </w:tcPr>
          <w:p>
            <w:pPr>
              <w:pStyle w:val="TableParagraph"/>
              <w:spacing w:line="213" w:lineRule="exact" w:before="52"/>
              <w:rPr>
                <w:sz w:val="20"/>
              </w:rPr>
            </w:pPr>
            <w:r>
              <w:rPr>
                <w:sz w:val="20"/>
              </w:rPr>
              <w:t>Sebastien Kraenzlin</w:t>
            </w:r>
          </w:p>
        </w:tc>
        <w:tc>
          <w:tcPr>
            <w:tcW w:w="4220" w:type="dxa"/>
          </w:tcPr>
          <w:p>
            <w:pPr>
              <w:pStyle w:val="TableParagraph"/>
              <w:spacing w:line="213" w:lineRule="exact" w:before="52"/>
              <w:ind w:left="1353"/>
              <w:rPr>
                <w:sz w:val="20"/>
              </w:rPr>
            </w:pPr>
            <w:r>
              <w:rPr>
                <w:sz w:val="20"/>
              </w:rPr>
              <w:t>Swiss National Bank</w:t>
            </w:r>
          </w:p>
        </w:tc>
      </w:tr>
    </w:tbl>
    <w:sectPr>
      <w:pgSz w:w="11910" w:h="16840"/>
      <w:pgMar w:header="0" w:footer="707" w:top="1100" w:bottom="900" w:left="96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type id="_x0000_t202" o:spt="202" coordsize="21600,21600" path="m,l,21600r21600,l21600,xe">
          <v:stroke joinstyle="miter"/>
          <v:path gradientshapeok="t" o:connecttype="rect"/>
        </v:shapetype>
        <v:shape style="position:absolute;margin-left:299.109985pt;margin-top:791.575989pt;width:11.6pt;height:13.05pt;mso-position-horizontal-relative:page;mso-position-vertical-relative:page;z-index:-251951104" type="#_x0000_t202" filled="false" stroked="false">
          <v:textbox inset="0,0,0,0">
            <w:txbxContent>
              <w:p>
                <w:pPr>
                  <w:spacing w:line="245" w:lineRule="exact" w:before="0"/>
                  <w:ind w:left="60" w:right="0" w:firstLine="0"/>
                  <w:jc w:val="left"/>
                  <w:rPr>
                    <w:rFonts w:ascii="Calibri"/>
                    <w:sz w:val="22"/>
                  </w:rPr>
                </w:pPr>
                <w:r>
                  <w:rPr/>
                  <w:fldChar w:fldCharType="begin"/>
                </w:r>
                <w:r>
                  <w:rPr>
                    <w:rFonts w:ascii="Calibri"/>
                    <w:w w:val="100"/>
                    <w:sz w:val="22"/>
                  </w:rPr>
                  <w:instrText> PAGE </w:instrText>
                </w:r>
                <w:r>
                  <w:rPr/>
                  <w:fldChar w:fldCharType="separate"/>
                </w:r>
                <w:r>
                  <w:rPr/>
                  <w:t>4</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44" w:hanging="428"/>
        <w:jc w:val="left"/>
      </w:pPr>
      <w:rPr>
        <w:rFonts w:hint="default" w:ascii="Arial" w:hAnsi="Arial" w:eastAsia="Arial" w:cs="Arial"/>
        <w:w w:val="99"/>
        <w:sz w:val="20"/>
        <w:szCs w:val="20"/>
        <w:lang w:val="en-gb" w:eastAsia="en-gb" w:bidi="en-gb"/>
      </w:rPr>
    </w:lvl>
    <w:lvl w:ilvl="1">
      <w:start w:val="1"/>
      <w:numFmt w:val="lowerRoman"/>
      <w:lvlText w:val="%2."/>
      <w:lvlJc w:val="left"/>
      <w:pPr>
        <w:ind w:left="1397" w:hanging="461"/>
        <w:jc w:val="right"/>
      </w:pPr>
      <w:rPr>
        <w:rFonts w:hint="default" w:ascii="Arial" w:hAnsi="Arial" w:eastAsia="Arial" w:cs="Arial"/>
        <w:spacing w:val="-2"/>
        <w:w w:val="99"/>
        <w:sz w:val="20"/>
        <w:szCs w:val="20"/>
        <w:lang w:val="en-gb" w:eastAsia="en-gb" w:bidi="en-gb"/>
      </w:rPr>
    </w:lvl>
    <w:lvl w:ilvl="2">
      <w:start w:val="0"/>
      <w:numFmt w:val="bullet"/>
      <w:lvlText w:val="•"/>
      <w:lvlJc w:val="left"/>
      <w:pPr>
        <w:ind w:left="2358" w:hanging="461"/>
      </w:pPr>
      <w:rPr>
        <w:rFonts w:hint="default"/>
        <w:lang w:val="en-gb" w:eastAsia="en-gb" w:bidi="en-gb"/>
      </w:rPr>
    </w:lvl>
    <w:lvl w:ilvl="3">
      <w:start w:val="0"/>
      <w:numFmt w:val="bullet"/>
      <w:lvlText w:val="•"/>
      <w:lvlJc w:val="left"/>
      <w:pPr>
        <w:ind w:left="3316" w:hanging="461"/>
      </w:pPr>
      <w:rPr>
        <w:rFonts w:hint="default"/>
        <w:lang w:val="en-gb" w:eastAsia="en-gb" w:bidi="en-gb"/>
      </w:rPr>
    </w:lvl>
    <w:lvl w:ilvl="4">
      <w:start w:val="0"/>
      <w:numFmt w:val="bullet"/>
      <w:lvlText w:val="•"/>
      <w:lvlJc w:val="left"/>
      <w:pPr>
        <w:ind w:left="4275" w:hanging="461"/>
      </w:pPr>
      <w:rPr>
        <w:rFonts w:hint="default"/>
        <w:lang w:val="en-gb" w:eastAsia="en-gb" w:bidi="en-gb"/>
      </w:rPr>
    </w:lvl>
    <w:lvl w:ilvl="5">
      <w:start w:val="0"/>
      <w:numFmt w:val="bullet"/>
      <w:lvlText w:val="•"/>
      <w:lvlJc w:val="left"/>
      <w:pPr>
        <w:ind w:left="5233" w:hanging="461"/>
      </w:pPr>
      <w:rPr>
        <w:rFonts w:hint="default"/>
        <w:lang w:val="en-gb" w:eastAsia="en-gb" w:bidi="en-gb"/>
      </w:rPr>
    </w:lvl>
    <w:lvl w:ilvl="6">
      <w:start w:val="0"/>
      <w:numFmt w:val="bullet"/>
      <w:lvlText w:val="•"/>
      <w:lvlJc w:val="left"/>
      <w:pPr>
        <w:ind w:left="6192" w:hanging="461"/>
      </w:pPr>
      <w:rPr>
        <w:rFonts w:hint="default"/>
        <w:lang w:val="en-gb" w:eastAsia="en-gb" w:bidi="en-gb"/>
      </w:rPr>
    </w:lvl>
    <w:lvl w:ilvl="7">
      <w:start w:val="0"/>
      <w:numFmt w:val="bullet"/>
      <w:lvlText w:val="•"/>
      <w:lvlJc w:val="left"/>
      <w:pPr>
        <w:ind w:left="7150" w:hanging="461"/>
      </w:pPr>
      <w:rPr>
        <w:rFonts w:hint="default"/>
        <w:lang w:val="en-gb" w:eastAsia="en-gb" w:bidi="en-gb"/>
      </w:rPr>
    </w:lvl>
    <w:lvl w:ilvl="8">
      <w:start w:val="0"/>
      <w:numFmt w:val="bullet"/>
      <w:lvlText w:val="•"/>
      <w:lvlJc w:val="left"/>
      <w:pPr>
        <w:ind w:left="8109" w:hanging="461"/>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317"/>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317"/>
    </w:pPr>
    <w:rPr>
      <w:rFonts w:ascii="Arial" w:hAnsi="Arial" w:eastAsia="Arial" w:cs="Arial"/>
      <w:lang w:val="en-gb" w:eastAsia="en-gb" w:bidi="en-gb"/>
    </w:rPr>
  </w:style>
  <w:style w:styleId="TableParagraph" w:type="paragraph">
    <w:name w:val="Table Paragraph"/>
    <w:basedOn w:val="Normal"/>
    <w:uiPriority w:val="1"/>
    <w:qFormat/>
    <w:pPr>
      <w:spacing w:before="54"/>
      <w:ind w:left="200"/>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bankofengland.co.uk/publications/Documents/speeches/2015/speech811.pdf" TargetMode="External"/><Relationship Id="rId7" Type="http://schemas.openxmlformats.org/officeDocument/2006/relationships/hyperlink" Target="http://www.bankofengland.co.uk/markets/Documents/sterlingoperations/rfr/tor.pdf"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Working Group</dc:creator>
  <dc:subject>Minutes - March 2015</dc:subject>
  <dc:title>Minutes of the Meeting of the Working Group on Sterling Risk-Free Reference Rates</dc:title>
  <dcterms:created xsi:type="dcterms:W3CDTF">2020-06-01T02:24:12Z</dcterms:created>
  <dcterms:modified xsi:type="dcterms:W3CDTF">2020-06-01T02:24:12Z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2015-04-15T00:00:00Z</vt:filetime>
  </property>
  <property fmtid="{D5CDD505-2E9C-101B-9397-08002B2CF9AE}" pid="3" name="LastSaved">
    <vt:filetime>2020-06-01T00:00:00Z</vt:filetime>
  </property>
</Properties>
</file>