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4" w:lineRule="auto" w:before="78"/>
        <w:ind w:left="801" w:right="731"/>
        <w:jc w:val="center"/>
      </w:pPr>
      <w:r>
        <w:rPr/>
        <w:t>Minutes of the Meeting of the Working Group on Sterling Risk-Free Reference</w:t>
      </w:r>
      <w:r>
        <w:rPr>
          <w:spacing w:val="-16"/>
        </w:rPr>
        <w:t> </w:t>
      </w:r>
      <w:r>
        <w:rPr/>
        <w:t>Rates Tuesday 1</w:t>
      </w:r>
      <w:r>
        <w:rPr>
          <w:spacing w:val="-5"/>
        </w:rPr>
        <w:t> </w:t>
      </w:r>
      <w:r>
        <w:rPr/>
        <w:t>March</w:t>
      </w:r>
    </w:p>
    <w:p>
      <w:pPr>
        <w:spacing w:before="1"/>
        <w:ind w:left="799" w:right="731" w:firstLine="0"/>
        <w:jc w:val="center"/>
        <w:rPr>
          <w:b/>
          <w:sz w:val="20"/>
        </w:rPr>
      </w:pPr>
      <w:r>
        <w:rPr>
          <w:b/>
          <w:sz w:val="20"/>
        </w:rPr>
        <w:t>Bank of</w:t>
      </w:r>
      <w:r>
        <w:rPr>
          <w:b/>
          <w:spacing w:val="-10"/>
          <w:sz w:val="20"/>
        </w:rPr>
        <w:t> </w:t>
      </w:r>
      <w:r>
        <w:rPr>
          <w:b/>
          <w:sz w:val="20"/>
        </w:rPr>
        <w:t>England</w:t>
      </w:r>
    </w:p>
    <w:p>
      <w:pPr>
        <w:pStyle w:val="BodyText"/>
        <w:spacing w:before="10"/>
        <w:rPr>
          <w:b/>
          <w:sz w:val="30"/>
        </w:rPr>
      </w:pPr>
    </w:p>
    <w:p>
      <w:pPr>
        <w:spacing w:before="0"/>
        <w:ind w:left="119" w:right="0" w:firstLine="0"/>
        <w:jc w:val="left"/>
        <w:rPr>
          <w:b/>
          <w:sz w:val="20"/>
        </w:rPr>
      </w:pPr>
      <w:r>
        <w:rPr>
          <w:b/>
          <w:sz w:val="20"/>
        </w:rPr>
        <w:t>Minutes of previous meeting</w:t>
      </w:r>
    </w:p>
    <w:p>
      <w:pPr>
        <w:pStyle w:val="BodyText"/>
        <w:spacing w:before="3"/>
        <w:rPr>
          <w:b/>
        </w:rPr>
      </w:pPr>
    </w:p>
    <w:p>
      <w:pPr>
        <w:pStyle w:val="ListParagraph"/>
        <w:numPr>
          <w:ilvl w:val="0"/>
          <w:numId w:val="1"/>
        </w:numPr>
        <w:tabs>
          <w:tab w:pos="545" w:val="left" w:leader="none"/>
          <w:tab w:pos="546" w:val="left" w:leader="none"/>
        </w:tabs>
        <w:spacing w:line="240" w:lineRule="auto" w:before="0" w:after="0"/>
        <w:ind w:left="545" w:right="0" w:hanging="427"/>
        <w:jc w:val="left"/>
        <w:rPr>
          <w:sz w:val="20"/>
        </w:rPr>
      </w:pPr>
      <w:r>
        <w:rPr>
          <w:sz w:val="20"/>
        </w:rPr>
        <w:t>The minutes of the previous meeting on 22 January 2016 were</w:t>
      </w:r>
      <w:r>
        <w:rPr>
          <w:spacing w:val="-15"/>
          <w:sz w:val="20"/>
        </w:rPr>
        <w:t> </w:t>
      </w:r>
      <w:r>
        <w:rPr>
          <w:sz w:val="20"/>
        </w:rPr>
        <w:t>approved.</w:t>
      </w:r>
    </w:p>
    <w:p>
      <w:pPr>
        <w:pStyle w:val="BodyText"/>
        <w:spacing w:before="7"/>
      </w:pPr>
    </w:p>
    <w:p>
      <w:pPr>
        <w:pStyle w:val="Heading1"/>
        <w:spacing w:before="0"/>
      </w:pPr>
      <w:r>
        <w:rPr/>
        <w:t>Update on potential secured benchmark providers</w:t>
      </w:r>
    </w:p>
    <w:p>
      <w:pPr>
        <w:pStyle w:val="BodyText"/>
        <w:spacing w:before="3"/>
        <w:rPr>
          <w:b/>
        </w:rPr>
      </w:pPr>
    </w:p>
    <w:p>
      <w:pPr>
        <w:pStyle w:val="ListParagraph"/>
        <w:numPr>
          <w:ilvl w:val="0"/>
          <w:numId w:val="1"/>
        </w:numPr>
        <w:tabs>
          <w:tab w:pos="545" w:val="left" w:leader="none"/>
          <w:tab w:pos="546" w:val="left" w:leader="none"/>
        </w:tabs>
        <w:spacing w:line="360" w:lineRule="auto" w:before="1" w:after="0"/>
        <w:ind w:left="119" w:right="112" w:firstLine="0"/>
        <w:jc w:val="left"/>
        <w:rPr>
          <w:sz w:val="20"/>
        </w:rPr>
      </w:pPr>
      <w:r>
        <w:rPr>
          <w:sz w:val="20"/>
        </w:rPr>
        <w:t>A number of potential secured rate providers had expressed interest in presenting their proposals to the Working Group, following the publication in December of ‘Design criteria for a secured overnight money market benchmark’. The secured sub-group will arrange meetings to understand more about their proposals.</w:t>
      </w:r>
    </w:p>
    <w:p>
      <w:pPr>
        <w:pStyle w:val="Heading1"/>
        <w:spacing w:before="121"/>
      </w:pPr>
      <w:r>
        <w:rPr/>
        <w:t>Update on Bank’s new money market data collection</w:t>
      </w:r>
    </w:p>
    <w:p>
      <w:pPr>
        <w:pStyle w:val="BodyText"/>
        <w:spacing w:before="4"/>
        <w:rPr>
          <w:b/>
        </w:rPr>
      </w:pPr>
    </w:p>
    <w:p>
      <w:pPr>
        <w:pStyle w:val="ListParagraph"/>
        <w:numPr>
          <w:ilvl w:val="0"/>
          <w:numId w:val="1"/>
        </w:numPr>
        <w:tabs>
          <w:tab w:pos="545" w:val="left" w:leader="none"/>
          <w:tab w:pos="546" w:val="left" w:leader="none"/>
        </w:tabs>
        <w:spacing w:line="360" w:lineRule="auto" w:before="0" w:after="0"/>
        <w:ind w:left="119" w:right="543" w:firstLine="0"/>
        <w:jc w:val="left"/>
        <w:rPr>
          <w:sz w:val="20"/>
        </w:rPr>
      </w:pPr>
      <w:r>
        <w:rPr>
          <w:sz w:val="20"/>
        </w:rPr>
        <w:t>The Bank provided an update on its new money market data collection. The key points of the inaugural SMMA (Sterling Money Market Annual) data collection had been published in the H2 2015 Money Market Liaison Committee Sterling Money Markets</w:t>
      </w:r>
      <w:r>
        <w:rPr>
          <w:spacing w:val="-12"/>
          <w:sz w:val="20"/>
        </w:rPr>
        <w:t> </w:t>
      </w:r>
      <w:r>
        <w:rPr>
          <w:sz w:val="20"/>
        </w:rPr>
        <w:t>Survey.</w:t>
      </w:r>
      <w:r>
        <w:rPr>
          <w:sz w:val="20"/>
          <w:vertAlign w:val="superscript"/>
        </w:rPr>
        <w:t>1</w:t>
      </w:r>
    </w:p>
    <w:p>
      <w:pPr>
        <w:pStyle w:val="ListParagraph"/>
        <w:numPr>
          <w:ilvl w:val="0"/>
          <w:numId w:val="1"/>
        </w:numPr>
        <w:tabs>
          <w:tab w:pos="545" w:val="left" w:leader="none"/>
          <w:tab w:pos="546" w:val="left" w:leader="none"/>
        </w:tabs>
        <w:spacing w:line="360" w:lineRule="auto" w:before="120" w:after="0"/>
        <w:ind w:left="119" w:right="119" w:firstLine="0"/>
        <w:jc w:val="left"/>
        <w:rPr>
          <w:sz w:val="20"/>
        </w:rPr>
      </w:pPr>
      <w:r>
        <w:rPr>
          <w:sz w:val="20"/>
        </w:rPr>
        <w:t>The SMMA return had covered all UK incorporated Banks and Building Societies, other firms able to accept sterling deposits through a UK branch, and PRA-designated investment firms. This totalled 351 individual legal entities. The sample period was November 2015 – future SMMA returns will cover a full calendar</w:t>
      </w:r>
      <w:r>
        <w:rPr>
          <w:spacing w:val="-2"/>
          <w:sz w:val="20"/>
        </w:rPr>
        <w:t> </w:t>
      </w:r>
      <w:r>
        <w:rPr>
          <w:sz w:val="20"/>
        </w:rPr>
        <w:t>year.</w:t>
      </w:r>
    </w:p>
    <w:p>
      <w:pPr>
        <w:pStyle w:val="ListParagraph"/>
        <w:numPr>
          <w:ilvl w:val="0"/>
          <w:numId w:val="1"/>
        </w:numPr>
        <w:tabs>
          <w:tab w:pos="545" w:val="left" w:leader="none"/>
          <w:tab w:pos="546" w:val="left" w:leader="none"/>
        </w:tabs>
        <w:spacing w:line="360" w:lineRule="auto" w:before="120" w:after="0"/>
        <w:ind w:left="119" w:right="273" w:firstLine="0"/>
        <w:jc w:val="left"/>
        <w:rPr>
          <w:sz w:val="20"/>
        </w:rPr>
      </w:pPr>
      <w:r>
        <w:rPr>
          <w:sz w:val="20"/>
        </w:rPr>
        <w:t>The headline activity figures from the SMMA data showed a daily average £45 billion unsecured deposits at maturities up to one year, of which £40 billion was overnight. The secured figures showed a daily</w:t>
      </w:r>
      <w:r>
        <w:rPr>
          <w:spacing w:val="-3"/>
          <w:sz w:val="20"/>
        </w:rPr>
        <w:t> </w:t>
      </w:r>
      <w:r>
        <w:rPr>
          <w:sz w:val="20"/>
        </w:rPr>
        <w:t>average</w:t>
      </w:r>
      <w:r>
        <w:rPr>
          <w:spacing w:val="-3"/>
          <w:sz w:val="20"/>
        </w:rPr>
        <w:t> </w:t>
      </w:r>
      <w:r>
        <w:rPr>
          <w:sz w:val="20"/>
        </w:rPr>
        <w:t>of</w:t>
      </w:r>
      <w:r>
        <w:rPr>
          <w:spacing w:val="-2"/>
          <w:sz w:val="20"/>
        </w:rPr>
        <w:t> </w:t>
      </w:r>
      <w:r>
        <w:rPr>
          <w:sz w:val="20"/>
        </w:rPr>
        <w:t>£102</w:t>
      </w:r>
      <w:r>
        <w:rPr>
          <w:spacing w:val="-2"/>
          <w:sz w:val="20"/>
        </w:rPr>
        <w:t> </w:t>
      </w:r>
      <w:r>
        <w:rPr>
          <w:sz w:val="20"/>
        </w:rPr>
        <w:t>billion</w:t>
      </w:r>
      <w:r>
        <w:rPr>
          <w:spacing w:val="-3"/>
          <w:sz w:val="20"/>
        </w:rPr>
        <w:t> </w:t>
      </w:r>
      <w:r>
        <w:rPr>
          <w:sz w:val="20"/>
        </w:rPr>
        <w:t>of</w:t>
      </w:r>
      <w:r>
        <w:rPr>
          <w:spacing w:val="-2"/>
          <w:sz w:val="20"/>
        </w:rPr>
        <w:t> </w:t>
      </w:r>
      <w:r>
        <w:rPr>
          <w:sz w:val="20"/>
        </w:rPr>
        <w:t>repo</w:t>
      </w:r>
      <w:r>
        <w:rPr>
          <w:spacing w:val="-2"/>
          <w:sz w:val="20"/>
        </w:rPr>
        <w:t> </w:t>
      </w:r>
      <w:r>
        <w:rPr>
          <w:sz w:val="20"/>
        </w:rPr>
        <w:t>at</w:t>
      </w:r>
      <w:r>
        <w:rPr>
          <w:spacing w:val="-3"/>
          <w:sz w:val="20"/>
        </w:rPr>
        <w:t> </w:t>
      </w:r>
      <w:r>
        <w:rPr>
          <w:sz w:val="20"/>
        </w:rPr>
        <w:t>maturities</w:t>
      </w:r>
      <w:r>
        <w:rPr>
          <w:spacing w:val="-1"/>
          <w:sz w:val="20"/>
        </w:rPr>
        <w:t> </w:t>
      </w:r>
      <w:r>
        <w:rPr>
          <w:sz w:val="20"/>
        </w:rPr>
        <w:t>up</w:t>
      </w:r>
      <w:r>
        <w:rPr>
          <w:spacing w:val="-3"/>
          <w:sz w:val="20"/>
        </w:rPr>
        <w:t> </w:t>
      </w:r>
      <w:r>
        <w:rPr>
          <w:sz w:val="20"/>
        </w:rPr>
        <w:t>to</w:t>
      </w:r>
      <w:r>
        <w:rPr>
          <w:spacing w:val="-2"/>
          <w:sz w:val="20"/>
        </w:rPr>
        <w:t> </w:t>
      </w:r>
      <w:r>
        <w:rPr>
          <w:sz w:val="20"/>
        </w:rPr>
        <w:t>one</w:t>
      </w:r>
      <w:r>
        <w:rPr>
          <w:spacing w:val="-2"/>
          <w:sz w:val="20"/>
        </w:rPr>
        <w:t> </w:t>
      </w:r>
      <w:r>
        <w:rPr>
          <w:sz w:val="20"/>
        </w:rPr>
        <w:t>year,</w:t>
      </w:r>
      <w:r>
        <w:rPr>
          <w:spacing w:val="-3"/>
          <w:sz w:val="20"/>
        </w:rPr>
        <w:t> </w:t>
      </w:r>
      <w:r>
        <w:rPr>
          <w:sz w:val="20"/>
        </w:rPr>
        <w:t>of</w:t>
      </w:r>
      <w:r>
        <w:rPr>
          <w:spacing w:val="-2"/>
          <w:sz w:val="20"/>
        </w:rPr>
        <w:t> </w:t>
      </w:r>
      <w:r>
        <w:rPr>
          <w:sz w:val="20"/>
        </w:rPr>
        <w:t>which</w:t>
      </w:r>
      <w:r>
        <w:rPr>
          <w:spacing w:val="-2"/>
          <w:sz w:val="20"/>
        </w:rPr>
        <w:t> </w:t>
      </w:r>
      <w:r>
        <w:rPr>
          <w:sz w:val="20"/>
        </w:rPr>
        <w:t>£73</w:t>
      </w:r>
      <w:r>
        <w:rPr>
          <w:spacing w:val="-2"/>
          <w:sz w:val="20"/>
        </w:rPr>
        <w:t> </w:t>
      </w:r>
      <w:r>
        <w:rPr>
          <w:sz w:val="20"/>
        </w:rPr>
        <w:t>billion</w:t>
      </w:r>
      <w:r>
        <w:rPr>
          <w:spacing w:val="-3"/>
          <w:sz w:val="20"/>
        </w:rPr>
        <w:t> </w:t>
      </w:r>
      <w:r>
        <w:rPr>
          <w:sz w:val="20"/>
        </w:rPr>
        <w:t>was</w:t>
      </w:r>
      <w:r>
        <w:rPr>
          <w:spacing w:val="-2"/>
          <w:sz w:val="20"/>
        </w:rPr>
        <w:t> </w:t>
      </w:r>
      <w:r>
        <w:rPr>
          <w:sz w:val="20"/>
        </w:rPr>
        <w:t>overnight.</w:t>
      </w:r>
    </w:p>
    <w:p>
      <w:pPr>
        <w:pStyle w:val="ListParagraph"/>
        <w:numPr>
          <w:ilvl w:val="0"/>
          <w:numId w:val="1"/>
        </w:numPr>
        <w:tabs>
          <w:tab w:pos="545" w:val="left" w:leader="none"/>
          <w:tab w:pos="546" w:val="left" w:leader="none"/>
        </w:tabs>
        <w:spacing w:line="360" w:lineRule="auto" w:before="119" w:after="0"/>
        <w:ind w:left="119" w:right="156" w:firstLine="0"/>
        <w:jc w:val="left"/>
        <w:rPr>
          <w:sz w:val="20"/>
        </w:rPr>
      </w:pPr>
      <w:r>
        <w:rPr>
          <w:sz w:val="20"/>
        </w:rPr>
        <w:t>The Bank noted that its policy for determining the reporting population for the daily SMMD form was to require the most active banks to report, up to the number required to achieve coverage of 95% of total activity (as reported in the SMMA). The data collected via SMMD included data on unsecured deposits which would underpin the reformed SONIA reference</w:t>
      </w:r>
      <w:r>
        <w:rPr>
          <w:spacing w:val="-9"/>
          <w:sz w:val="20"/>
        </w:rPr>
        <w:t> </w:t>
      </w:r>
      <w:r>
        <w:rPr>
          <w:sz w:val="20"/>
        </w:rPr>
        <w:t>rate.</w:t>
      </w:r>
    </w:p>
    <w:p>
      <w:pPr>
        <w:pStyle w:val="Heading1"/>
      </w:pPr>
      <w:r>
        <w:rPr/>
        <w:t>Future robustness of overnight benchmarks</w:t>
      </w:r>
    </w:p>
    <w:p>
      <w:pPr>
        <w:pStyle w:val="BodyText"/>
        <w:spacing w:before="4"/>
        <w:rPr>
          <w:b/>
        </w:rPr>
      </w:pPr>
    </w:p>
    <w:p>
      <w:pPr>
        <w:pStyle w:val="ListParagraph"/>
        <w:numPr>
          <w:ilvl w:val="0"/>
          <w:numId w:val="1"/>
        </w:numPr>
        <w:tabs>
          <w:tab w:pos="545" w:val="left" w:leader="none"/>
          <w:tab w:pos="546" w:val="left" w:leader="none"/>
        </w:tabs>
        <w:spacing w:line="360" w:lineRule="auto" w:before="0" w:after="0"/>
        <w:ind w:left="119" w:right="362" w:firstLine="0"/>
        <w:jc w:val="left"/>
        <w:rPr>
          <w:sz w:val="20"/>
        </w:rPr>
      </w:pPr>
      <w:r>
        <w:rPr>
          <w:sz w:val="20"/>
        </w:rPr>
        <w:t>The Group discussed the feedback received from members in response to the question, posed at the previous meeting, on the factors which could impact the robustness of secured and unsecured overnight benchmarks over the medium term. A wide range of regulatory, economic, and business model factors would interact to shape sterling financial markets in</w:t>
      </w:r>
      <w:r>
        <w:rPr>
          <w:spacing w:val="-12"/>
          <w:sz w:val="20"/>
        </w:rPr>
        <w:t> </w:t>
      </w:r>
      <w:r>
        <w:rPr>
          <w:sz w:val="20"/>
        </w:rPr>
        <w:t>future.</w:t>
      </w:r>
    </w:p>
    <w:p>
      <w:pPr>
        <w:pStyle w:val="ListParagraph"/>
        <w:numPr>
          <w:ilvl w:val="0"/>
          <w:numId w:val="1"/>
        </w:numPr>
        <w:tabs>
          <w:tab w:pos="545" w:val="left" w:leader="none"/>
          <w:tab w:pos="546" w:val="left" w:leader="none"/>
        </w:tabs>
        <w:spacing w:line="360" w:lineRule="auto" w:before="120" w:after="0"/>
        <w:ind w:left="119" w:right="172" w:firstLine="0"/>
        <w:jc w:val="left"/>
        <w:rPr>
          <w:sz w:val="20"/>
        </w:rPr>
      </w:pPr>
      <w:r>
        <w:rPr>
          <w:sz w:val="20"/>
        </w:rPr>
        <w:t>The Chair suggested that a constructive follow up would be for the Group to consider whether there were any actions the official sector could consider to support activity in money markets, thereby strengthening actual or prospective benchmarks referencing those markets. It was agreed that the unsecured and secured sub-groups would reconvene to take this work</w:t>
      </w:r>
      <w:r>
        <w:rPr>
          <w:spacing w:val="-14"/>
          <w:sz w:val="20"/>
        </w:rPr>
        <w:t> </w:t>
      </w:r>
      <w:r>
        <w:rPr>
          <w:sz w:val="20"/>
        </w:rPr>
        <w:t>forward.</w:t>
      </w:r>
    </w:p>
    <w:p>
      <w:pPr>
        <w:pStyle w:val="Heading1"/>
      </w:pPr>
      <w:r>
        <w:rPr/>
        <w:t>Workstream on Libor Transition</w:t>
      </w:r>
    </w:p>
    <w:p>
      <w:pPr>
        <w:pStyle w:val="BodyText"/>
        <w:spacing w:before="9"/>
        <w:rPr>
          <w:b/>
          <w:sz w:val="18"/>
        </w:rPr>
      </w:pPr>
      <w:r>
        <w:rPr/>
        <w:pict>
          <v:shape style="position:absolute;margin-left:72pt;margin-top:13.174238pt;width:144pt;height:.1pt;mso-position-horizontal-relative:page;mso-position-vertical-relative:paragraph;z-index:-251658240;mso-wrap-distance-left:0;mso-wrap-distance-right:0" coordorigin="1440,263" coordsize="2880,0" path="m1440,263l4320,263e" filled="false" stroked="true" strokeweight=".72pt" strokecolor="#000000">
            <v:path arrowok="t"/>
            <v:stroke dashstyle="solid"/>
            <w10:wrap type="topAndBottom"/>
          </v:shape>
        </w:pict>
      </w:r>
    </w:p>
    <w:p>
      <w:pPr>
        <w:pStyle w:val="BodyText"/>
        <w:spacing w:before="35"/>
        <w:ind w:left="120"/>
        <w:rPr>
          <w:rFonts w:ascii="Calibri"/>
        </w:rPr>
      </w:pPr>
      <w:r>
        <w:rPr>
          <w:rFonts w:ascii="Calibri"/>
          <w:position w:val="10"/>
          <w:sz w:val="13"/>
        </w:rPr>
        <w:t>1 </w:t>
      </w:r>
      <w:hyperlink r:id="rId5">
        <w:r>
          <w:rPr>
            <w:rFonts w:ascii="Calibri"/>
            <w:color w:val="0000FF"/>
            <w:u w:val="single" w:color="0000FF"/>
          </w:rPr>
          <w:t>http://www.bankofengland.co.uk/publications/Documents/other/markets/mmlc/smms2015h2.pdf</w:t>
        </w:r>
      </w:hyperlink>
    </w:p>
    <w:p>
      <w:pPr>
        <w:spacing w:after="0"/>
        <w:rPr>
          <w:rFonts w:ascii="Calibri"/>
        </w:rPr>
        <w:sectPr>
          <w:type w:val="continuous"/>
          <w:pgSz w:w="11910" w:h="16840"/>
          <w:pgMar w:top="1360" w:bottom="280" w:left="1320" w:right="1080"/>
        </w:sectPr>
      </w:pPr>
    </w:p>
    <w:p>
      <w:pPr>
        <w:pStyle w:val="ListParagraph"/>
        <w:numPr>
          <w:ilvl w:val="0"/>
          <w:numId w:val="1"/>
        </w:numPr>
        <w:tabs>
          <w:tab w:pos="545" w:val="left" w:leader="none"/>
          <w:tab w:pos="546" w:val="left" w:leader="none"/>
        </w:tabs>
        <w:spacing w:line="360" w:lineRule="auto" w:before="77" w:after="0"/>
        <w:ind w:left="119" w:right="147" w:firstLine="0"/>
        <w:jc w:val="left"/>
        <w:rPr>
          <w:sz w:val="20"/>
        </w:rPr>
      </w:pPr>
      <w:r>
        <w:rPr>
          <w:sz w:val="20"/>
        </w:rPr>
        <w:t>The Group noted that the work stream on the transition of the OIS market to a new RFR (if secured is chosen) had made significant progress. However, less progress had been made on plans to transition Libor-based contracts to the new RFR. As such, the group agreed that the near-term work plan should prioritise further work on issues relating to Libor</w:t>
      </w:r>
      <w:r>
        <w:rPr>
          <w:spacing w:val="-8"/>
          <w:sz w:val="20"/>
        </w:rPr>
        <w:t> </w:t>
      </w:r>
      <w:r>
        <w:rPr>
          <w:sz w:val="20"/>
        </w:rPr>
        <w:t>transition.</w:t>
      </w:r>
    </w:p>
    <w:p>
      <w:pPr>
        <w:pStyle w:val="ListParagraph"/>
        <w:numPr>
          <w:ilvl w:val="0"/>
          <w:numId w:val="1"/>
        </w:numPr>
        <w:tabs>
          <w:tab w:pos="545" w:val="left" w:leader="none"/>
          <w:tab w:pos="546" w:val="left" w:leader="none"/>
        </w:tabs>
        <w:spacing w:line="360" w:lineRule="auto" w:before="120" w:after="0"/>
        <w:ind w:left="119" w:right="199" w:firstLine="0"/>
        <w:jc w:val="left"/>
        <w:rPr>
          <w:sz w:val="20"/>
        </w:rPr>
      </w:pPr>
      <w:r>
        <w:rPr>
          <w:sz w:val="20"/>
        </w:rPr>
        <w:t>Group members reiterated that a transition away from Libor to the new RFR would be gradual and voluntary, and that the presumption was that it would only proceed once the RFR was established in the OIS</w:t>
      </w:r>
      <w:r>
        <w:rPr>
          <w:spacing w:val="-2"/>
          <w:sz w:val="20"/>
        </w:rPr>
        <w:t> </w:t>
      </w:r>
      <w:r>
        <w:rPr>
          <w:sz w:val="20"/>
        </w:rPr>
        <w:t>market.</w:t>
      </w:r>
    </w:p>
    <w:p>
      <w:pPr>
        <w:pStyle w:val="ListParagraph"/>
        <w:numPr>
          <w:ilvl w:val="0"/>
          <w:numId w:val="1"/>
        </w:numPr>
        <w:tabs>
          <w:tab w:pos="545" w:val="left" w:leader="none"/>
          <w:tab w:pos="546" w:val="left" w:leader="none"/>
        </w:tabs>
        <w:spacing w:line="360" w:lineRule="auto" w:before="119" w:after="0"/>
        <w:ind w:left="119" w:right="265" w:firstLine="0"/>
        <w:jc w:val="left"/>
        <w:rPr>
          <w:sz w:val="20"/>
        </w:rPr>
      </w:pPr>
      <w:r>
        <w:rPr>
          <w:sz w:val="20"/>
        </w:rPr>
        <w:t>It was agreed that a Libor transition work stream would consider market initiatives which could facilitate and encourage voluntary transition of the sterling IRS market to reference the new RFR where appropriate.</w:t>
      </w:r>
    </w:p>
    <w:p>
      <w:pPr>
        <w:pStyle w:val="Heading1"/>
      </w:pPr>
      <w:r>
        <w:rPr/>
        <w:t>Next meeting</w:t>
      </w:r>
    </w:p>
    <w:p>
      <w:pPr>
        <w:pStyle w:val="BodyText"/>
        <w:spacing w:before="3"/>
        <w:rPr>
          <w:b/>
        </w:rPr>
      </w:pPr>
    </w:p>
    <w:p>
      <w:pPr>
        <w:pStyle w:val="ListParagraph"/>
        <w:numPr>
          <w:ilvl w:val="0"/>
          <w:numId w:val="1"/>
        </w:numPr>
        <w:tabs>
          <w:tab w:pos="545" w:val="left" w:leader="none"/>
          <w:tab w:pos="546" w:val="left" w:leader="none"/>
        </w:tabs>
        <w:spacing w:line="240" w:lineRule="auto" w:before="1" w:after="0"/>
        <w:ind w:left="545" w:right="0" w:hanging="427"/>
        <w:jc w:val="left"/>
        <w:rPr>
          <w:sz w:val="20"/>
        </w:rPr>
      </w:pPr>
      <w:r>
        <w:rPr>
          <w:sz w:val="20"/>
        </w:rPr>
        <w:t>Given the work programme, it was agreed the next meeting would be in around six weeks’</w:t>
      </w:r>
      <w:r>
        <w:rPr>
          <w:spacing w:val="-37"/>
          <w:sz w:val="20"/>
        </w:rPr>
        <w:t> </w:t>
      </w:r>
      <w:r>
        <w:rPr>
          <w:sz w:val="20"/>
        </w:rPr>
        <w:t>time.</w:t>
      </w:r>
    </w:p>
    <w:p>
      <w:pPr>
        <w:spacing w:after="0" w:line="240" w:lineRule="auto"/>
        <w:jc w:val="left"/>
        <w:rPr>
          <w:sz w:val="20"/>
        </w:rPr>
        <w:sectPr>
          <w:pgSz w:w="11910" w:h="16840"/>
          <w:pgMar w:top="1360" w:bottom="280" w:left="1320" w:right="1080"/>
        </w:sectPr>
      </w:pPr>
    </w:p>
    <w:p>
      <w:pPr>
        <w:pStyle w:val="Heading1"/>
        <w:spacing w:before="78"/>
        <w:ind w:left="120"/>
      </w:pPr>
      <w:r>
        <w:rPr/>
        <w:t>Private sector attendees</w:t>
      </w:r>
    </w:p>
    <w:p>
      <w:pPr>
        <w:pStyle w:val="BodyText"/>
        <w:spacing w:before="5"/>
        <w:rPr>
          <w:b/>
          <w:sz w:val="23"/>
        </w:rPr>
      </w:pPr>
    </w:p>
    <w:p>
      <w:pPr>
        <w:tabs>
          <w:tab w:pos="3205" w:val="left" w:leader="none"/>
        </w:tabs>
        <w:spacing w:before="0"/>
        <w:ind w:left="227" w:right="0" w:firstLine="0"/>
        <w:jc w:val="left"/>
        <w:rPr>
          <w:b/>
          <w:sz w:val="20"/>
        </w:rPr>
      </w:pPr>
      <w:r>
        <w:rPr>
          <w:sz w:val="20"/>
        </w:rPr>
        <w:t>Nick</w:t>
      </w:r>
      <w:r>
        <w:rPr>
          <w:spacing w:val="-4"/>
          <w:sz w:val="20"/>
        </w:rPr>
        <w:t> </w:t>
      </w:r>
      <w:r>
        <w:rPr>
          <w:sz w:val="20"/>
        </w:rPr>
        <w:t>Saggers</w:t>
        <w:tab/>
      </w:r>
      <w:r>
        <w:rPr>
          <w:b/>
          <w:sz w:val="20"/>
        </w:rPr>
        <w:t>Bank of America-Merrill</w:t>
      </w:r>
      <w:r>
        <w:rPr>
          <w:b/>
          <w:spacing w:val="-4"/>
          <w:sz w:val="20"/>
        </w:rPr>
        <w:t> </w:t>
      </w:r>
      <w:r>
        <w:rPr>
          <w:b/>
          <w:sz w:val="20"/>
        </w:rPr>
        <w:t>Lynch</w:t>
      </w:r>
    </w:p>
    <w:p>
      <w:pPr>
        <w:tabs>
          <w:tab w:pos="3205" w:val="left" w:leader="none"/>
        </w:tabs>
        <w:spacing w:line="312" w:lineRule="auto" w:before="70"/>
        <w:ind w:left="227" w:right="4009" w:firstLine="0"/>
        <w:jc w:val="left"/>
        <w:rPr>
          <w:b/>
          <w:sz w:val="20"/>
        </w:rPr>
      </w:pPr>
      <w:r>
        <w:rPr>
          <w:sz w:val="20"/>
        </w:rPr>
        <w:t>Francois</w:t>
      </w:r>
      <w:r>
        <w:rPr>
          <w:spacing w:val="-1"/>
          <w:sz w:val="20"/>
        </w:rPr>
        <w:t> </w:t>
      </w:r>
      <w:r>
        <w:rPr>
          <w:sz w:val="20"/>
        </w:rPr>
        <w:t>Jourdain</w:t>
        <w:tab/>
      </w:r>
      <w:r>
        <w:rPr>
          <w:b/>
          <w:sz w:val="20"/>
        </w:rPr>
        <w:t>Barclays (Chairman) </w:t>
      </w:r>
      <w:r>
        <w:rPr>
          <w:sz w:val="20"/>
        </w:rPr>
        <w:t>Andreas</w:t>
      </w:r>
      <w:r>
        <w:rPr>
          <w:spacing w:val="-4"/>
          <w:sz w:val="20"/>
        </w:rPr>
        <w:t> </w:t>
      </w:r>
      <w:r>
        <w:rPr>
          <w:sz w:val="20"/>
        </w:rPr>
        <w:t>Giannopoulos</w:t>
        <w:tab/>
      </w:r>
      <w:r>
        <w:rPr>
          <w:b/>
          <w:sz w:val="20"/>
        </w:rPr>
        <w:t>Barclays (Chair’s office) </w:t>
      </w:r>
      <w:r>
        <w:rPr>
          <w:sz w:val="20"/>
        </w:rPr>
        <w:t>Tejonidhi</w:t>
      </w:r>
      <w:r>
        <w:rPr>
          <w:spacing w:val="-5"/>
          <w:sz w:val="20"/>
        </w:rPr>
        <w:t> </w:t>
      </w:r>
      <w:r>
        <w:rPr>
          <w:sz w:val="20"/>
        </w:rPr>
        <w:t>Kashyap</w:t>
        <w:tab/>
      </w:r>
      <w:r>
        <w:rPr>
          <w:b/>
          <w:sz w:val="20"/>
        </w:rPr>
        <w:t>Barclays (Chair’s</w:t>
      </w:r>
      <w:r>
        <w:rPr>
          <w:b/>
          <w:spacing w:val="-18"/>
          <w:sz w:val="20"/>
        </w:rPr>
        <w:t> </w:t>
      </w:r>
      <w:r>
        <w:rPr>
          <w:b/>
          <w:sz w:val="20"/>
        </w:rPr>
        <w:t>office)</w:t>
      </w:r>
    </w:p>
    <w:p>
      <w:pPr>
        <w:tabs>
          <w:tab w:pos="3205" w:val="left" w:leader="none"/>
        </w:tabs>
        <w:spacing w:before="3"/>
        <w:ind w:left="227" w:right="0" w:firstLine="0"/>
        <w:jc w:val="left"/>
        <w:rPr>
          <w:b/>
          <w:sz w:val="20"/>
        </w:rPr>
      </w:pPr>
      <w:r>
        <w:rPr>
          <w:sz w:val="20"/>
        </w:rPr>
        <w:t>Mike</w:t>
      </w:r>
      <w:r>
        <w:rPr>
          <w:spacing w:val="-3"/>
          <w:sz w:val="20"/>
        </w:rPr>
        <w:t> </w:t>
      </w:r>
      <w:r>
        <w:rPr>
          <w:sz w:val="20"/>
        </w:rPr>
        <w:t>Manna</w:t>
        <w:tab/>
      </w:r>
      <w:r>
        <w:rPr>
          <w:b/>
          <w:sz w:val="20"/>
        </w:rPr>
        <w:t>Barclays</w:t>
      </w:r>
    </w:p>
    <w:p>
      <w:pPr>
        <w:tabs>
          <w:tab w:pos="3205" w:val="left" w:leader="none"/>
        </w:tabs>
        <w:spacing w:before="70"/>
        <w:ind w:left="227" w:right="0" w:firstLine="0"/>
        <w:jc w:val="left"/>
        <w:rPr>
          <w:b/>
          <w:sz w:val="20"/>
        </w:rPr>
      </w:pPr>
      <w:r>
        <w:rPr>
          <w:sz w:val="20"/>
        </w:rPr>
        <w:t>Bruno</w:t>
      </w:r>
      <w:r>
        <w:rPr>
          <w:spacing w:val="-2"/>
          <w:sz w:val="20"/>
        </w:rPr>
        <w:t> </w:t>
      </w:r>
      <w:r>
        <w:rPr>
          <w:sz w:val="20"/>
        </w:rPr>
        <w:t>Chauviere</w:t>
        <w:tab/>
      </w:r>
      <w:r>
        <w:rPr>
          <w:b/>
          <w:sz w:val="20"/>
        </w:rPr>
        <w:t>BNP</w:t>
      </w:r>
      <w:r>
        <w:rPr>
          <w:b/>
          <w:spacing w:val="-1"/>
          <w:sz w:val="20"/>
        </w:rPr>
        <w:t> </w:t>
      </w:r>
      <w:r>
        <w:rPr>
          <w:b/>
          <w:sz w:val="20"/>
        </w:rPr>
        <w:t>Paribas</w:t>
      </w:r>
    </w:p>
    <w:p>
      <w:pPr>
        <w:tabs>
          <w:tab w:pos="3205" w:val="left" w:leader="none"/>
        </w:tabs>
        <w:spacing w:before="70"/>
        <w:ind w:left="227" w:right="0" w:firstLine="0"/>
        <w:jc w:val="left"/>
        <w:rPr>
          <w:b/>
          <w:sz w:val="20"/>
        </w:rPr>
      </w:pPr>
      <w:r>
        <w:rPr>
          <w:sz w:val="20"/>
        </w:rPr>
        <w:t>Alain</w:t>
      </w:r>
      <w:r>
        <w:rPr>
          <w:spacing w:val="-1"/>
          <w:sz w:val="20"/>
        </w:rPr>
        <w:t> </w:t>
      </w:r>
      <w:r>
        <w:rPr>
          <w:sz w:val="20"/>
        </w:rPr>
        <w:t>Verdickt</w:t>
        <w:tab/>
      </w:r>
      <w:r>
        <w:rPr>
          <w:b/>
          <w:sz w:val="20"/>
        </w:rPr>
        <w:t>Citigroup</w:t>
      </w:r>
    </w:p>
    <w:p>
      <w:pPr>
        <w:tabs>
          <w:tab w:pos="3205" w:val="left" w:leader="none"/>
        </w:tabs>
        <w:spacing w:before="70"/>
        <w:ind w:left="227" w:right="0" w:firstLine="0"/>
        <w:jc w:val="left"/>
        <w:rPr>
          <w:b/>
          <w:sz w:val="20"/>
        </w:rPr>
      </w:pPr>
      <w:r>
        <w:rPr>
          <w:sz w:val="20"/>
        </w:rPr>
        <w:t>Stephen</w:t>
      </w:r>
      <w:r>
        <w:rPr>
          <w:spacing w:val="-5"/>
          <w:sz w:val="20"/>
        </w:rPr>
        <w:t> </w:t>
      </w:r>
      <w:r>
        <w:rPr>
          <w:sz w:val="20"/>
        </w:rPr>
        <w:t>Randall</w:t>
        <w:tab/>
      </w:r>
      <w:r>
        <w:rPr>
          <w:b/>
          <w:sz w:val="20"/>
        </w:rPr>
        <w:t>Citigroup</w:t>
      </w:r>
    </w:p>
    <w:p>
      <w:pPr>
        <w:tabs>
          <w:tab w:pos="3205" w:val="left" w:leader="none"/>
        </w:tabs>
        <w:spacing w:before="70"/>
        <w:ind w:left="227" w:right="0" w:firstLine="0"/>
        <w:jc w:val="left"/>
        <w:rPr>
          <w:b/>
          <w:sz w:val="20"/>
        </w:rPr>
      </w:pPr>
      <w:r>
        <w:rPr>
          <w:sz w:val="20"/>
        </w:rPr>
        <w:t>Arif</w:t>
      </w:r>
      <w:r>
        <w:rPr>
          <w:spacing w:val="-4"/>
          <w:sz w:val="20"/>
        </w:rPr>
        <w:t> </w:t>
      </w:r>
      <w:r>
        <w:rPr>
          <w:sz w:val="20"/>
        </w:rPr>
        <w:t>Merali</w:t>
        <w:tab/>
      </w:r>
      <w:r>
        <w:rPr>
          <w:b/>
          <w:sz w:val="20"/>
        </w:rPr>
        <w:t>Credit</w:t>
      </w:r>
      <w:r>
        <w:rPr>
          <w:b/>
          <w:spacing w:val="-1"/>
          <w:sz w:val="20"/>
        </w:rPr>
        <w:t> </w:t>
      </w:r>
      <w:r>
        <w:rPr>
          <w:b/>
          <w:sz w:val="20"/>
        </w:rPr>
        <w:t>Suisse</w:t>
      </w:r>
    </w:p>
    <w:p>
      <w:pPr>
        <w:tabs>
          <w:tab w:pos="3205" w:val="left" w:leader="none"/>
        </w:tabs>
        <w:spacing w:before="70"/>
        <w:ind w:left="227" w:right="0" w:firstLine="0"/>
        <w:jc w:val="left"/>
        <w:rPr>
          <w:b/>
          <w:sz w:val="20"/>
        </w:rPr>
      </w:pPr>
      <w:r>
        <w:rPr>
          <w:sz w:val="20"/>
        </w:rPr>
        <w:t>Adrian</w:t>
      </w:r>
      <w:r>
        <w:rPr>
          <w:spacing w:val="-2"/>
          <w:sz w:val="20"/>
        </w:rPr>
        <w:t> </w:t>
      </w:r>
      <w:r>
        <w:rPr>
          <w:sz w:val="20"/>
        </w:rPr>
        <w:t>Munday</w:t>
        <w:tab/>
      </w:r>
      <w:r>
        <w:rPr>
          <w:b/>
          <w:sz w:val="20"/>
        </w:rPr>
        <w:t>Deutsche</w:t>
      </w:r>
      <w:r>
        <w:rPr>
          <w:b/>
          <w:spacing w:val="-1"/>
          <w:sz w:val="20"/>
        </w:rPr>
        <w:t> </w:t>
      </w:r>
      <w:r>
        <w:rPr>
          <w:b/>
          <w:sz w:val="20"/>
        </w:rPr>
        <w:t>Bank</w:t>
      </w:r>
    </w:p>
    <w:p>
      <w:pPr>
        <w:tabs>
          <w:tab w:pos="3205" w:val="left" w:leader="none"/>
        </w:tabs>
        <w:spacing w:before="70"/>
        <w:ind w:left="227" w:right="0" w:firstLine="0"/>
        <w:jc w:val="left"/>
        <w:rPr>
          <w:b/>
          <w:sz w:val="20"/>
        </w:rPr>
      </w:pPr>
      <w:r>
        <w:rPr>
          <w:sz w:val="20"/>
        </w:rPr>
        <w:t>Michael</w:t>
      </w:r>
      <w:r>
        <w:rPr>
          <w:spacing w:val="-2"/>
          <w:sz w:val="20"/>
        </w:rPr>
        <w:t> </w:t>
      </w:r>
      <w:r>
        <w:rPr>
          <w:sz w:val="20"/>
        </w:rPr>
        <w:t>Graham</w:t>
        <w:tab/>
      </w:r>
      <w:r>
        <w:rPr>
          <w:b/>
          <w:sz w:val="20"/>
        </w:rPr>
        <w:t>Goldman</w:t>
      </w:r>
      <w:r>
        <w:rPr>
          <w:b/>
          <w:spacing w:val="-1"/>
          <w:sz w:val="20"/>
        </w:rPr>
        <w:t> </w:t>
      </w:r>
      <w:r>
        <w:rPr>
          <w:b/>
          <w:sz w:val="20"/>
        </w:rPr>
        <w:t>Sachs</w:t>
      </w:r>
    </w:p>
    <w:p>
      <w:pPr>
        <w:tabs>
          <w:tab w:pos="3205" w:val="left" w:leader="none"/>
        </w:tabs>
        <w:spacing w:before="70"/>
        <w:ind w:left="227" w:right="0" w:firstLine="0"/>
        <w:jc w:val="left"/>
        <w:rPr>
          <w:b/>
          <w:sz w:val="20"/>
        </w:rPr>
      </w:pPr>
      <w:r>
        <w:rPr>
          <w:sz w:val="20"/>
        </w:rPr>
        <w:t>Glenn</w:t>
      </w:r>
      <w:r>
        <w:rPr>
          <w:spacing w:val="-5"/>
          <w:sz w:val="20"/>
        </w:rPr>
        <w:t> </w:t>
      </w:r>
      <w:r>
        <w:rPr>
          <w:sz w:val="20"/>
        </w:rPr>
        <w:t>Handley</w:t>
        <w:tab/>
      </w:r>
      <w:r>
        <w:rPr>
          <w:b/>
          <w:sz w:val="20"/>
        </w:rPr>
        <w:t>HSBC</w:t>
      </w:r>
    </w:p>
    <w:p>
      <w:pPr>
        <w:tabs>
          <w:tab w:pos="3205" w:val="left" w:leader="none"/>
        </w:tabs>
        <w:spacing w:before="70"/>
        <w:ind w:left="227" w:right="0" w:firstLine="0"/>
        <w:jc w:val="left"/>
        <w:rPr>
          <w:b/>
          <w:sz w:val="20"/>
        </w:rPr>
      </w:pPr>
      <w:r>
        <w:rPr>
          <w:sz w:val="20"/>
        </w:rPr>
        <w:t>Charles</w:t>
      </w:r>
      <w:r>
        <w:rPr>
          <w:spacing w:val="-5"/>
          <w:sz w:val="20"/>
        </w:rPr>
        <w:t> </w:t>
      </w:r>
      <w:r>
        <w:rPr>
          <w:sz w:val="20"/>
        </w:rPr>
        <w:t>Bristow</w:t>
        <w:tab/>
      </w:r>
      <w:r>
        <w:rPr>
          <w:b/>
          <w:sz w:val="20"/>
        </w:rPr>
        <w:t>JP</w:t>
      </w:r>
      <w:r>
        <w:rPr>
          <w:b/>
          <w:spacing w:val="-1"/>
          <w:sz w:val="20"/>
        </w:rPr>
        <w:t> </w:t>
      </w:r>
      <w:r>
        <w:rPr>
          <w:b/>
          <w:sz w:val="20"/>
        </w:rPr>
        <w:t>Morgan</w:t>
      </w:r>
    </w:p>
    <w:p>
      <w:pPr>
        <w:tabs>
          <w:tab w:pos="3205" w:val="left" w:leader="none"/>
        </w:tabs>
        <w:spacing w:before="70"/>
        <w:ind w:left="227" w:right="0" w:firstLine="0"/>
        <w:jc w:val="left"/>
        <w:rPr>
          <w:b/>
          <w:sz w:val="20"/>
        </w:rPr>
      </w:pPr>
      <w:r>
        <w:rPr>
          <w:sz w:val="20"/>
        </w:rPr>
        <w:t>Christophe</w:t>
      </w:r>
      <w:r>
        <w:rPr>
          <w:spacing w:val="-2"/>
          <w:sz w:val="20"/>
        </w:rPr>
        <w:t> </w:t>
      </w:r>
      <w:r>
        <w:rPr>
          <w:sz w:val="20"/>
        </w:rPr>
        <w:t>Coutte</w:t>
        <w:tab/>
      </w:r>
      <w:r>
        <w:rPr>
          <w:b/>
          <w:sz w:val="20"/>
        </w:rPr>
        <w:t>Lloyds</w:t>
      </w:r>
    </w:p>
    <w:p>
      <w:pPr>
        <w:tabs>
          <w:tab w:pos="3205" w:val="left" w:leader="none"/>
        </w:tabs>
        <w:spacing w:before="70"/>
        <w:ind w:left="227" w:right="0" w:firstLine="0"/>
        <w:jc w:val="left"/>
        <w:rPr>
          <w:b/>
          <w:sz w:val="20"/>
        </w:rPr>
      </w:pPr>
      <w:r>
        <w:rPr>
          <w:sz w:val="20"/>
        </w:rPr>
        <w:t>Ciaran</w:t>
      </w:r>
      <w:r>
        <w:rPr>
          <w:spacing w:val="-5"/>
          <w:sz w:val="20"/>
        </w:rPr>
        <w:t> </w:t>
      </w:r>
      <w:r>
        <w:rPr>
          <w:sz w:val="20"/>
        </w:rPr>
        <w:t>O’Flynn</w:t>
        <w:tab/>
      </w:r>
      <w:r>
        <w:rPr>
          <w:b/>
          <w:sz w:val="20"/>
        </w:rPr>
        <w:t>Morgan</w:t>
      </w:r>
      <w:r>
        <w:rPr>
          <w:b/>
          <w:spacing w:val="-8"/>
          <w:sz w:val="20"/>
        </w:rPr>
        <w:t> </w:t>
      </w:r>
      <w:r>
        <w:rPr>
          <w:b/>
          <w:sz w:val="20"/>
        </w:rPr>
        <w:t>Stanley</w:t>
      </w:r>
    </w:p>
    <w:p>
      <w:pPr>
        <w:tabs>
          <w:tab w:pos="3205" w:val="left" w:leader="none"/>
        </w:tabs>
        <w:spacing w:before="70"/>
        <w:ind w:left="227" w:right="0" w:firstLine="0"/>
        <w:jc w:val="left"/>
        <w:rPr>
          <w:b/>
          <w:sz w:val="20"/>
        </w:rPr>
      </w:pPr>
      <w:r>
        <w:rPr>
          <w:sz w:val="20"/>
        </w:rPr>
        <w:t>Freddie</w:t>
      </w:r>
      <w:r>
        <w:rPr>
          <w:spacing w:val="-2"/>
          <w:sz w:val="20"/>
        </w:rPr>
        <w:t> </w:t>
      </w:r>
      <w:r>
        <w:rPr>
          <w:sz w:val="20"/>
        </w:rPr>
        <w:t>Napier</w:t>
        <w:tab/>
      </w:r>
      <w:r>
        <w:rPr>
          <w:b/>
          <w:sz w:val="20"/>
        </w:rPr>
        <w:t>Morgan</w:t>
      </w:r>
      <w:r>
        <w:rPr>
          <w:b/>
          <w:spacing w:val="-8"/>
          <w:sz w:val="20"/>
        </w:rPr>
        <w:t> </w:t>
      </w:r>
      <w:r>
        <w:rPr>
          <w:b/>
          <w:sz w:val="20"/>
        </w:rPr>
        <w:t>Stanley</w:t>
      </w:r>
    </w:p>
    <w:p>
      <w:pPr>
        <w:tabs>
          <w:tab w:pos="3205" w:val="left" w:leader="none"/>
        </w:tabs>
        <w:spacing w:before="70"/>
        <w:ind w:left="227" w:right="0" w:firstLine="0"/>
        <w:jc w:val="left"/>
        <w:rPr>
          <w:b/>
          <w:sz w:val="20"/>
        </w:rPr>
      </w:pPr>
      <w:r>
        <w:rPr>
          <w:sz w:val="20"/>
        </w:rPr>
        <w:t>Mike</w:t>
      </w:r>
      <w:r>
        <w:rPr>
          <w:spacing w:val="-4"/>
          <w:sz w:val="20"/>
        </w:rPr>
        <w:t> </w:t>
      </w:r>
      <w:r>
        <w:rPr>
          <w:sz w:val="20"/>
        </w:rPr>
        <w:t>Curtis</w:t>
        <w:tab/>
      </w:r>
      <w:r>
        <w:rPr>
          <w:b/>
          <w:sz w:val="20"/>
        </w:rPr>
        <w:t>Nomura</w:t>
      </w:r>
    </w:p>
    <w:p>
      <w:pPr>
        <w:tabs>
          <w:tab w:pos="3205" w:val="left" w:leader="none"/>
        </w:tabs>
        <w:spacing w:before="70"/>
        <w:ind w:left="227" w:right="0" w:firstLine="0"/>
        <w:jc w:val="left"/>
        <w:rPr>
          <w:b/>
          <w:sz w:val="20"/>
        </w:rPr>
      </w:pPr>
      <w:r>
        <w:rPr>
          <w:sz w:val="20"/>
        </w:rPr>
        <w:t>Simon</w:t>
      </w:r>
      <w:r>
        <w:rPr>
          <w:spacing w:val="-1"/>
          <w:sz w:val="20"/>
        </w:rPr>
        <w:t> </w:t>
      </w:r>
      <w:r>
        <w:rPr>
          <w:sz w:val="20"/>
        </w:rPr>
        <w:t>Wilson</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Toby</w:t>
      </w:r>
      <w:r>
        <w:rPr>
          <w:spacing w:val="-4"/>
          <w:sz w:val="20"/>
        </w:rPr>
        <w:t> </w:t>
      </w:r>
      <w:r>
        <w:rPr>
          <w:sz w:val="20"/>
        </w:rPr>
        <w:t>Stevenson</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David</w:t>
      </w:r>
      <w:r>
        <w:rPr>
          <w:spacing w:val="-3"/>
          <w:sz w:val="20"/>
        </w:rPr>
        <w:t> </w:t>
      </w:r>
      <w:r>
        <w:rPr>
          <w:sz w:val="20"/>
        </w:rPr>
        <w:t>Bradley</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Richard</w:t>
      </w:r>
      <w:r>
        <w:rPr>
          <w:spacing w:val="-5"/>
          <w:sz w:val="20"/>
        </w:rPr>
        <w:t> </w:t>
      </w:r>
      <w:r>
        <w:rPr>
          <w:sz w:val="20"/>
        </w:rPr>
        <w:t>Tipper</w:t>
        <w:tab/>
      </w:r>
      <w:r>
        <w:rPr>
          <w:b/>
          <w:sz w:val="20"/>
        </w:rPr>
        <w:t>Société</w:t>
      </w:r>
      <w:r>
        <w:rPr>
          <w:b/>
          <w:spacing w:val="-1"/>
          <w:sz w:val="20"/>
        </w:rPr>
        <w:t> </w:t>
      </w:r>
      <w:r>
        <w:rPr>
          <w:b/>
          <w:sz w:val="20"/>
        </w:rPr>
        <w:t>Générale</w:t>
      </w:r>
    </w:p>
    <w:p>
      <w:pPr>
        <w:pStyle w:val="BodyText"/>
        <w:tabs>
          <w:tab w:pos="3205" w:val="left" w:leader="none"/>
        </w:tabs>
        <w:spacing w:before="70"/>
        <w:ind w:left="227"/>
        <w:rPr>
          <w:b/>
        </w:rPr>
      </w:pPr>
      <w:r>
        <w:rPr/>
        <w:t>Chirag</w:t>
      </w:r>
      <w:r>
        <w:rPr>
          <w:spacing w:val="-3"/>
        </w:rPr>
        <w:t> </w:t>
      </w:r>
      <w:r>
        <w:rPr/>
        <w:t>Dave</w:t>
        <w:tab/>
      </w:r>
      <w:r>
        <w:rPr>
          <w:b/>
        </w:rPr>
        <w:t>UBS</w:t>
      </w:r>
    </w:p>
    <w:p>
      <w:pPr>
        <w:tabs>
          <w:tab w:pos="3205" w:val="left" w:leader="none"/>
        </w:tabs>
        <w:spacing w:before="70"/>
        <w:ind w:left="227" w:right="0" w:firstLine="0"/>
        <w:jc w:val="left"/>
        <w:rPr>
          <w:b/>
          <w:sz w:val="20"/>
        </w:rPr>
      </w:pPr>
      <w:r>
        <w:rPr>
          <w:sz w:val="20"/>
        </w:rPr>
        <w:t>Paul</w:t>
      </w:r>
      <w:r>
        <w:rPr>
          <w:spacing w:val="-3"/>
          <w:sz w:val="20"/>
        </w:rPr>
        <w:t> </w:t>
      </w:r>
      <w:r>
        <w:rPr>
          <w:sz w:val="20"/>
        </w:rPr>
        <w:t>Allan</w:t>
        <w:tab/>
      </w:r>
      <w:r>
        <w:rPr>
          <w:b/>
          <w:sz w:val="20"/>
        </w:rPr>
        <w:t>ISDA (Observer</w:t>
      </w:r>
      <w:r>
        <w:rPr>
          <w:b/>
          <w:spacing w:val="-1"/>
          <w:sz w:val="20"/>
        </w:rPr>
        <w:t> </w:t>
      </w:r>
      <w:r>
        <w:rPr>
          <w:b/>
          <w:sz w:val="20"/>
        </w:rPr>
        <w:t>only)</w:t>
      </w:r>
    </w:p>
    <w:p>
      <w:pPr>
        <w:tabs>
          <w:tab w:pos="3205" w:val="left" w:leader="none"/>
        </w:tabs>
        <w:spacing w:before="70"/>
        <w:ind w:left="227" w:right="0" w:firstLine="0"/>
        <w:jc w:val="left"/>
        <w:rPr>
          <w:b/>
          <w:sz w:val="20"/>
        </w:rPr>
      </w:pPr>
      <w:r>
        <w:rPr>
          <w:sz w:val="20"/>
        </w:rPr>
        <w:t>Philip</w:t>
      </w:r>
      <w:r>
        <w:rPr>
          <w:spacing w:val="-1"/>
          <w:sz w:val="20"/>
        </w:rPr>
        <w:t> </w:t>
      </w:r>
      <w:r>
        <w:rPr>
          <w:sz w:val="20"/>
        </w:rPr>
        <w:t>Whitehurst</w:t>
        <w:tab/>
      </w:r>
      <w:r>
        <w:rPr>
          <w:b/>
          <w:sz w:val="20"/>
        </w:rPr>
        <w:t>LCH.Clearnet (Observer only)</w:t>
      </w:r>
    </w:p>
    <w:p>
      <w:pPr>
        <w:pStyle w:val="BodyText"/>
        <w:rPr>
          <w:b/>
          <w:sz w:val="22"/>
        </w:rPr>
      </w:pPr>
    </w:p>
    <w:p>
      <w:pPr>
        <w:pStyle w:val="BodyText"/>
        <w:rPr>
          <w:b/>
          <w:sz w:val="22"/>
        </w:rPr>
      </w:pPr>
    </w:p>
    <w:p>
      <w:pPr>
        <w:pStyle w:val="BodyText"/>
        <w:rPr>
          <w:b/>
          <w:sz w:val="22"/>
        </w:rPr>
      </w:pPr>
    </w:p>
    <w:p>
      <w:pPr>
        <w:pStyle w:val="BodyText"/>
        <w:spacing w:before="7"/>
        <w:rPr>
          <w:b/>
          <w:sz w:val="29"/>
        </w:rPr>
      </w:pPr>
    </w:p>
    <w:p>
      <w:pPr>
        <w:pStyle w:val="Heading1"/>
        <w:spacing w:before="1"/>
        <w:ind w:left="120"/>
      </w:pPr>
      <w:r>
        <w:rPr/>
        <w:t>Official sector attendees</w:t>
      </w:r>
    </w:p>
    <w:p>
      <w:pPr>
        <w:pStyle w:val="BodyText"/>
        <w:spacing w:before="4"/>
        <w:rPr>
          <w:b/>
          <w:sz w:val="23"/>
        </w:rPr>
      </w:pPr>
    </w:p>
    <w:p>
      <w:pPr>
        <w:tabs>
          <w:tab w:pos="3205" w:val="left" w:leader="none"/>
        </w:tabs>
        <w:spacing w:before="0"/>
        <w:ind w:left="227" w:right="0" w:firstLine="0"/>
        <w:jc w:val="left"/>
        <w:rPr>
          <w:b/>
          <w:sz w:val="20"/>
        </w:rPr>
      </w:pPr>
      <w:r>
        <w:rPr>
          <w:sz w:val="20"/>
        </w:rPr>
        <w:t>Ed</w:t>
      </w:r>
      <w:r>
        <w:rPr>
          <w:spacing w:val="-2"/>
          <w:sz w:val="20"/>
        </w:rPr>
        <w:t> </w:t>
      </w:r>
      <w:r>
        <w:rPr>
          <w:sz w:val="20"/>
        </w:rPr>
        <w:t>Ocampo</w:t>
        <w:tab/>
      </w:r>
      <w:r>
        <w:rPr>
          <w:b/>
          <w:sz w:val="20"/>
        </w:rPr>
        <w:t>Bank of</w:t>
      </w:r>
      <w:r>
        <w:rPr>
          <w:b/>
          <w:spacing w:val="-9"/>
          <w:sz w:val="20"/>
        </w:rPr>
        <w:t> </w:t>
      </w:r>
      <w:r>
        <w:rPr>
          <w:b/>
          <w:sz w:val="20"/>
        </w:rPr>
        <w:t>England</w:t>
      </w:r>
    </w:p>
    <w:p>
      <w:pPr>
        <w:tabs>
          <w:tab w:pos="3205" w:val="left" w:leader="none"/>
        </w:tabs>
        <w:spacing w:before="70"/>
        <w:ind w:left="227" w:right="0" w:firstLine="0"/>
        <w:jc w:val="left"/>
        <w:rPr>
          <w:b/>
          <w:sz w:val="20"/>
        </w:rPr>
      </w:pPr>
      <w:r>
        <w:rPr>
          <w:sz w:val="20"/>
        </w:rPr>
        <w:t>Tim</w:t>
      </w:r>
      <w:r>
        <w:rPr>
          <w:spacing w:val="-3"/>
          <w:sz w:val="20"/>
        </w:rPr>
        <w:t> </w:t>
      </w:r>
      <w:r>
        <w:rPr>
          <w:sz w:val="20"/>
        </w:rPr>
        <w:t>Taylor</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Will</w:t>
      </w:r>
      <w:r>
        <w:rPr>
          <w:spacing w:val="-1"/>
          <w:sz w:val="20"/>
        </w:rPr>
        <w:t> </w:t>
      </w:r>
      <w:r>
        <w:rPr>
          <w:sz w:val="20"/>
        </w:rPr>
        <w:t>Parry</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Rob</w:t>
      </w:r>
      <w:r>
        <w:rPr>
          <w:spacing w:val="-3"/>
          <w:sz w:val="20"/>
        </w:rPr>
        <w:t> </w:t>
      </w:r>
      <w:r>
        <w:rPr>
          <w:sz w:val="20"/>
        </w:rPr>
        <w:t>Harris</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Ben</w:t>
      </w:r>
      <w:r>
        <w:rPr>
          <w:spacing w:val="-1"/>
          <w:sz w:val="20"/>
        </w:rPr>
        <w:t> </w:t>
      </w:r>
      <w:r>
        <w:rPr>
          <w:sz w:val="20"/>
        </w:rPr>
        <w:t>Morley</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Neel</w:t>
      </w:r>
      <w:r>
        <w:rPr>
          <w:spacing w:val="-4"/>
          <w:sz w:val="20"/>
        </w:rPr>
        <w:t> </w:t>
      </w:r>
      <w:r>
        <w:rPr>
          <w:sz w:val="20"/>
        </w:rPr>
        <w:t>Acharya</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Carlos</w:t>
      </w:r>
      <w:r>
        <w:rPr>
          <w:spacing w:val="-2"/>
          <w:sz w:val="20"/>
        </w:rPr>
        <w:t> </w:t>
      </w:r>
      <w:r>
        <w:rPr>
          <w:sz w:val="20"/>
        </w:rPr>
        <w:t>Molinas</w:t>
        <w:tab/>
      </w:r>
      <w:r>
        <w:rPr>
          <w:b/>
          <w:sz w:val="20"/>
        </w:rPr>
        <w:t>Financial Conduct</w:t>
      </w:r>
      <w:r>
        <w:rPr>
          <w:b/>
          <w:spacing w:val="-19"/>
          <w:sz w:val="20"/>
        </w:rPr>
        <w:t> </w:t>
      </w:r>
      <w:r>
        <w:rPr>
          <w:b/>
          <w:sz w:val="20"/>
        </w:rPr>
        <w:t>Authority</w:t>
      </w:r>
    </w:p>
    <w:p>
      <w:pPr>
        <w:tabs>
          <w:tab w:pos="3205" w:val="left" w:leader="none"/>
        </w:tabs>
        <w:spacing w:before="70"/>
        <w:ind w:left="227" w:right="0" w:firstLine="0"/>
        <w:jc w:val="left"/>
        <w:rPr>
          <w:b/>
          <w:sz w:val="20"/>
        </w:rPr>
      </w:pPr>
      <w:r>
        <w:rPr>
          <w:sz w:val="20"/>
        </w:rPr>
        <w:t>Devid</w:t>
      </w:r>
      <w:r>
        <w:rPr>
          <w:spacing w:val="-5"/>
          <w:sz w:val="20"/>
        </w:rPr>
        <w:t> </w:t>
      </w:r>
      <w:r>
        <w:rPr>
          <w:sz w:val="20"/>
        </w:rPr>
        <w:t>Mazzonetto</w:t>
        <w:tab/>
      </w:r>
      <w:r>
        <w:rPr>
          <w:b/>
          <w:sz w:val="20"/>
        </w:rPr>
        <w:t>Financial Conduct</w:t>
      </w:r>
      <w:r>
        <w:rPr>
          <w:b/>
          <w:spacing w:val="-19"/>
          <w:sz w:val="20"/>
        </w:rPr>
        <w:t> </w:t>
      </w:r>
      <w:r>
        <w:rPr>
          <w:b/>
          <w:sz w:val="20"/>
        </w:rPr>
        <w:t>Authority</w:t>
      </w:r>
    </w:p>
    <w:p>
      <w:pPr>
        <w:tabs>
          <w:tab w:pos="3205" w:val="left" w:leader="none"/>
        </w:tabs>
        <w:spacing w:before="70"/>
        <w:ind w:left="227" w:right="0" w:firstLine="0"/>
        <w:jc w:val="left"/>
        <w:rPr>
          <w:b/>
          <w:sz w:val="20"/>
        </w:rPr>
      </w:pPr>
      <w:r>
        <w:rPr>
          <w:sz w:val="20"/>
        </w:rPr>
        <w:t>Heather</w:t>
      </w:r>
      <w:r>
        <w:rPr>
          <w:spacing w:val="-4"/>
          <w:sz w:val="20"/>
        </w:rPr>
        <w:t> </w:t>
      </w:r>
      <w:r>
        <w:rPr>
          <w:sz w:val="20"/>
        </w:rPr>
        <w:t>Pilley</w:t>
        <w:tab/>
      </w:r>
      <w:r>
        <w:rPr>
          <w:b/>
          <w:sz w:val="20"/>
        </w:rPr>
        <w:t>Financial Conduct</w:t>
      </w:r>
      <w:r>
        <w:rPr>
          <w:b/>
          <w:spacing w:val="-19"/>
          <w:sz w:val="20"/>
        </w:rPr>
        <w:t> </w:t>
      </w:r>
      <w:r>
        <w:rPr>
          <w:b/>
          <w:sz w:val="20"/>
        </w:rPr>
        <w:t>Authority</w:t>
      </w:r>
    </w:p>
    <w:sectPr>
      <w:pgSz w:w="11910" w:h="16840"/>
      <w:pgMar w:top="1360" w:bottom="280" w:left="13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5" w:hanging="426"/>
        <w:jc w:val="left"/>
      </w:pPr>
      <w:rPr>
        <w:rFonts w:hint="default" w:ascii="Arial" w:hAnsi="Arial" w:eastAsia="Arial" w:cs="Arial"/>
        <w:w w:val="100"/>
        <w:sz w:val="20"/>
        <w:szCs w:val="20"/>
      </w:rPr>
    </w:lvl>
    <w:lvl w:ilvl="1">
      <w:start w:val="0"/>
      <w:numFmt w:val="bullet"/>
      <w:lvlText w:val="•"/>
      <w:lvlJc w:val="left"/>
      <w:pPr>
        <w:ind w:left="1436" w:hanging="426"/>
      </w:pPr>
      <w:rPr>
        <w:rFonts w:hint="default"/>
      </w:rPr>
    </w:lvl>
    <w:lvl w:ilvl="2">
      <w:start w:val="0"/>
      <w:numFmt w:val="bullet"/>
      <w:lvlText w:val="•"/>
      <w:lvlJc w:val="left"/>
      <w:pPr>
        <w:ind w:left="2332" w:hanging="426"/>
      </w:pPr>
      <w:rPr>
        <w:rFonts w:hint="default"/>
      </w:rPr>
    </w:lvl>
    <w:lvl w:ilvl="3">
      <w:start w:val="0"/>
      <w:numFmt w:val="bullet"/>
      <w:lvlText w:val="•"/>
      <w:lvlJc w:val="left"/>
      <w:pPr>
        <w:ind w:left="3229" w:hanging="426"/>
      </w:pPr>
      <w:rPr>
        <w:rFonts w:hint="default"/>
      </w:rPr>
    </w:lvl>
    <w:lvl w:ilvl="4">
      <w:start w:val="0"/>
      <w:numFmt w:val="bullet"/>
      <w:lvlText w:val="•"/>
      <w:lvlJc w:val="left"/>
      <w:pPr>
        <w:ind w:left="4125" w:hanging="426"/>
      </w:pPr>
      <w:rPr>
        <w:rFonts w:hint="default"/>
      </w:rPr>
    </w:lvl>
    <w:lvl w:ilvl="5">
      <w:start w:val="0"/>
      <w:numFmt w:val="bullet"/>
      <w:lvlText w:val="•"/>
      <w:lvlJc w:val="left"/>
      <w:pPr>
        <w:ind w:left="5022" w:hanging="426"/>
      </w:pPr>
      <w:rPr>
        <w:rFonts w:hint="default"/>
      </w:rPr>
    </w:lvl>
    <w:lvl w:ilvl="6">
      <w:start w:val="0"/>
      <w:numFmt w:val="bullet"/>
      <w:lvlText w:val="•"/>
      <w:lvlJc w:val="left"/>
      <w:pPr>
        <w:ind w:left="5918" w:hanging="426"/>
      </w:pPr>
      <w:rPr>
        <w:rFonts w:hint="default"/>
      </w:rPr>
    </w:lvl>
    <w:lvl w:ilvl="7">
      <w:start w:val="0"/>
      <w:numFmt w:val="bullet"/>
      <w:lvlText w:val="•"/>
      <w:lvlJc w:val="left"/>
      <w:pPr>
        <w:ind w:left="6815" w:hanging="426"/>
      </w:pPr>
      <w:rPr>
        <w:rFonts w:hint="default"/>
      </w:rPr>
    </w:lvl>
    <w:lvl w:ilvl="8">
      <w:start w:val="0"/>
      <w:numFmt w:val="bullet"/>
      <w:lvlText w:val="•"/>
      <w:lvlJc w:val="left"/>
      <w:pPr>
        <w:ind w:left="7711" w:hanging="4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22"/>
      <w:ind w:left="119"/>
      <w:outlineLvl w:val="1"/>
    </w:pPr>
    <w:rPr>
      <w:rFonts w:ascii="Arial" w:hAnsi="Arial" w:eastAsia="Arial" w:cs="Arial"/>
      <w:b/>
      <w:bCs/>
      <w:sz w:val="20"/>
      <w:szCs w:val="20"/>
    </w:rPr>
  </w:style>
  <w:style w:styleId="ListParagraph" w:type="paragraph">
    <w:name w:val="List Paragraph"/>
    <w:basedOn w:val="Normal"/>
    <w:uiPriority w:val="1"/>
    <w:qFormat/>
    <w:pPr>
      <w:spacing w:before="120"/>
      <w:ind w:left="11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Documents/other/markets/mmlc/smms2015h2.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Mintues of the Working Group on Sterling Risk-Free Reference Rates</dc:subject>
  <dc:title>Minutes of  the Working Group on Sterling Risk-Free Reference Rates</dc:title>
  <dcterms:created xsi:type="dcterms:W3CDTF">2020-06-01T02:24:16Z</dcterms:created>
  <dcterms:modified xsi:type="dcterms:W3CDTF">2020-06-01T02:24:16Z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Creator">
    <vt:lpwstr>PScript5.dll Version 5.2.2</vt:lpwstr>
  </property>
  <property fmtid="{D5CDD505-2E9C-101B-9397-08002B2CF9AE}" pid="4" name="LastSaved">
    <vt:filetime>2020-06-01T00:00:00Z</vt:filetime>
  </property>
</Properties>
</file>