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2" w:lineRule="auto" w:before="73"/>
        <w:ind w:left="881" w:right="795"/>
        <w:jc w:val="center"/>
      </w:pPr>
      <w:r>
        <w:rPr/>
        <w:t>Minutes of the Meeting of the Working Group on Sterling Risk-Free Reference Rates Tuesday 28 March 2017</w:t>
      </w:r>
    </w:p>
    <w:p>
      <w:pPr>
        <w:spacing w:before="4"/>
        <w:ind w:left="881" w:right="793" w:firstLine="0"/>
        <w:jc w:val="center"/>
        <w:rPr>
          <w:b/>
          <w:sz w:val="20"/>
        </w:rPr>
      </w:pPr>
      <w:r>
        <w:rPr>
          <w:b/>
          <w:sz w:val="20"/>
        </w:rPr>
        <w:t>Bank of England offices – Moorgate</w:t>
      </w:r>
    </w:p>
    <w:p>
      <w:pPr>
        <w:pStyle w:val="BodyText"/>
        <w:spacing w:before="11"/>
        <w:rPr>
          <w:b/>
          <w:sz w:val="30"/>
        </w:rPr>
      </w:pPr>
    </w:p>
    <w:p>
      <w:pPr>
        <w:spacing w:before="0"/>
        <w:ind w:left="200" w:right="0" w:firstLine="0"/>
        <w:jc w:val="left"/>
        <w:rPr>
          <w:b/>
          <w:sz w:val="20"/>
        </w:rPr>
      </w:pPr>
      <w:r>
        <w:rPr>
          <w:b/>
          <w:sz w:val="20"/>
        </w:rPr>
        <w:t>Obligations under competition law</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558" w:firstLine="0"/>
        <w:jc w:val="left"/>
        <w:rPr>
          <w:sz w:val="20"/>
        </w:rPr>
      </w:pPr>
      <w:r>
        <w:rPr>
          <w:sz w:val="20"/>
        </w:rPr>
        <w:t>The acting Chair reminded all members of the Group of their responsibilities in relation to compliance with competition law and the importance of taking their own independent competition</w:t>
      </w:r>
      <w:r>
        <w:rPr>
          <w:spacing w:val="-33"/>
          <w:sz w:val="20"/>
        </w:rPr>
        <w:t> </w:t>
      </w:r>
      <w:r>
        <w:rPr>
          <w:sz w:val="20"/>
        </w:rPr>
        <w:t>law advice.</w:t>
      </w:r>
    </w:p>
    <w:p>
      <w:pPr>
        <w:pStyle w:val="Heading1"/>
        <w:spacing w:before="117"/>
      </w:pPr>
      <w:r>
        <w:rPr/>
        <w:t>Update from a secured benchmark provider</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56" w:firstLine="0"/>
        <w:jc w:val="left"/>
        <w:rPr>
          <w:sz w:val="20"/>
        </w:rPr>
      </w:pPr>
      <w:r>
        <w:rPr>
          <w:sz w:val="20"/>
        </w:rPr>
        <w:t>Nex (formerly ICAP Information Services), the administrator of the Sterling Repo Index Rate (£RIR), updated the Group the rate’s characteristics.</w:t>
      </w:r>
      <w:r>
        <w:rPr>
          <w:sz w:val="20"/>
          <w:vertAlign w:val="superscript"/>
        </w:rPr>
        <w:t>1</w:t>
      </w:r>
      <w:r>
        <w:rPr>
          <w:sz w:val="20"/>
          <w:vertAlign w:val="baseline"/>
        </w:rPr>
        <w:t> Nex had been publishing £RIR daily for around a year, with historic data available back to 2006. The benchmark is calculated from trades executed on the BrokerTec electronic platform. Average daily volumes underlying the rate in Q1 2017 had been £24 billion, 60% higher than the same period in 2016. It was noted that at year-end, the volume</w:t>
      </w:r>
      <w:r>
        <w:rPr>
          <w:spacing w:val="-18"/>
          <w:sz w:val="20"/>
          <w:vertAlign w:val="baseline"/>
        </w:rPr>
        <w:t> </w:t>
      </w:r>
      <w:r>
        <w:rPr>
          <w:sz w:val="20"/>
          <w:vertAlign w:val="baseline"/>
        </w:rPr>
        <w:t>underlying</w:t>
      </w:r>
    </w:p>
    <w:p>
      <w:pPr>
        <w:pStyle w:val="BodyText"/>
        <w:spacing w:line="229" w:lineRule="exact"/>
        <w:ind w:left="200"/>
      </w:pPr>
      <w:r>
        <w:rPr/>
        <w:t>£RIR was £10billion, with the rate published at</w:t>
      </w:r>
      <w:r>
        <w:rPr>
          <w:spacing w:val="-9"/>
        </w:rPr>
        <w:t> </w:t>
      </w:r>
      <w:r>
        <w:rPr/>
        <w:t>-0.539%.</w:t>
      </w:r>
    </w:p>
    <w:p>
      <w:pPr>
        <w:pStyle w:val="BodyText"/>
        <w:spacing w:before="5"/>
      </w:pPr>
    </w:p>
    <w:p>
      <w:pPr>
        <w:pStyle w:val="ListParagraph"/>
        <w:numPr>
          <w:ilvl w:val="0"/>
          <w:numId w:val="1"/>
        </w:numPr>
        <w:tabs>
          <w:tab w:pos="627" w:val="left" w:leader="none"/>
          <w:tab w:pos="628" w:val="left" w:leader="none"/>
        </w:tabs>
        <w:spacing w:line="360" w:lineRule="auto" w:before="1" w:after="0"/>
        <w:ind w:left="200" w:right="154" w:firstLine="0"/>
        <w:jc w:val="left"/>
        <w:rPr>
          <w:sz w:val="20"/>
        </w:rPr>
      </w:pPr>
      <w:r>
        <w:rPr>
          <w:sz w:val="20"/>
        </w:rPr>
        <w:t>The Group raised questions regarding the policies in place to ensure robust processes for producing the benchmark in all market conditions, in line with best practice for benchmark administration. Nex explained that the daily process had been running smoothly from day one including the appropriate governance and control functions. Nex is currently investigating reinforcing the governance to be in line with the forthcoming European Benchmark</w:t>
      </w:r>
      <w:r>
        <w:rPr>
          <w:spacing w:val="4"/>
          <w:sz w:val="20"/>
        </w:rPr>
        <w:t> </w:t>
      </w:r>
      <w:r>
        <w:rPr>
          <w:sz w:val="20"/>
        </w:rPr>
        <w:t>Regulations.</w:t>
      </w:r>
    </w:p>
    <w:p>
      <w:pPr>
        <w:pStyle w:val="Heading1"/>
        <w:spacing w:before="118"/>
      </w:pPr>
      <w:r>
        <w:rPr/>
        <w:t>Feedback from OIS transition workstream</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63" w:firstLine="0"/>
        <w:jc w:val="left"/>
        <w:rPr>
          <w:sz w:val="20"/>
        </w:rPr>
      </w:pPr>
      <w:r>
        <w:rPr>
          <w:sz w:val="20"/>
        </w:rPr>
        <w:t>A sub-group of the Group summarised feedback received from recent meetings with pension funds and insurance companies. These sectors were targeted as significant users of long-dated sterling swaps who could help catalyse adoption of OIS. Although originally set up to discuss how a potential OIS transition to a secured reference rate might be affected, the meetings had focused more on the adoption of the RFR as an alternative to</w:t>
      </w:r>
      <w:r>
        <w:rPr>
          <w:spacing w:val="-1"/>
          <w:sz w:val="20"/>
        </w:rPr>
        <w:t> </w:t>
      </w:r>
      <w:r>
        <w:rPr>
          <w:sz w:val="20"/>
        </w:rPr>
        <w:t>Libor.</w:t>
      </w:r>
    </w:p>
    <w:p>
      <w:pPr>
        <w:pStyle w:val="ListParagraph"/>
        <w:numPr>
          <w:ilvl w:val="0"/>
          <w:numId w:val="1"/>
        </w:numPr>
        <w:tabs>
          <w:tab w:pos="920" w:val="left" w:leader="none"/>
          <w:tab w:pos="921" w:val="left" w:leader="none"/>
        </w:tabs>
        <w:spacing w:line="360" w:lineRule="auto" w:before="119" w:after="0"/>
        <w:ind w:left="200" w:right="109" w:firstLine="0"/>
        <w:jc w:val="both"/>
        <w:rPr>
          <w:sz w:val="20"/>
        </w:rPr>
      </w:pPr>
      <w:r>
        <w:rPr>
          <w:sz w:val="20"/>
        </w:rPr>
        <w:t>The feedback was largely consistent with the Group’s initial end-user outreach conducted in mid- 2015. Liquidity of swap markets referencing the RFR, and the absolute level of the RFR swap curve (used for discounting liabilities) were generally considered at least as relevant as the choice between secured and unsecured rates. Alignment of the RFR curve with the prescribed discount curve was perceived as a critical to encouraging transition to the new rate. Under Solvency II, liability discount curves for insurers are set by EIOPA and are Libor based for GBP</w:t>
      </w:r>
      <w:r>
        <w:rPr>
          <w:spacing w:val="-6"/>
          <w:sz w:val="20"/>
        </w:rPr>
        <w:t> </w:t>
      </w:r>
      <w:r>
        <w:rPr>
          <w:sz w:val="20"/>
        </w:rPr>
        <w:t>liabilities.</w:t>
      </w:r>
    </w:p>
    <w:p>
      <w:pPr>
        <w:pStyle w:val="ListParagraph"/>
        <w:numPr>
          <w:ilvl w:val="0"/>
          <w:numId w:val="1"/>
        </w:numPr>
        <w:tabs>
          <w:tab w:pos="627" w:val="left" w:leader="none"/>
          <w:tab w:pos="628" w:val="left" w:leader="none"/>
        </w:tabs>
        <w:spacing w:line="357" w:lineRule="auto" w:before="122" w:after="0"/>
        <w:ind w:left="200" w:right="444" w:firstLine="0"/>
        <w:jc w:val="left"/>
        <w:rPr>
          <w:sz w:val="20"/>
        </w:rPr>
      </w:pPr>
      <w:r>
        <w:rPr>
          <w:sz w:val="20"/>
        </w:rPr>
        <w:t>Furthermore, some bank treasuries had provided feedback on OIS transition to the Chair’s office; once further feedback was received, it would be summarised and shared with the</w:t>
      </w:r>
      <w:r>
        <w:rPr>
          <w:spacing w:val="-2"/>
          <w:sz w:val="20"/>
        </w:rPr>
        <w:t> </w:t>
      </w:r>
      <w:r>
        <w:rPr>
          <w:sz w:val="20"/>
        </w:rPr>
        <w:t>Group.</w:t>
      </w:r>
    </w:p>
    <w:p>
      <w:pPr>
        <w:pStyle w:val="ListParagraph"/>
        <w:numPr>
          <w:ilvl w:val="0"/>
          <w:numId w:val="1"/>
        </w:numPr>
        <w:tabs>
          <w:tab w:pos="627" w:val="left" w:leader="none"/>
          <w:tab w:pos="628" w:val="left" w:leader="none"/>
        </w:tabs>
        <w:spacing w:line="360" w:lineRule="auto" w:before="123" w:after="0"/>
        <w:ind w:left="200" w:right="162" w:firstLine="0"/>
        <w:jc w:val="left"/>
        <w:rPr>
          <w:sz w:val="20"/>
        </w:rPr>
      </w:pPr>
      <w:r>
        <w:rPr>
          <w:sz w:val="20"/>
        </w:rPr>
        <w:t>There was some discussion on how adoption of the RFR could be incentivised, whilst LIBOR remained available. The Bank restated that the adoption of the RFR in preference to sterling Libor should be a market-driven process. Transitioning legacy contracts from referencing Libor and to</w:t>
      </w:r>
      <w:r>
        <w:rPr>
          <w:spacing w:val="-15"/>
          <w:sz w:val="20"/>
        </w:rPr>
        <w:t> </w:t>
      </w:r>
      <w:r>
        <w:rPr>
          <w:sz w:val="20"/>
        </w:rPr>
        <w:t>referencing</w:t>
      </w:r>
    </w:p>
    <w:p>
      <w:pPr>
        <w:pStyle w:val="BodyText"/>
        <w:spacing w:before="7"/>
        <w:rPr>
          <w:sz w:val="27"/>
        </w:rPr>
      </w:pPr>
      <w:r>
        <w:rPr/>
        <w:pict>
          <v:shape style="position:absolute;margin-left:72.024002pt;margin-top:18.254322pt;width:144.050pt;height:.1pt;mso-position-horizontal-relative:page;mso-position-vertical-relative:paragraph;z-index:-251658240;mso-wrap-distance-left:0;mso-wrap-distance-right:0" coordorigin="1440,365" coordsize="2881,0" path="m1440,365l4321,365e" filled="false" stroked="true" strokeweight=".72003pt" strokecolor="#000000">
            <v:path arrowok="t"/>
            <v:stroke dashstyle="solid"/>
            <w10:wrap type="topAndBottom"/>
          </v:shape>
        </w:pict>
      </w:r>
    </w:p>
    <w:p>
      <w:pPr>
        <w:spacing w:before="39"/>
        <w:ind w:left="200" w:right="0" w:firstLine="0"/>
        <w:jc w:val="left"/>
        <w:rPr>
          <w:sz w:val="18"/>
        </w:rPr>
      </w:pPr>
      <w:r>
        <w:rPr>
          <w:position w:val="9"/>
          <w:sz w:val="12"/>
        </w:rPr>
        <w:t>1 </w:t>
      </w:r>
      <w:hyperlink r:id="rId5">
        <w:r>
          <w:rPr>
            <w:color w:val="0000FF"/>
            <w:sz w:val="18"/>
            <w:u w:val="single" w:color="0000FF"/>
          </w:rPr>
          <w:t>www.nexdata.com/media/1156/rir-factsheet-mar-2017.pdf</w:t>
        </w:r>
      </w:hyperlink>
    </w:p>
    <w:p>
      <w:pPr>
        <w:spacing w:after="0"/>
        <w:jc w:val="left"/>
        <w:rPr>
          <w:sz w:val="18"/>
        </w:rPr>
        <w:sectPr>
          <w:type w:val="continuous"/>
          <w:pgSz w:w="11910" w:h="16840"/>
          <w:pgMar w:top="1180" w:bottom="280" w:left="1240" w:right="1020"/>
        </w:sectPr>
      </w:pPr>
    </w:p>
    <w:p>
      <w:pPr>
        <w:pStyle w:val="BodyText"/>
        <w:spacing w:line="360" w:lineRule="auto" w:before="75"/>
        <w:ind w:left="200" w:right="180"/>
      </w:pPr>
      <w:r>
        <w:rPr/>
        <w:t>appropriate the RFR through open market trades at prevailing market rates was agreed to be a desirable mechanism and was to be encouraged. This was viewed as most likely to lead to the fairest and most effective outcome for a broad range of market participants. Overall, the Group therefore agreed that for Libor transition, end-user outreach and ongoing stakeholder management would be crucial to ensure success.</w:t>
      </w:r>
    </w:p>
    <w:p>
      <w:pPr>
        <w:pStyle w:val="ListParagraph"/>
        <w:numPr>
          <w:ilvl w:val="0"/>
          <w:numId w:val="1"/>
        </w:numPr>
        <w:tabs>
          <w:tab w:pos="627" w:val="left" w:leader="none"/>
          <w:tab w:pos="628" w:val="left" w:leader="none"/>
        </w:tabs>
        <w:spacing w:line="360" w:lineRule="auto" w:before="119" w:after="0"/>
        <w:ind w:left="200" w:right="232" w:firstLine="0"/>
        <w:jc w:val="left"/>
        <w:rPr>
          <w:sz w:val="20"/>
        </w:rPr>
      </w:pPr>
      <w:r>
        <w:rPr>
          <w:sz w:val="20"/>
        </w:rPr>
        <w:t>The Group discussed the implications of the end-user outreach on their views of the feasibility of an OIS transition. It was agreed that the outreach had not materially changed the OIS transition plan which had been presented at the 22 November 2016 Group</w:t>
      </w:r>
      <w:r>
        <w:rPr>
          <w:spacing w:val="-1"/>
          <w:sz w:val="20"/>
        </w:rPr>
        <w:t> </w:t>
      </w:r>
      <w:r>
        <w:rPr>
          <w:sz w:val="20"/>
        </w:rPr>
        <w:t>meeting.</w:t>
      </w:r>
    </w:p>
    <w:p>
      <w:pPr>
        <w:pStyle w:val="ListParagraph"/>
        <w:numPr>
          <w:ilvl w:val="0"/>
          <w:numId w:val="1"/>
        </w:numPr>
        <w:tabs>
          <w:tab w:pos="627" w:val="left" w:leader="none"/>
          <w:tab w:pos="628" w:val="left" w:leader="none"/>
        </w:tabs>
        <w:spacing w:line="360" w:lineRule="auto" w:before="122" w:after="0"/>
        <w:ind w:left="200" w:right="151" w:firstLine="0"/>
        <w:jc w:val="left"/>
        <w:rPr>
          <w:sz w:val="20"/>
        </w:rPr>
      </w:pPr>
      <w:r>
        <w:rPr>
          <w:sz w:val="20"/>
        </w:rPr>
        <w:t>Furthermore, the Group discussed the implications of the further work on their view of the preferred RFR. Some members argued in favour of a secured rate, pointing to the fact that gilt repo is the relevant market that OTC derivatives users would need to access in order to source cash for collateral postings. Whilst accepting that some users relied on gilt repo funding, other participants disagreed with the contention that this potential funding basis should dictate the choice of RFR. They argued that the Group would also need to consider other factors, such as the stability of the selected rate (including over balance sheet reporting dates) and how well it would track Bank Rate. These discussions would be further developed at the subsequent</w:t>
      </w:r>
      <w:r>
        <w:rPr>
          <w:spacing w:val="-4"/>
          <w:sz w:val="20"/>
        </w:rPr>
        <w:t> </w:t>
      </w:r>
      <w:r>
        <w:rPr>
          <w:sz w:val="20"/>
        </w:rPr>
        <w:t>meeting.</w:t>
      </w:r>
    </w:p>
    <w:p>
      <w:pPr>
        <w:pStyle w:val="BodyText"/>
        <w:spacing w:before="6"/>
      </w:pPr>
    </w:p>
    <w:p>
      <w:pPr>
        <w:pStyle w:val="Heading1"/>
      </w:pPr>
      <w:r>
        <w:rPr/>
        <w:t>Plan for near-future meetings and RFR vote</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45" w:firstLine="0"/>
        <w:jc w:val="left"/>
        <w:rPr>
          <w:sz w:val="20"/>
        </w:rPr>
      </w:pPr>
      <w:r>
        <w:rPr>
          <w:sz w:val="20"/>
        </w:rPr>
        <w:t>The Chair outlined the intended plan for the upcoming meetings. The sub-groups for both unsecured and secured rates were preparing materials to be presented at the 7 April meeting advocating their respective candidates. This meeting would allow time for each member of the Group to feed into discussions of the merits of each candidate. Following this meeting, members would be asked to take necessary internal governance steps to confirm their firm’s preferred candidate in preparation for a vote. The Chair’s office and secretariat would propose the voting mechanics and how the outcome would be publicised ahead of the next meeting.</w:t>
      </w:r>
    </w:p>
    <w:p>
      <w:pPr>
        <w:spacing w:after="0" w:line="360" w:lineRule="auto"/>
        <w:jc w:val="left"/>
        <w:rPr>
          <w:sz w:val="20"/>
        </w:rPr>
        <w:sectPr>
          <w:pgSz w:w="11910" w:h="16840"/>
          <w:pgMar w:top="1180" w:bottom="280" w:left="1240" w:right="1020"/>
        </w:sectPr>
      </w:pPr>
    </w:p>
    <w:p>
      <w:pPr>
        <w:pStyle w:val="Heading1"/>
        <w:spacing w:before="75"/>
      </w:pPr>
      <w:r>
        <w:rPr/>
        <w:t>Private sector</w:t>
      </w:r>
      <w:r>
        <w:rPr>
          <w:spacing w:val="-11"/>
        </w:rPr>
        <w:t> </w:t>
      </w:r>
      <w:r>
        <w:rPr/>
        <w:t>attendees</w:t>
      </w:r>
    </w:p>
    <w:p>
      <w:pPr>
        <w:pStyle w:val="BodyText"/>
        <w:spacing w:before="10"/>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6"/>
        <w:gridCol w:w="4454"/>
      </w:tblGrid>
      <w:tr>
        <w:trPr>
          <w:trHeight w:val="262" w:hRule="atLeast"/>
        </w:trPr>
        <w:tc>
          <w:tcPr>
            <w:tcW w:w="2776" w:type="dxa"/>
          </w:tcPr>
          <w:p>
            <w:pPr>
              <w:pStyle w:val="TableParagraph"/>
              <w:spacing w:line="225" w:lineRule="exact" w:before="0"/>
              <w:rPr>
                <w:sz w:val="20"/>
              </w:rPr>
            </w:pPr>
            <w:r>
              <w:rPr>
                <w:sz w:val="20"/>
              </w:rPr>
              <w:t>Nick Saggers</w:t>
            </w:r>
          </w:p>
        </w:tc>
        <w:tc>
          <w:tcPr>
            <w:tcW w:w="4454" w:type="dxa"/>
          </w:tcPr>
          <w:p>
            <w:pPr>
              <w:pStyle w:val="TableParagraph"/>
              <w:spacing w:line="223" w:lineRule="exact" w:before="0"/>
              <w:ind w:left="544"/>
              <w:rPr>
                <w:b/>
                <w:sz w:val="20"/>
              </w:rPr>
            </w:pPr>
            <w:r>
              <w:rPr>
                <w:b/>
                <w:sz w:val="20"/>
              </w:rPr>
              <w:t>BAML (Acting Chair)</w:t>
            </w:r>
          </w:p>
        </w:tc>
      </w:tr>
      <w:tr>
        <w:trPr>
          <w:trHeight w:val="300" w:hRule="atLeast"/>
        </w:trPr>
        <w:tc>
          <w:tcPr>
            <w:tcW w:w="2776" w:type="dxa"/>
          </w:tcPr>
          <w:p>
            <w:pPr>
              <w:pStyle w:val="TableParagraph"/>
              <w:spacing w:before="32"/>
              <w:rPr>
                <w:sz w:val="20"/>
              </w:rPr>
            </w:pPr>
            <w:r>
              <w:rPr>
                <w:sz w:val="20"/>
              </w:rPr>
              <w:t>Andreas Giannopoulos</w:t>
            </w:r>
          </w:p>
        </w:tc>
        <w:tc>
          <w:tcPr>
            <w:tcW w:w="4454" w:type="dxa"/>
          </w:tcPr>
          <w:p>
            <w:pPr>
              <w:pStyle w:val="TableParagraph"/>
              <w:ind w:left="544"/>
              <w:rPr>
                <w:b/>
                <w:sz w:val="20"/>
              </w:rPr>
            </w:pPr>
            <w:r>
              <w:rPr>
                <w:b/>
                <w:sz w:val="20"/>
              </w:rPr>
              <w:t>Barclays (Chair’s office)</w:t>
            </w:r>
          </w:p>
        </w:tc>
      </w:tr>
      <w:tr>
        <w:trPr>
          <w:trHeight w:val="300" w:hRule="atLeast"/>
        </w:trPr>
        <w:tc>
          <w:tcPr>
            <w:tcW w:w="2776" w:type="dxa"/>
          </w:tcPr>
          <w:p>
            <w:pPr>
              <w:pStyle w:val="TableParagraph"/>
              <w:spacing w:before="32"/>
              <w:rPr>
                <w:sz w:val="20"/>
              </w:rPr>
            </w:pPr>
            <w:r>
              <w:rPr>
                <w:sz w:val="20"/>
              </w:rPr>
              <w:t>Tejonidhi Kashyap</w:t>
            </w:r>
          </w:p>
        </w:tc>
        <w:tc>
          <w:tcPr>
            <w:tcW w:w="4454" w:type="dxa"/>
          </w:tcPr>
          <w:p>
            <w:pPr>
              <w:pStyle w:val="TableParagraph"/>
              <w:ind w:left="544"/>
              <w:rPr>
                <w:b/>
                <w:sz w:val="20"/>
              </w:rPr>
            </w:pPr>
            <w:r>
              <w:rPr>
                <w:b/>
                <w:sz w:val="20"/>
              </w:rPr>
              <w:t>Barclays (Chair’s office)</w:t>
            </w:r>
          </w:p>
        </w:tc>
      </w:tr>
      <w:tr>
        <w:trPr>
          <w:trHeight w:val="300" w:hRule="atLeast"/>
        </w:trPr>
        <w:tc>
          <w:tcPr>
            <w:tcW w:w="2776" w:type="dxa"/>
          </w:tcPr>
          <w:p>
            <w:pPr>
              <w:pStyle w:val="TableParagraph"/>
              <w:spacing w:before="32"/>
              <w:rPr>
                <w:sz w:val="20"/>
              </w:rPr>
            </w:pPr>
            <w:r>
              <w:rPr>
                <w:sz w:val="20"/>
              </w:rPr>
              <w:t>Mike Manna</w:t>
            </w:r>
          </w:p>
        </w:tc>
        <w:tc>
          <w:tcPr>
            <w:tcW w:w="4454" w:type="dxa"/>
          </w:tcPr>
          <w:p>
            <w:pPr>
              <w:pStyle w:val="TableParagraph"/>
              <w:ind w:left="544"/>
              <w:rPr>
                <w:b/>
                <w:sz w:val="20"/>
              </w:rPr>
            </w:pPr>
            <w:r>
              <w:rPr>
                <w:b/>
                <w:sz w:val="20"/>
              </w:rPr>
              <w:t>Barclays</w:t>
            </w:r>
          </w:p>
        </w:tc>
      </w:tr>
      <w:tr>
        <w:trPr>
          <w:trHeight w:val="300" w:hRule="atLeast"/>
        </w:trPr>
        <w:tc>
          <w:tcPr>
            <w:tcW w:w="2776" w:type="dxa"/>
          </w:tcPr>
          <w:p>
            <w:pPr>
              <w:pStyle w:val="TableParagraph"/>
              <w:spacing w:before="32"/>
              <w:rPr>
                <w:sz w:val="20"/>
              </w:rPr>
            </w:pPr>
            <w:r>
              <w:rPr>
                <w:sz w:val="20"/>
              </w:rPr>
              <w:t>Adrian Averre</w:t>
            </w:r>
          </w:p>
        </w:tc>
        <w:tc>
          <w:tcPr>
            <w:tcW w:w="4454" w:type="dxa"/>
          </w:tcPr>
          <w:p>
            <w:pPr>
              <w:pStyle w:val="TableParagraph"/>
              <w:ind w:left="544"/>
              <w:rPr>
                <w:b/>
                <w:sz w:val="20"/>
              </w:rPr>
            </w:pPr>
            <w:r>
              <w:rPr>
                <w:b/>
                <w:sz w:val="20"/>
              </w:rPr>
              <w:t>BNP Paribas</w:t>
            </w:r>
          </w:p>
        </w:tc>
      </w:tr>
      <w:tr>
        <w:trPr>
          <w:trHeight w:val="300" w:hRule="atLeast"/>
        </w:trPr>
        <w:tc>
          <w:tcPr>
            <w:tcW w:w="2776" w:type="dxa"/>
          </w:tcPr>
          <w:p>
            <w:pPr>
              <w:pStyle w:val="TableParagraph"/>
              <w:spacing w:before="32"/>
              <w:rPr>
                <w:sz w:val="20"/>
              </w:rPr>
            </w:pPr>
            <w:r>
              <w:rPr>
                <w:sz w:val="20"/>
              </w:rPr>
              <w:t>Alain Verdickt</w:t>
            </w:r>
          </w:p>
        </w:tc>
        <w:tc>
          <w:tcPr>
            <w:tcW w:w="4454" w:type="dxa"/>
          </w:tcPr>
          <w:p>
            <w:pPr>
              <w:pStyle w:val="TableParagraph"/>
              <w:ind w:left="544"/>
              <w:rPr>
                <w:b/>
                <w:sz w:val="20"/>
              </w:rPr>
            </w:pPr>
            <w:r>
              <w:rPr>
                <w:b/>
                <w:sz w:val="20"/>
              </w:rPr>
              <w:t>Citigroup</w:t>
            </w:r>
          </w:p>
        </w:tc>
      </w:tr>
      <w:tr>
        <w:trPr>
          <w:trHeight w:val="300" w:hRule="atLeast"/>
        </w:trPr>
        <w:tc>
          <w:tcPr>
            <w:tcW w:w="2776" w:type="dxa"/>
          </w:tcPr>
          <w:p>
            <w:pPr>
              <w:pStyle w:val="TableParagraph"/>
              <w:spacing w:before="32"/>
              <w:rPr>
                <w:sz w:val="20"/>
              </w:rPr>
            </w:pPr>
            <w:r>
              <w:rPr>
                <w:sz w:val="20"/>
              </w:rPr>
              <w:t>Stephen Randall</w:t>
            </w:r>
          </w:p>
        </w:tc>
        <w:tc>
          <w:tcPr>
            <w:tcW w:w="4454" w:type="dxa"/>
          </w:tcPr>
          <w:p>
            <w:pPr>
              <w:pStyle w:val="TableParagraph"/>
              <w:ind w:left="544"/>
              <w:rPr>
                <w:b/>
                <w:sz w:val="20"/>
              </w:rPr>
            </w:pPr>
            <w:r>
              <w:rPr>
                <w:b/>
                <w:sz w:val="20"/>
              </w:rPr>
              <w:t>Citigroup</w:t>
            </w:r>
          </w:p>
        </w:tc>
      </w:tr>
      <w:tr>
        <w:trPr>
          <w:trHeight w:val="300" w:hRule="atLeast"/>
        </w:trPr>
        <w:tc>
          <w:tcPr>
            <w:tcW w:w="2776" w:type="dxa"/>
          </w:tcPr>
          <w:p>
            <w:pPr>
              <w:pStyle w:val="TableParagraph"/>
              <w:spacing w:before="32"/>
              <w:rPr>
                <w:sz w:val="20"/>
              </w:rPr>
            </w:pPr>
            <w:r>
              <w:rPr>
                <w:sz w:val="20"/>
              </w:rPr>
              <w:t>Arif Merali</w:t>
            </w:r>
          </w:p>
        </w:tc>
        <w:tc>
          <w:tcPr>
            <w:tcW w:w="4454" w:type="dxa"/>
          </w:tcPr>
          <w:p>
            <w:pPr>
              <w:pStyle w:val="TableParagraph"/>
              <w:ind w:left="544"/>
              <w:rPr>
                <w:b/>
                <w:sz w:val="20"/>
              </w:rPr>
            </w:pPr>
            <w:r>
              <w:rPr>
                <w:b/>
                <w:sz w:val="20"/>
              </w:rPr>
              <w:t>Credit Suisse</w:t>
            </w:r>
          </w:p>
        </w:tc>
      </w:tr>
      <w:tr>
        <w:trPr>
          <w:trHeight w:val="300" w:hRule="atLeast"/>
        </w:trPr>
        <w:tc>
          <w:tcPr>
            <w:tcW w:w="2776" w:type="dxa"/>
          </w:tcPr>
          <w:p>
            <w:pPr>
              <w:pStyle w:val="TableParagraph"/>
              <w:spacing w:before="32"/>
              <w:rPr>
                <w:sz w:val="20"/>
              </w:rPr>
            </w:pPr>
            <w:r>
              <w:rPr>
                <w:sz w:val="20"/>
              </w:rPr>
              <w:t>Matt Eaton</w:t>
            </w:r>
          </w:p>
        </w:tc>
        <w:tc>
          <w:tcPr>
            <w:tcW w:w="4454" w:type="dxa"/>
          </w:tcPr>
          <w:p>
            <w:pPr>
              <w:pStyle w:val="TableParagraph"/>
              <w:ind w:left="544"/>
              <w:rPr>
                <w:b/>
                <w:sz w:val="20"/>
              </w:rPr>
            </w:pPr>
            <w:r>
              <w:rPr>
                <w:b/>
                <w:sz w:val="20"/>
              </w:rPr>
              <w:t>Deutsche Bank</w:t>
            </w:r>
          </w:p>
        </w:tc>
      </w:tr>
      <w:tr>
        <w:trPr>
          <w:trHeight w:val="300" w:hRule="atLeast"/>
        </w:trPr>
        <w:tc>
          <w:tcPr>
            <w:tcW w:w="2776" w:type="dxa"/>
          </w:tcPr>
          <w:p>
            <w:pPr>
              <w:pStyle w:val="TableParagraph"/>
              <w:spacing w:before="32"/>
              <w:rPr>
                <w:sz w:val="20"/>
              </w:rPr>
            </w:pPr>
            <w:r>
              <w:rPr>
                <w:sz w:val="20"/>
              </w:rPr>
              <w:t>Nikhil Choraria</w:t>
            </w:r>
          </w:p>
        </w:tc>
        <w:tc>
          <w:tcPr>
            <w:tcW w:w="4454" w:type="dxa"/>
          </w:tcPr>
          <w:p>
            <w:pPr>
              <w:pStyle w:val="TableParagraph"/>
              <w:ind w:left="544"/>
              <w:rPr>
                <w:b/>
                <w:sz w:val="20"/>
              </w:rPr>
            </w:pPr>
            <w:r>
              <w:rPr>
                <w:b/>
                <w:sz w:val="20"/>
              </w:rPr>
              <w:t>Goldman Sachs</w:t>
            </w:r>
          </w:p>
        </w:tc>
      </w:tr>
      <w:tr>
        <w:trPr>
          <w:trHeight w:val="300" w:hRule="atLeast"/>
        </w:trPr>
        <w:tc>
          <w:tcPr>
            <w:tcW w:w="2776" w:type="dxa"/>
          </w:tcPr>
          <w:p>
            <w:pPr>
              <w:pStyle w:val="TableParagraph"/>
              <w:spacing w:before="32"/>
              <w:rPr>
                <w:sz w:val="20"/>
              </w:rPr>
            </w:pPr>
            <w:r>
              <w:rPr>
                <w:sz w:val="20"/>
              </w:rPr>
              <w:t>Michael Graham</w:t>
            </w:r>
          </w:p>
        </w:tc>
        <w:tc>
          <w:tcPr>
            <w:tcW w:w="4454" w:type="dxa"/>
          </w:tcPr>
          <w:p>
            <w:pPr>
              <w:pStyle w:val="TableParagraph"/>
              <w:ind w:left="544"/>
              <w:rPr>
                <w:b/>
                <w:sz w:val="20"/>
              </w:rPr>
            </w:pPr>
            <w:r>
              <w:rPr>
                <w:b/>
                <w:sz w:val="20"/>
              </w:rPr>
              <w:t>Goldman Sachs</w:t>
            </w:r>
          </w:p>
        </w:tc>
      </w:tr>
      <w:tr>
        <w:trPr>
          <w:trHeight w:val="300" w:hRule="atLeast"/>
        </w:trPr>
        <w:tc>
          <w:tcPr>
            <w:tcW w:w="2776" w:type="dxa"/>
          </w:tcPr>
          <w:p>
            <w:pPr>
              <w:pStyle w:val="TableParagraph"/>
              <w:spacing w:before="32"/>
              <w:rPr>
                <w:sz w:val="20"/>
              </w:rPr>
            </w:pPr>
            <w:r>
              <w:rPr>
                <w:sz w:val="20"/>
              </w:rPr>
              <w:t>Glenn Handley</w:t>
            </w:r>
          </w:p>
        </w:tc>
        <w:tc>
          <w:tcPr>
            <w:tcW w:w="4454" w:type="dxa"/>
          </w:tcPr>
          <w:p>
            <w:pPr>
              <w:pStyle w:val="TableParagraph"/>
              <w:ind w:left="544"/>
              <w:rPr>
                <w:b/>
                <w:sz w:val="20"/>
              </w:rPr>
            </w:pPr>
            <w:r>
              <w:rPr>
                <w:b/>
                <w:sz w:val="20"/>
              </w:rPr>
              <w:t>HSBC</w:t>
            </w:r>
          </w:p>
        </w:tc>
      </w:tr>
      <w:tr>
        <w:trPr>
          <w:trHeight w:val="300" w:hRule="atLeast"/>
        </w:trPr>
        <w:tc>
          <w:tcPr>
            <w:tcW w:w="2776" w:type="dxa"/>
          </w:tcPr>
          <w:p>
            <w:pPr>
              <w:pStyle w:val="TableParagraph"/>
              <w:spacing w:before="32"/>
              <w:rPr>
                <w:sz w:val="20"/>
              </w:rPr>
            </w:pPr>
            <w:r>
              <w:rPr>
                <w:sz w:val="20"/>
              </w:rPr>
              <w:t>Kari Hallgrimsson</w:t>
            </w:r>
          </w:p>
        </w:tc>
        <w:tc>
          <w:tcPr>
            <w:tcW w:w="4454" w:type="dxa"/>
          </w:tcPr>
          <w:p>
            <w:pPr>
              <w:pStyle w:val="TableParagraph"/>
              <w:ind w:left="544"/>
              <w:rPr>
                <w:b/>
                <w:sz w:val="20"/>
              </w:rPr>
            </w:pPr>
            <w:r>
              <w:rPr>
                <w:b/>
                <w:sz w:val="20"/>
              </w:rPr>
              <w:t>JP Morgan</w:t>
            </w:r>
          </w:p>
        </w:tc>
      </w:tr>
      <w:tr>
        <w:trPr>
          <w:trHeight w:val="300" w:hRule="atLeast"/>
        </w:trPr>
        <w:tc>
          <w:tcPr>
            <w:tcW w:w="2776" w:type="dxa"/>
          </w:tcPr>
          <w:p>
            <w:pPr>
              <w:pStyle w:val="TableParagraph"/>
              <w:spacing w:before="33"/>
              <w:rPr>
                <w:sz w:val="20"/>
              </w:rPr>
            </w:pPr>
            <w:r>
              <w:rPr>
                <w:sz w:val="20"/>
              </w:rPr>
              <w:t>Steve Bullock</w:t>
            </w:r>
          </w:p>
        </w:tc>
        <w:tc>
          <w:tcPr>
            <w:tcW w:w="4454" w:type="dxa"/>
          </w:tcPr>
          <w:p>
            <w:pPr>
              <w:pStyle w:val="TableParagraph"/>
              <w:ind w:left="544"/>
              <w:rPr>
                <w:b/>
                <w:sz w:val="20"/>
              </w:rPr>
            </w:pPr>
            <w:r>
              <w:rPr>
                <w:b/>
                <w:sz w:val="20"/>
              </w:rPr>
              <w:t>Lloyds</w:t>
            </w:r>
          </w:p>
        </w:tc>
      </w:tr>
      <w:tr>
        <w:trPr>
          <w:trHeight w:val="300" w:hRule="atLeast"/>
        </w:trPr>
        <w:tc>
          <w:tcPr>
            <w:tcW w:w="2776" w:type="dxa"/>
          </w:tcPr>
          <w:p>
            <w:pPr>
              <w:pStyle w:val="TableParagraph"/>
              <w:spacing w:before="32"/>
              <w:rPr>
                <w:sz w:val="20"/>
              </w:rPr>
            </w:pPr>
            <w:r>
              <w:rPr>
                <w:sz w:val="20"/>
              </w:rPr>
              <w:t>Freddie Napier</w:t>
            </w:r>
          </w:p>
        </w:tc>
        <w:tc>
          <w:tcPr>
            <w:tcW w:w="4454" w:type="dxa"/>
          </w:tcPr>
          <w:p>
            <w:pPr>
              <w:pStyle w:val="TableParagraph"/>
              <w:ind w:left="544"/>
              <w:rPr>
                <w:b/>
                <w:sz w:val="20"/>
              </w:rPr>
            </w:pPr>
            <w:r>
              <w:rPr>
                <w:b/>
                <w:sz w:val="20"/>
              </w:rPr>
              <w:t>Morgan Stanley</w:t>
            </w:r>
          </w:p>
        </w:tc>
      </w:tr>
      <w:tr>
        <w:trPr>
          <w:trHeight w:val="300" w:hRule="atLeast"/>
        </w:trPr>
        <w:tc>
          <w:tcPr>
            <w:tcW w:w="2776" w:type="dxa"/>
          </w:tcPr>
          <w:p>
            <w:pPr>
              <w:pStyle w:val="TableParagraph"/>
              <w:spacing w:before="32"/>
              <w:rPr>
                <w:sz w:val="20"/>
              </w:rPr>
            </w:pPr>
            <w:r>
              <w:rPr>
                <w:sz w:val="20"/>
              </w:rPr>
              <w:t>Guy Winkworth</w:t>
            </w:r>
          </w:p>
        </w:tc>
        <w:tc>
          <w:tcPr>
            <w:tcW w:w="4454" w:type="dxa"/>
          </w:tcPr>
          <w:p>
            <w:pPr>
              <w:pStyle w:val="TableParagraph"/>
              <w:ind w:left="544"/>
              <w:rPr>
                <w:b/>
                <w:sz w:val="20"/>
              </w:rPr>
            </w:pPr>
            <w:r>
              <w:rPr>
                <w:b/>
                <w:sz w:val="20"/>
              </w:rPr>
              <w:t>Morgan Stanley</w:t>
            </w:r>
          </w:p>
        </w:tc>
      </w:tr>
      <w:tr>
        <w:trPr>
          <w:trHeight w:val="300" w:hRule="atLeast"/>
        </w:trPr>
        <w:tc>
          <w:tcPr>
            <w:tcW w:w="2776" w:type="dxa"/>
          </w:tcPr>
          <w:p>
            <w:pPr>
              <w:pStyle w:val="TableParagraph"/>
              <w:spacing w:before="32"/>
              <w:rPr>
                <w:sz w:val="20"/>
              </w:rPr>
            </w:pPr>
            <w:r>
              <w:rPr>
                <w:sz w:val="20"/>
              </w:rPr>
              <w:t>Mike Curtis</w:t>
            </w:r>
          </w:p>
        </w:tc>
        <w:tc>
          <w:tcPr>
            <w:tcW w:w="4454" w:type="dxa"/>
          </w:tcPr>
          <w:p>
            <w:pPr>
              <w:pStyle w:val="TableParagraph"/>
              <w:ind w:left="544"/>
              <w:rPr>
                <w:b/>
                <w:sz w:val="20"/>
              </w:rPr>
            </w:pPr>
            <w:r>
              <w:rPr>
                <w:b/>
                <w:sz w:val="20"/>
              </w:rPr>
              <w:t>Nomura</w:t>
            </w:r>
          </w:p>
        </w:tc>
      </w:tr>
      <w:tr>
        <w:trPr>
          <w:trHeight w:val="300" w:hRule="atLeast"/>
        </w:trPr>
        <w:tc>
          <w:tcPr>
            <w:tcW w:w="2776" w:type="dxa"/>
          </w:tcPr>
          <w:p>
            <w:pPr>
              <w:pStyle w:val="TableParagraph"/>
              <w:spacing w:before="32"/>
              <w:rPr>
                <w:sz w:val="20"/>
              </w:rPr>
            </w:pPr>
            <w:r>
              <w:rPr>
                <w:sz w:val="20"/>
              </w:rPr>
              <w:t>Toby Stevenson</w:t>
            </w:r>
          </w:p>
        </w:tc>
        <w:tc>
          <w:tcPr>
            <w:tcW w:w="4454" w:type="dxa"/>
          </w:tcPr>
          <w:p>
            <w:pPr>
              <w:pStyle w:val="TableParagraph"/>
              <w:ind w:left="544"/>
              <w:rPr>
                <w:b/>
                <w:sz w:val="20"/>
              </w:rPr>
            </w:pPr>
            <w:r>
              <w:rPr>
                <w:b/>
                <w:sz w:val="20"/>
              </w:rPr>
              <w:t>RBS</w:t>
            </w:r>
          </w:p>
        </w:tc>
      </w:tr>
      <w:tr>
        <w:trPr>
          <w:trHeight w:val="300" w:hRule="atLeast"/>
        </w:trPr>
        <w:tc>
          <w:tcPr>
            <w:tcW w:w="2776" w:type="dxa"/>
          </w:tcPr>
          <w:p>
            <w:pPr>
              <w:pStyle w:val="TableParagraph"/>
              <w:spacing w:before="32"/>
              <w:rPr>
                <w:sz w:val="20"/>
              </w:rPr>
            </w:pPr>
            <w:r>
              <w:rPr>
                <w:sz w:val="20"/>
              </w:rPr>
              <w:t>Alan Williams</w:t>
            </w:r>
          </w:p>
        </w:tc>
        <w:tc>
          <w:tcPr>
            <w:tcW w:w="4454" w:type="dxa"/>
          </w:tcPr>
          <w:p>
            <w:pPr>
              <w:pStyle w:val="TableParagraph"/>
              <w:ind w:left="544"/>
              <w:rPr>
                <w:b/>
                <w:sz w:val="20"/>
              </w:rPr>
            </w:pPr>
            <w:r>
              <w:rPr>
                <w:b/>
                <w:sz w:val="20"/>
              </w:rPr>
              <w:t>Santander</w:t>
            </w:r>
          </w:p>
        </w:tc>
      </w:tr>
      <w:tr>
        <w:trPr>
          <w:trHeight w:val="300" w:hRule="atLeast"/>
        </w:trPr>
        <w:tc>
          <w:tcPr>
            <w:tcW w:w="2776" w:type="dxa"/>
          </w:tcPr>
          <w:p>
            <w:pPr>
              <w:pStyle w:val="TableParagraph"/>
              <w:spacing w:before="32"/>
              <w:rPr>
                <w:sz w:val="20"/>
              </w:rPr>
            </w:pPr>
            <w:r>
              <w:rPr>
                <w:sz w:val="20"/>
              </w:rPr>
              <w:t>Stephane Cuny</w:t>
            </w:r>
          </w:p>
        </w:tc>
        <w:tc>
          <w:tcPr>
            <w:tcW w:w="4454" w:type="dxa"/>
          </w:tcPr>
          <w:p>
            <w:pPr>
              <w:pStyle w:val="TableParagraph"/>
              <w:ind w:left="544"/>
              <w:rPr>
                <w:b/>
                <w:sz w:val="20"/>
              </w:rPr>
            </w:pPr>
            <w:r>
              <w:rPr>
                <w:b/>
                <w:sz w:val="20"/>
              </w:rPr>
              <w:t>Société Générale</w:t>
            </w:r>
          </w:p>
        </w:tc>
      </w:tr>
      <w:tr>
        <w:trPr>
          <w:trHeight w:val="300" w:hRule="atLeast"/>
        </w:trPr>
        <w:tc>
          <w:tcPr>
            <w:tcW w:w="2776" w:type="dxa"/>
          </w:tcPr>
          <w:p>
            <w:pPr>
              <w:pStyle w:val="TableParagraph"/>
              <w:spacing w:before="32"/>
              <w:rPr>
                <w:sz w:val="20"/>
              </w:rPr>
            </w:pPr>
            <w:r>
              <w:rPr>
                <w:sz w:val="20"/>
              </w:rPr>
              <w:t>Hannah Rutledge</w:t>
            </w:r>
          </w:p>
        </w:tc>
        <w:tc>
          <w:tcPr>
            <w:tcW w:w="4454" w:type="dxa"/>
          </w:tcPr>
          <w:p>
            <w:pPr>
              <w:pStyle w:val="TableParagraph"/>
              <w:ind w:left="544"/>
              <w:rPr>
                <w:b/>
                <w:sz w:val="20"/>
              </w:rPr>
            </w:pPr>
            <w:r>
              <w:rPr>
                <w:b/>
                <w:sz w:val="20"/>
              </w:rPr>
              <w:t>UBS</w:t>
            </w:r>
          </w:p>
        </w:tc>
      </w:tr>
      <w:tr>
        <w:trPr>
          <w:trHeight w:val="300" w:hRule="atLeast"/>
        </w:trPr>
        <w:tc>
          <w:tcPr>
            <w:tcW w:w="2776" w:type="dxa"/>
          </w:tcPr>
          <w:p>
            <w:pPr>
              <w:pStyle w:val="TableParagraph"/>
              <w:spacing w:before="32"/>
              <w:rPr>
                <w:sz w:val="20"/>
              </w:rPr>
            </w:pPr>
            <w:r>
              <w:rPr>
                <w:sz w:val="20"/>
              </w:rPr>
              <w:t>Chirag Dave</w:t>
            </w:r>
          </w:p>
        </w:tc>
        <w:tc>
          <w:tcPr>
            <w:tcW w:w="4454" w:type="dxa"/>
          </w:tcPr>
          <w:p>
            <w:pPr>
              <w:pStyle w:val="TableParagraph"/>
              <w:ind w:left="544"/>
              <w:rPr>
                <w:b/>
                <w:sz w:val="20"/>
              </w:rPr>
            </w:pPr>
            <w:r>
              <w:rPr>
                <w:b/>
                <w:sz w:val="20"/>
              </w:rPr>
              <w:t>UBS</w:t>
            </w:r>
          </w:p>
        </w:tc>
      </w:tr>
      <w:tr>
        <w:trPr>
          <w:trHeight w:val="300" w:hRule="atLeast"/>
        </w:trPr>
        <w:tc>
          <w:tcPr>
            <w:tcW w:w="2776" w:type="dxa"/>
          </w:tcPr>
          <w:p>
            <w:pPr>
              <w:pStyle w:val="TableParagraph"/>
              <w:spacing w:before="32"/>
              <w:rPr>
                <w:sz w:val="20"/>
              </w:rPr>
            </w:pPr>
            <w:r>
              <w:rPr>
                <w:sz w:val="20"/>
              </w:rPr>
              <w:t>Phil Whitehurst</w:t>
            </w:r>
          </w:p>
        </w:tc>
        <w:tc>
          <w:tcPr>
            <w:tcW w:w="4454" w:type="dxa"/>
          </w:tcPr>
          <w:p>
            <w:pPr>
              <w:pStyle w:val="TableParagraph"/>
              <w:ind w:left="544"/>
              <w:rPr>
                <w:b/>
                <w:sz w:val="20"/>
              </w:rPr>
            </w:pPr>
            <w:r>
              <w:rPr>
                <w:b/>
                <w:sz w:val="20"/>
              </w:rPr>
              <w:t>LCH ltd (Observer)</w:t>
            </w:r>
          </w:p>
        </w:tc>
      </w:tr>
      <w:tr>
        <w:trPr>
          <w:trHeight w:val="300" w:hRule="atLeast"/>
        </w:trPr>
        <w:tc>
          <w:tcPr>
            <w:tcW w:w="2776" w:type="dxa"/>
          </w:tcPr>
          <w:p>
            <w:pPr>
              <w:pStyle w:val="TableParagraph"/>
              <w:spacing w:before="32"/>
              <w:rPr>
                <w:sz w:val="20"/>
              </w:rPr>
            </w:pPr>
            <w:r>
              <w:rPr>
                <w:sz w:val="20"/>
              </w:rPr>
              <w:t>Catherine Farrer</w:t>
            </w:r>
          </w:p>
        </w:tc>
        <w:tc>
          <w:tcPr>
            <w:tcW w:w="4454" w:type="dxa"/>
          </w:tcPr>
          <w:p>
            <w:pPr>
              <w:pStyle w:val="TableParagraph"/>
              <w:ind w:left="544"/>
              <w:rPr>
                <w:b/>
                <w:sz w:val="20"/>
              </w:rPr>
            </w:pPr>
            <w:r>
              <w:rPr>
                <w:b/>
                <w:sz w:val="20"/>
              </w:rPr>
              <w:t>ISDA (Observer)</w:t>
            </w:r>
          </w:p>
        </w:tc>
      </w:tr>
      <w:tr>
        <w:trPr>
          <w:trHeight w:val="300" w:hRule="atLeast"/>
        </w:trPr>
        <w:tc>
          <w:tcPr>
            <w:tcW w:w="2776" w:type="dxa"/>
          </w:tcPr>
          <w:p>
            <w:pPr>
              <w:pStyle w:val="TableParagraph"/>
              <w:spacing w:before="32"/>
              <w:rPr>
                <w:sz w:val="20"/>
              </w:rPr>
            </w:pPr>
            <w:r>
              <w:rPr>
                <w:sz w:val="20"/>
              </w:rPr>
              <w:t>Rick Sandilands</w:t>
            </w:r>
          </w:p>
        </w:tc>
        <w:tc>
          <w:tcPr>
            <w:tcW w:w="4454" w:type="dxa"/>
          </w:tcPr>
          <w:p>
            <w:pPr>
              <w:pStyle w:val="TableParagraph"/>
              <w:ind w:left="544"/>
              <w:rPr>
                <w:b/>
                <w:sz w:val="20"/>
              </w:rPr>
            </w:pPr>
            <w:r>
              <w:rPr>
                <w:b/>
                <w:sz w:val="20"/>
              </w:rPr>
              <w:t>ISDA (Observer)</w:t>
            </w:r>
          </w:p>
        </w:tc>
      </w:tr>
      <w:tr>
        <w:trPr>
          <w:trHeight w:val="300" w:hRule="atLeast"/>
        </w:trPr>
        <w:tc>
          <w:tcPr>
            <w:tcW w:w="2776" w:type="dxa"/>
          </w:tcPr>
          <w:p>
            <w:pPr>
              <w:pStyle w:val="TableParagraph"/>
              <w:spacing w:before="33"/>
              <w:rPr>
                <w:sz w:val="20"/>
              </w:rPr>
            </w:pPr>
            <w:r>
              <w:rPr>
                <w:sz w:val="20"/>
              </w:rPr>
              <w:t>Dermot Doherty</w:t>
            </w:r>
          </w:p>
        </w:tc>
        <w:tc>
          <w:tcPr>
            <w:tcW w:w="4454" w:type="dxa"/>
          </w:tcPr>
          <w:p>
            <w:pPr>
              <w:pStyle w:val="TableParagraph"/>
              <w:ind w:left="544"/>
              <w:rPr>
                <w:b/>
                <w:sz w:val="20"/>
              </w:rPr>
            </w:pPr>
            <w:r>
              <w:rPr>
                <w:b/>
                <w:sz w:val="20"/>
              </w:rPr>
              <w:t>Nex (Guest, only for their presentation)</w:t>
            </w:r>
          </w:p>
        </w:tc>
      </w:tr>
      <w:tr>
        <w:trPr>
          <w:trHeight w:val="262" w:hRule="atLeast"/>
        </w:trPr>
        <w:tc>
          <w:tcPr>
            <w:tcW w:w="2776" w:type="dxa"/>
          </w:tcPr>
          <w:p>
            <w:pPr>
              <w:pStyle w:val="TableParagraph"/>
              <w:spacing w:line="210" w:lineRule="exact" w:before="32"/>
              <w:rPr>
                <w:sz w:val="20"/>
              </w:rPr>
            </w:pPr>
            <w:r>
              <w:rPr>
                <w:sz w:val="20"/>
              </w:rPr>
              <w:t>Jan de Smedt</w:t>
            </w:r>
          </w:p>
        </w:tc>
        <w:tc>
          <w:tcPr>
            <w:tcW w:w="4454" w:type="dxa"/>
          </w:tcPr>
          <w:p>
            <w:pPr>
              <w:pStyle w:val="TableParagraph"/>
              <w:spacing w:line="212" w:lineRule="exact"/>
              <w:ind w:left="544"/>
              <w:rPr>
                <w:b/>
                <w:sz w:val="20"/>
              </w:rPr>
            </w:pPr>
            <w:r>
              <w:rPr>
                <w:b/>
                <w:sz w:val="20"/>
              </w:rPr>
              <w:t>Nex (Guest, only for their presentation)</w:t>
            </w:r>
          </w:p>
        </w:tc>
      </w:tr>
    </w:tbl>
    <w:p>
      <w:pPr>
        <w:pStyle w:val="BodyText"/>
        <w:rPr>
          <w:b/>
          <w:sz w:val="22"/>
        </w:rPr>
      </w:pPr>
    </w:p>
    <w:p>
      <w:pPr>
        <w:pStyle w:val="BodyText"/>
        <w:rPr>
          <w:b/>
          <w:sz w:val="22"/>
        </w:rPr>
      </w:pPr>
    </w:p>
    <w:p>
      <w:pPr>
        <w:pStyle w:val="BodyText"/>
        <w:spacing w:before="6"/>
        <w:rPr>
          <w:b/>
          <w:sz w:val="25"/>
        </w:rPr>
      </w:pPr>
    </w:p>
    <w:p>
      <w:pPr>
        <w:spacing w:before="0"/>
        <w:ind w:left="200" w:right="0" w:firstLine="0"/>
        <w:jc w:val="left"/>
        <w:rPr>
          <w:b/>
          <w:sz w:val="20"/>
        </w:rPr>
      </w:pPr>
      <w:r>
        <w:rPr>
          <w:b/>
          <w:sz w:val="20"/>
        </w:rPr>
        <w:t>Official sector</w:t>
      </w:r>
      <w:r>
        <w:rPr>
          <w:b/>
          <w:spacing w:val="-9"/>
          <w:sz w:val="20"/>
        </w:rPr>
        <w:t> </w:t>
      </w:r>
      <w:r>
        <w:rPr>
          <w:b/>
          <w:sz w:val="20"/>
        </w:rPr>
        <w:t>attendees</w:t>
      </w:r>
    </w:p>
    <w:p>
      <w:pPr>
        <w:pStyle w:val="BodyText"/>
        <w:spacing w:before="9" w:after="1"/>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0"/>
        <w:gridCol w:w="3657"/>
      </w:tblGrid>
      <w:tr>
        <w:trPr>
          <w:trHeight w:val="264" w:hRule="atLeast"/>
        </w:trPr>
        <w:tc>
          <w:tcPr>
            <w:tcW w:w="2580" w:type="dxa"/>
          </w:tcPr>
          <w:p>
            <w:pPr>
              <w:pStyle w:val="TableParagraph"/>
              <w:spacing w:line="225" w:lineRule="exact" w:before="0"/>
              <w:rPr>
                <w:sz w:val="20"/>
              </w:rPr>
            </w:pPr>
            <w:r>
              <w:rPr>
                <w:sz w:val="20"/>
              </w:rPr>
              <w:t>Will Parry</w:t>
            </w:r>
          </w:p>
        </w:tc>
        <w:tc>
          <w:tcPr>
            <w:tcW w:w="3657" w:type="dxa"/>
          </w:tcPr>
          <w:p>
            <w:pPr>
              <w:pStyle w:val="TableParagraph"/>
              <w:spacing w:line="223" w:lineRule="exact" w:before="0"/>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Ed Ocampo</w:t>
            </w:r>
          </w:p>
        </w:tc>
        <w:tc>
          <w:tcPr>
            <w:tcW w:w="3657" w:type="dxa"/>
          </w:tcPr>
          <w:p>
            <w:pPr>
              <w:pStyle w:val="TableParagraph"/>
              <w:spacing w:before="32"/>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Renée Horrell</w:t>
            </w:r>
          </w:p>
        </w:tc>
        <w:tc>
          <w:tcPr>
            <w:tcW w:w="3657" w:type="dxa"/>
          </w:tcPr>
          <w:p>
            <w:pPr>
              <w:pStyle w:val="TableParagraph"/>
              <w:spacing w:before="31"/>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Sakshi Gupta</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4"/>
              <w:rPr>
                <w:sz w:val="20"/>
              </w:rPr>
            </w:pPr>
            <w:r>
              <w:rPr>
                <w:sz w:val="20"/>
              </w:rPr>
              <w:t>David Geen</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Harriet Hunnable</w:t>
            </w:r>
          </w:p>
        </w:tc>
        <w:tc>
          <w:tcPr>
            <w:tcW w:w="3657" w:type="dxa"/>
          </w:tcPr>
          <w:p>
            <w:pPr>
              <w:pStyle w:val="TableParagraph"/>
              <w:spacing w:before="32"/>
              <w:ind w:left="781"/>
              <w:rPr>
                <w:b/>
                <w:sz w:val="20"/>
              </w:rPr>
            </w:pPr>
            <w:r>
              <w:rPr>
                <w:b/>
                <w:sz w:val="20"/>
              </w:rPr>
              <w:t>Financial Conduct Authority</w:t>
            </w:r>
          </w:p>
        </w:tc>
      </w:tr>
      <w:tr>
        <w:trPr>
          <w:trHeight w:val="263" w:hRule="atLeast"/>
        </w:trPr>
        <w:tc>
          <w:tcPr>
            <w:tcW w:w="2580" w:type="dxa"/>
          </w:tcPr>
          <w:p>
            <w:pPr>
              <w:pStyle w:val="TableParagraph"/>
              <w:spacing w:line="210" w:lineRule="exact" w:before="34"/>
              <w:rPr>
                <w:sz w:val="20"/>
              </w:rPr>
            </w:pPr>
            <w:r>
              <w:rPr>
                <w:sz w:val="20"/>
              </w:rPr>
              <w:t>Devid Mazzonetto</w:t>
            </w:r>
          </w:p>
        </w:tc>
        <w:tc>
          <w:tcPr>
            <w:tcW w:w="3657" w:type="dxa"/>
          </w:tcPr>
          <w:p>
            <w:pPr>
              <w:pStyle w:val="TableParagraph"/>
              <w:spacing w:line="212" w:lineRule="exact" w:before="31"/>
              <w:ind w:left="781"/>
              <w:rPr>
                <w:b/>
                <w:sz w:val="20"/>
              </w:rPr>
            </w:pPr>
            <w:r>
              <w:rPr>
                <w:b/>
                <w:sz w:val="20"/>
              </w:rPr>
              <w:t>Financial Conduct Authority</w:t>
            </w:r>
          </w:p>
        </w:tc>
      </w:tr>
    </w:tbl>
    <w:sectPr>
      <w:pgSz w:w="11910" w:h="16840"/>
      <w:pgMar w:top="1180" w:bottom="280" w:left="12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00" w:hanging="428"/>
        <w:jc w:val="left"/>
      </w:pPr>
      <w:rPr>
        <w:rFonts w:hint="default" w:ascii="Arial" w:hAnsi="Arial" w:eastAsia="Arial" w:cs="Arial"/>
        <w:w w:val="99"/>
        <w:sz w:val="20"/>
        <w:szCs w:val="20"/>
        <w:lang w:val="en-gb" w:eastAsia="en-gb" w:bidi="en-gb"/>
      </w:rPr>
    </w:lvl>
    <w:lvl w:ilvl="1">
      <w:start w:val="0"/>
      <w:numFmt w:val="bullet"/>
      <w:lvlText w:val="•"/>
      <w:lvlJc w:val="left"/>
      <w:pPr>
        <w:ind w:left="1144" w:hanging="428"/>
      </w:pPr>
      <w:rPr>
        <w:rFonts w:hint="default"/>
        <w:lang w:val="en-gb" w:eastAsia="en-gb" w:bidi="en-gb"/>
      </w:rPr>
    </w:lvl>
    <w:lvl w:ilvl="2">
      <w:start w:val="0"/>
      <w:numFmt w:val="bullet"/>
      <w:lvlText w:val="•"/>
      <w:lvlJc w:val="left"/>
      <w:pPr>
        <w:ind w:left="2089" w:hanging="428"/>
      </w:pPr>
      <w:rPr>
        <w:rFonts w:hint="default"/>
        <w:lang w:val="en-gb" w:eastAsia="en-gb" w:bidi="en-gb"/>
      </w:rPr>
    </w:lvl>
    <w:lvl w:ilvl="3">
      <w:start w:val="0"/>
      <w:numFmt w:val="bullet"/>
      <w:lvlText w:val="•"/>
      <w:lvlJc w:val="left"/>
      <w:pPr>
        <w:ind w:left="3033" w:hanging="428"/>
      </w:pPr>
      <w:rPr>
        <w:rFonts w:hint="default"/>
        <w:lang w:val="en-gb" w:eastAsia="en-gb" w:bidi="en-gb"/>
      </w:rPr>
    </w:lvl>
    <w:lvl w:ilvl="4">
      <w:start w:val="0"/>
      <w:numFmt w:val="bullet"/>
      <w:lvlText w:val="•"/>
      <w:lvlJc w:val="left"/>
      <w:pPr>
        <w:ind w:left="3978" w:hanging="428"/>
      </w:pPr>
      <w:rPr>
        <w:rFonts w:hint="default"/>
        <w:lang w:val="en-gb" w:eastAsia="en-gb" w:bidi="en-gb"/>
      </w:rPr>
    </w:lvl>
    <w:lvl w:ilvl="5">
      <w:start w:val="0"/>
      <w:numFmt w:val="bullet"/>
      <w:lvlText w:val="•"/>
      <w:lvlJc w:val="left"/>
      <w:pPr>
        <w:ind w:left="4923" w:hanging="428"/>
      </w:pPr>
      <w:rPr>
        <w:rFonts w:hint="default"/>
        <w:lang w:val="en-gb" w:eastAsia="en-gb" w:bidi="en-gb"/>
      </w:rPr>
    </w:lvl>
    <w:lvl w:ilvl="6">
      <w:start w:val="0"/>
      <w:numFmt w:val="bullet"/>
      <w:lvlText w:val="•"/>
      <w:lvlJc w:val="left"/>
      <w:pPr>
        <w:ind w:left="5867" w:hanging="428"/>
      </w:pPr>
      <w:rPr>
        <w:rFonts w:hint="default"/>
        <w:lang w:val="en-gb" w:eastAsia="en-gb" w:bidi="en-gb"/>
      </w:rPr>
    </w:lvl>
    <w:lvl w:ilvl="7">
      <w:start w:val="0"/>
      <w:numFmt w:val="bullet"/>
      <w:lvlText w:val="•"/>
      <w:lvlJc w:val="left"/>
      <w:pPr>
        <w:ind w:left="6812" w:hanging="428"/>
      </w:pPr>
      <w:rPr>
        <w:rFonts w:hint="default"/>
        <w:lang w:val="en-gb" w:eastAsia="en-gb" w:bidi="en-gb"/>
      </w:rPr>
    </w:lvl>
    <w:lvl w:ilvl="8">
      <w:start w:val="0"/>
      <w:numFmt w:val="bullet"/>
      <w:lvlText w:val="•"/>
      <w:lvlJc w:val="left"/>
      <w:pPr>
        <w:ind w:left="7757" w:hanging="42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0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200" w:right="109"/>
    </w:pPr>
    <w:rPr>
      <w:rFonts w:ascii="Arial" w:hAnsi="Arial" w:eastAsia="Arial" w:cs="Arial"/>
      <w:lang w:val="en-gb" w:eastAsia="en-gb" w:bidi="en-gb"/>
    </w:rPr>
  </w:style>
  <w:style w:styleId="TableParagraph" w:type="paragraph">
    <w:name w:val="Table Paragraph"/>
    <w:basedOn w:val="Normal"/>
    <w:uiPriority w:val="1"/>
    <w:qFormat/>
    <w:pPr>
      <w:spacing w:before="30"/>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nexdata.com/media/1156/rir-factsheet-mar-2017.pdf"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Mintues</dc:subject>
  <dc:title>Minutes - Working Group on Sterling Risk-Free Reference Rates</dc:title>
  <dcterms:created xsi:type="dcterms:W3CDTF">2020-06-01T02:24:19Z</dcterms:created>
  <dcterms:modified xsi:type="dcterms:W3CDTF">2020-06-01T02:24:19Z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2017-04-11T00:00:00Z</vt:filetime>
  </property>
  <property fmtid="{D5CDD505-2E9C-101B-9397-08002B2CF9AE}" pid="3" name="LastSaved">
    <vt:filetime>2020-06-01T00:00:00Z</vt:filetime>
  </property>
</Properties>
</file>