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57" w:lineRule="auto" w:before="75"/>
        <w:ind w:left="1666" w:right="1584"/>
        <w:jc w:val="center"/>
      </w:pPr>
      <w:r>
        <w:rPr/>
        <w:t>Minutes of the Working Group on Sterling Risk-Free Reference Rates Wednesday 20</w:t>
      </w:r>
      <w:r>
        <w:rPr>
          <w:position w:val="7"/>
          <w:sz w:val="13"/>
        </w:rPr>
        <w:t>th </w:t>
      </w:r>
      <w:r>
        <w:rPr/>
        <w:t>March 2019</w:t>
      </w:r>
    </w:p>
    <w:p>
      <w:pPr>
        <w:spacing w:before="9"/>
        <w:ind w:left="1664" w:right="1584" w:firstLine="0"/>
        <w:jc w:val="center"/>
        <w:rPr>
          <w:b/>
          <w:sz w:val="20"/>
        </w:rPr>
      </w:pPr>
      <w:r>
        <w:rPr>
          <w:b/>
          <w:sz w:val="20"/>
        </w:rPr>
        <w:t>Bank of England, Threadneedle Street, London EC2R 8AH</w:t>
      </w:r>
    </w:p>
    <w:p>
      <w:pPr>
        <w:pStyle w:val="BodyText"/>
        <w:spacing w:before="10"/>
        <w:ind w:left="0"/>
        <w:rPr>
          <w:b/>
          <w:sz w:val="22"/>
        </w:rPr>
      </w:pPr>
    </w:p>
    <w:p>
      <w:pPr>
        <w:spacing w:before="93"/>
        <w:ind w:left="197" w:right="0" w:firstLine="0"/>
        <w:jc w:val="left"/>
        <w:rPr>
          <w:b/>
          <w:sz w:val="20"/>
        </w:rPr>
      </w:pPr>
      <w:r>
        <w:rPr>
          <w:b/>
          <w:sz w:val="20"/>
        </w:rPr>
        <w:t>Agenda</w:t>
      </w:r>
    </w:p>
    <w:p>
      <w:pPr>
        <w:pStyle w:val="BodyText"/>
        <w:spacing w:before="1"/>
        <w:ind w:left="0"/>
        <w:rPr>
          <w:b/>
          <w:sz w:val="31"/>
        </w:rPr>
      </w:pPr>
    </w:p>
    <w:p>
      <w:pPr>
        <w:pStyle w:val="ListParagraph"/>
        <w:numPr>
          <w:ilvl w:val="0"/>
          <w:numId w:val="1"/>
        </w:numPr>
        <w:tabs>
          <w:tab w:pos="918" w:val="left" w:leader="none"/>
        </w:tabs>
        <w:spacing w:line="240" w:lineRule="auto" w:before="1" w:after="0"/>
        <w:ind w:left="917" w:right="0" w:hanging="361"/>
        <w:jc w:val="left"/>
        <w:rPr>
          <w:sz w:val="20"/>
        </w:rPr>
      </w:pPr>
      <w:r>
        <w:rPr>
          <w:sz w:val="20"/>
        </w:rPr>
        <w:t>Welcome &amp;</w:t>
      </w:r>
      <w:r>
        <w:rPr>
          <w:spacing w:val="-4"/>
          <w:sz w:val="20"/>
        </w:rPr>
        <w:t> </w:t>
      </w:r>
      <w:r>
        <w:rPr>
          <w:sz w:val="20"/>
        </w:rPr>
        <w:t>introductions</w:t>
      </w:r>
    </w:p>
    <w:p>
      <w:pPr>
        <w:pStyle w:val="ListParagraph"/>
        <w:numPr>
          <w:ilvl w:val="0"/>
          <w:numId w:val="1"/>
        </w:numPr>
        <w:tabs>
          <w:tab w:pos="918" w:val="left" w:leader="none"/>
        </w:tabs>
        <w:spacing w:line="240" w:lineRule="auto" w:before="115" w:after="0"/>
        <w:ind w:left="917" w:right="0" w:hanging="361"/>
        <w:jc w:val="left"/>
        <w:rPr>
          <w:sz w:val="20"/>
        </w:rPr>
      </w:pPr>
      <w:r>
        <w:rPr>
          <w:sz w:val="20"/>
        </w:rPr>
        <w:t>Competition law</w:t>
      </w:r>
      <w:r>
        <w:rPr>
          <w:spacing w:val="-5"/>
          <w:sz w:val="20"/>
        </w:rPr>
        <w:t> </w:t>
      </w:r>
      <w:r>
        <w:rPr>
          <w:sz w:val="20"/>
        </w:rPr>
        <w:t>reminder</w:t>
      </w:r>
    </w:p>
    <w:p>
      <w:pPr>
        <w:pStyle w:val="ListParagraph"/>
        <w:numPr>
          <w:ilvl w:val="0"/>
          <w:numId w:val="1"/>
        </w:numPr>
        <w:tabs>
          <w:tab w:pos="918" w:val="left" w:leader="none"/>
        </w:tabs>
        <w:spacing w:line="240" w:lineRule="auto" w:before="113" w:after="0"/>
        <w:ind w:left="917" w:right="0" w:hanging="361"/>
        <w:jc w:val="left"/>
        <w:rPr>
          <w:sz w:val="20"/>
        </w:rPr>
      </w:pPr>
      <w:r>
        <w:rPr>
          <w:sz w:val="20"/>
        </w:rPr>
        <w:t>Minutes of previous meeting</w:t>
      </w:r>
    </w:p>
    <w:p>
      <w:pPr>
        <w:pStyle w:val="ListParagraph"/>
        <w:numPr>
          <w:ilvl w:val="0"/>
          <w:numId w:val="1"/>
        </w:numPr>
        <w:tabs>
          <w:tab w:pos="918" w:val="left" w:leader="none"/>
        </w:tabs>
        <w:spacing w:line="240" w:lineRule="auto" w:before="116" w:after="0"/>
        <w:ind w:left="917" w:right="0" w:hanging="361"/>
        <w:jc w:val="left"/>
        <w:rPr>
          <w:sz w:val="20"/>
        </w:rPr>
      </w:pPr>
      <w:r>
        <w:rPr>
          <w:sz w:val="20"/>
        </w:rPr>
        <w:t>Transition roadmap and revised work structure</w:t>
      </w:r>
    </w:p>
    <w:p>
      <w:pPr>
        <w:pStyle w:val="ListParagraph"/>
        <w:numPr>
          <w:ilvl w:val="0"/>
          <w:numId w:val="1"/>
        </w:numPr>
        <w:tabs>
          <w:tab w:pos="918" w:val="left" w:leader="none"/>
        </w:tabs>
        <w:spacing w:line="240" w:lineRule="auto" w:before="116" w:after="0"/>
        <w:ind w:left="917" w:right="0" w:hanging="361"/>
        <w:jc w:val="left"/>
        <w:rPr>
          <w:sz w:val="20"/>
        </w:rPr>
      </w:pPr>
      <w:r>
        <w:rPr>
          <w:sz w:val="20"/>
        </w:rPr>
        <w:t>Mobilisation of Task</w:t>
      </w:r>
      <w:r>
        <w:rPr>
          <w:spacing w:val="4"/>
          <w:sz w:val="20"/>
        </w:rPr>
        <w:t> </w:t>
      </w:r>
      <w:r>
        <w:rPr>
          <w:sz w:val="20"/>
        </w:rPr>
        <w:t>Forces</w:t>
      </w:r>
    </w:p>
    <w:p>
      <w:pPr>
        <w:pStyle w:val="ListParagraph"/>
        <w:numPr>
          <w:ilvl w:val="0"/>
          <w:numId w:val="1"/>
        </w:numPr>
        <w:tabs>
          <w:tab w:pos="918" w:val="left" w:leader="none"/>
        </w:tabs>
        <w:spacing w:line="240" w:lineRule="auto" w:before="113" w:after="0"/>
        <w:ind w:left="917" w:right="0" w:hanging="361"/>
        <w:jc w:val="left"/>
        <w:rPr>
          <w:sz w:val="20"/>
        </w:rPr>
      </w:pPr>
      <w:r>
        <w:rPr>
          <w:sz w:val="20"/>
        </w:rPr>
        <w:t>International</w:t>
      </w:r>
      <w:r>
        <w:rPr>
          <w:spacing w:val="-3"/>
          <w:sz w:val="20"/>
        </w:rPr>
        <w:t> </w:t>
      </w:r>
      <w:r>
        <w:rPr>
          <w:sz w:val="20"/>
        </w:rPr>
        <w:t>coordination</w:t>
      </w:r>
    </w:p>
    <w:p>
      <w:pPr>
        <w:pStyle w:val="ListParagraph"/>
        <w:numPr>
          <w:ilvl w:val="0"/>
          <w:numId w:val="1"/>
        </w:numPr>
        <w:tabs>
          <w:tab w:pos="918" w:val="left" w:leader="none"/>
        </w:tabs>
        <w:spacing w:line="240" w:lineRule="auto" w:before="116" w:after="0"/>
        <w:ind w:left="917" w:right="0" w:hanging="361"/>
        <w:jc w:val="left"/>
        <w:rPr>
          <w:sz w:val="20"/>
        </w:rPr>
      </w:pPr>
      <w:r>
        <w:rPr>
          <w:sz w:val="20"/>
        </w:rPr>
        <w:t>Communications &amp; outreach</w:t>
      </w:r>
    </w:p>
    <w:p>
      <w:pPr>
        <w:pStyle w:val="ListParagraph"/>
        <w:numPr>
          <w:ilvl w:val="0"/>
          <w:numId w:val="1"/>
        </w:numPr>
        <w:tabs>
          <w:tab w:pos="918" w:val="left" w:leader="none"/>
        </w:tabs>
        <w:spacing w:line="240" w:lineRule="auto" w:before="116" w:after="0"/>
        <w:ind w:left="917" w:right="0" w:hanging="361"/>
        <w:jc w:val="left"/>
        <w:rPr>
          <w:sz w:val="20"/>
        </w:rPr>
      </w:pPr>
      <w:r>
        <w:rPr>
          <w:sz w:val="20"/>
        </w:rPr>
        <w:t>Update from</w:t>
      </w:r>
      <w:r>
        <w:rPr>
          <w:spacing w:val="-1"/>
          <w:sz w:val="20"/>
        </w:rPr>
        <w:t> </w:t>
      </w:r>
      <w:r>
        <w:rPr>
          <w:sz w:val="20"/>
        </w:rPr>
        <w:t>sub-groups</w:t>
      </w:r>
    </w:p>
    <w:p>
      <w:pPr>
        <w:pStyle w:val="ListParagraph"/>
        <w:numPr>
          <w:ilvl w:val="0"/>
          <w:numId w:val="1"/>
        </w:numPr>
        <w:tabs>
          <w:tab w:pos="918" w:val="left" w:leader="none"/>
        </w:tabs>
        <w:spacing w:line="240" w:lineRule="auto" w:before="115" w:after="0"/>
        <w:ind w:left="917" w:right="0" w:hanging="361"/>
        <w:jc w:val="left"/>
        <w:rPr>
          <w:sz w:val="20"/>
        </w:rPr>
      </w:pPr>
      <w:r>
        <w:rPr>
          <w:sz w:val="20"/>
        </w:rPr>
        <w:t>AOB</w:t>
      </w:r>
    </w:p>
    <w:p>
      <w:pPr>
        <w:pStyle w:val="BodyText"/>
        <w:spacing w:before="1"/>
        <w:ind w:left="0"/>
      </w:pPr>
    </w:p>
    <w:p>
      <w:pPr>
        <w:pStyle w:val="Heading1"/>
      </w:pPr>
      <w:r>
        <w:rPr/>
        <w:t>Welcome, Competition Law Reminder and Previous Meeting’s Minutes</w:t>
      </w:r>
    </w:p>
    <w:p>
      <w:pPr>
        <w:pStyle w:val="BodyText"/>
        <w:spacing w:before="8"/>
        <w:ind w:left="0"/>
        <w:rPr>
          <w:b/>
        </w:rPr>
      </w:pPr>
    </w:p>
    <w:p>
      <w:pPr>
        <w:pStyle w:val="ListParagraph"/>
        <w:numPr>
          <w:ilvl w:val="0"/>
          <w:numId w:val="2"/>
        </w:numPr>
        <w:tabs>
          <w:tab w:pos="558" w:val="left" w:leader="none"/>
        </w:tabs>
        <w:spacing w:line="360" w:lineRule="auto" w:before="0" w:after="0"/>
        <w:ind w:left="557" w:right="111" w:hanging="360"/>
        <w:jc w:val="both"/>
        <w:rPr>
          <w:sz w:val="20"/>
        </w:rPr>
      </w:pPr>
      <w:r>
        <w:rPr>
          <w:sz w:val="20"/>
        </w:rPr>
        <w:t>The Chair welcomed attendees, and reminded them of their competition law responsibilities and the importance of taking their own independent advice from the legal and/or compliance teams at their respective institutions.</w:t>
      </w:r>
    </w:p>
    <w:p>
      <w:pPr>
        <w:pStyle w:val="ListParagraph"/>
        <w:numPr>
          <w:ilvl w:val="0"/>
          <w:numId w:val="2"/>
        </w:numPr>
        <w:tabs>
          <w:tab w:pos="558" w:val="left" w:leader="none"/>
        </w:tabs>
        <w:spacing w:line="240" w:lineRule="auto" w:before="120" w:after="0"/>
        <w:ind w:left="557" w:right="0" w:hanging="361"/>
        <w:jc w:val="both"/>
        <w:rPr>
          <w:sz w:val="20"/>
        </w:rPr>
      </w:pPr>
      <w:r>
        <w:rPr>
          <w:sz w:val="20"/>
        </w:rPr>
        <w:t>The Working Group members approved the minutes of the previous</w:t>
      </w:r>
      <w:r>
        <w:rPr>
          <w:spacing w:val="-4"/>
          <w:sz w:val="20"/>
        </w:rPr>
        <w:t> </w:t>
      </w:r>
      <w:r>
        <w:rPr>
          <w:sz w:val="20"/>
        </w:rPr>
        <w:t>meeting.</w:t>
      </w:r>
    </w:p>
    <w:p>
      <w:pPr>
        <w:pStyle w:val="BodyText"/>
        <w:spacing w:before="3"/>
        <w:ind w:left="0"/>
      </w:pPr>
    </w:p>
    <w:p>
      <w:pPr>
        <w:pStyle w:val="Heading1"/>
      </w:pPr>
      <w:r>
        <w:rPr/>
        <w:t>Transition roadmap and revised work structure</w:t>
      </w:r>
    </w:p>
    <w:p>
      <w:pPr>
        <w:pStyle w:val="BodyText"/>
        <w:spacing w:before="8"/>
        <w:ind w:left="0"/>
        <w:rPr>
          <w:b/>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Chair announced that there was a plan for the Working Group, Bank of England, and Financial Conduct Authority to coordinate a public event on RFR transition. Materials from the project plan introduced at the last Working Group meeting, such as the high level roadmap, were expected to serve as a basis for relevant documentation to support this event. It would seek to reach the broader public but could also include technical breakout sessions. The public event was expected to build on the momentum of the FSB Benchmarks event in the US during</w:t>
      </w:r>
      <w:r>
        <w:rPr>
          <w:spacing w:val="1"/>
          <w:sz w:val="20"/>
        </w:rPr>
        <w:t> </w:t>
      </w:r>
      <w:r>
        <w:rPr>
          <w:sz w:val="20"/>
        </w:rPr>
        <w:t>April.</w:t>
      </w:r>
    </w:p>
    <w:p>
      <w:pPr>
        <w:pStyle w:val="ListParagraph"/>
        <w:numPr>
          <w:ilvl w:val="0"/>
          <w:numId w:val="2"/>
        </w:numPr>
        <w:tabs>
          <w:tab w:pos="558" w:val="left" w:leader="none"/>
        </w:tabs>
        <w:spacing w:line="360" w:lineRule="auto" w:before="119" w:after="0"/>
        <w:ind w:left="557" w:right="109" w:hanging="360"/>
        <w:jc w:val="both"/>
        <w:rPr>
          <w:sz w:val="20"/>
        </w:rPr>
      </w:pPr>
      <w:r>
        <w:rPr>
          <w:sz w:val="20"/>
        </w:rPr>
        <w:t>The Chair thanked the Working Group for providing comments to the RFR Secretariat on the project plan. The feedback and challenge from Working Group members was positive and demonstrated that they were aligned with the goal of establishing a project plan that was, credible, considered, and operable.</w:t>
      </w:r>
    </w:p>
    <w:p>
      <w:pPr>
        <w:pStyle w:val="ListParagraph"/>
        <w:numPr>
          <w:ilvl w:val="0"/>
          <w:numId w:val="2"/>
        </w:numPr>
        <w:tabs>
          <w:tab w:pos="558" w:val="left" w:leader="none"/>
        </w:tabs>
        <w:spacing w:line="360" w:lineRule="auto" w:before="121" w:after="0"/>
        <w:ind w:left="557" w:right="107" w:hanging="360"/>
        <w:jc w:val="both"/>
        <w:rPr>
          <w:sz w:val="20"/>
        </w:rPr>
      </w:pPr>
      <w:r>
        <w:rPr>
          <w:sz w:val="20"/>
        </w:rPr>
        <w:t>The high level roadmap had been updated to include a preamble that better reflected progress to date in establishing SONIA-linked markets. The roadmap now also recognised where the Working Group were directly in control of some deliverables, and where items should be targeted through wider market engagement. The international elements of work would have to be progressed through broader engagement with working groups in other jurisdictions. Working Group members discussed whether there should be more detail on the delivery by product and user; acknowledging this would not be necessary for the version to use at the public launch</w:t>
      </w:r>
      <w:r>
        <w:rPr>
          <w:spacing w:val="-10"/>
          <w:sz w:val="20"/>
        </w:rPr>
        <w:t> </w:t>
      </w:r>
      <w:r>
        <w:rPr>
          <w:sz w:val="20"/>
        </w:rPr>
        <w:t>event.</w:t>
      </w:r>
    </w:p>
    <w:p>
      <w:pPr>
        <w:spacing w:after="0" w:line="360" w:lineRule="auto"/>
        <w:jc w:val="both"/>
        <w:rPr>
          <w:sz w:val="20"/>
        </w:rPr>
        <w:sectPr>
          <w:footerReference w:type="default" r:id="rId5"/>
          <w:type w:val="continuous"/>
          <w:pgSz w:w="11910" w:h="16840"/>
          <w:pgMar w:footer="717" w:top="1180" w:bottom="900" w:left="1080" w:right="1020"/>
          <w:pgNumType w:start="3"/>
        </w:sectPr>
      </w:pPr>
    </w:p>
    <w:p>
      <w:pPr>
        <w:pStyle w:val="ListParagraph"/>
        <w:numPr>
          <w:ilvl w:val="0"/>
          <w:numId w:val="2"/>
        </w:numPr>
        <w:tabs>
          <w:tab w:pos="558" w:val="left" w:leader="none"/>
        </w:tabs>
        <w:spacing w:line="360" w:lineRule="auto" w:before="78" w:after="0"/>
        <w:ind w:left="557" w:right="111" w:hanging="360"/>
        <w:jc w:val="both"/>
        <w:rPr>
          <w:sz w:val="20"/>
        </w:rPr>
      </w:pPr>
      <w:r>
        <w:rPr>
          <w:sz w:val="20"/>
        </w:rPr>
        <w:t>The role of the Advisory Group (previously sometimes referred to as the ‘senior sponsorship group’) was expanded upon. The Advisory Group would meet less frequently than the Working Group.  It  would be expected to provide strategic direction and support to the Working Group to deliver transition. The Chair explained it would consist of senior level individuals who had responsibility for budgeting and deploying resource in their respective organisations. These individuals would be contacted after the Working Group</w:t>
      </w:r>
      <w:r>
        <w:rPr>
          <w:spacing w:val="-3"/>
          <w:sz w:val="20"/>
        </w:rPr>
        <w:t> </w:t>
      </w:r>
      <w:r>
        <w:rPr>
          <w:sz w:val="20"/>
        </w:rPr>
        <w:t>meeting.</w:t>
      </w:r>
    </w:p>
    <w:p>
      <w:pPr>
        <w:pStyle w:val="ListParagraph"/>
        <w:numPr>
          <w:ilvl w:val="0"/>
          <w:numId w:val="2"/>
        </w:numPr>
        <w:tabs>
          <w:tab w:pos="558" w:val="left" w:leader="none"/>
        </w:tabs>
        <w:spacing w:line="360" w:lineRule="auto" w:before="119" w:after="0"/>
        <w:ind w:left="557" w:right="109" w:hanging="360"/>
        <w:jc w:val="both"/>
        <w:rPr>
          <w:sz w:val="20"/>
        </w:rPr>
      </w:pPr>
      <w:r>
        <w:rPr>
          <w:sz w:val="20"/>
        </w:rPr>
        <w:t>The revised governance structure on the Groups, Sub-Groups, and Task Forces was presented and agreed. The outreach to date through the forums had been positive and, going forward, was expected to be performed through communication initiatives such as webinars and discussion events. The Investment Association’s valued work with the investment management industry was expected to continue outside of the governance structure of the Working</w:t>
      </w:r>
      <w:r>
        <w:rPr>
          <w:spacing w:val="-4"/>
          <w:sz w:val="20"/>
        </w:rPr>
        <w:t> </w:t>
      </w:r>
      <w:r>
        <w:rPr>
          <w:sz w:val="20"/>
        </w:rPr>
        <w:t>Group.</w:t>
      </w:r>
    </w:p>
    <w:p>
      <w:pPr>
        <w:pStyle w:val="ListParagraph"/>
        <w:numPr>
          <w:ilvl w:val="0"/>
          <w:numId w:val="2"/>
        </w:numPr>
        <w:tabs>
          <w:tab w:pos="558" w:val="left" w:leader="none"/>
        </w:tabs>
        <w:spacing w:line="362" w:lineRule="auto" w:before="121" w:after="0"/>
        <w:ind w:left="557" w:right="110" w:hanging="360"/>
        <w:jc w:val="both"/>
        <w:rPr>
          <w:sz w:val="20"/>
        </w:rPr>
      </w:pPr>
      <w:r>
        <w:rPr>
          <w:sz w:val="20"/>
        </w:rPr>
        <w:t>Working Group members were asked to provide any remaining detailed comments for the preamble and high level roadmap to the RFR</w:t>
      </w:r>
      <w:r>
        <w:rPr>
          <w:spacing w:val="-4"/>
          <w:sz w:val="20"/>
        </w:rPr>
        <w:t> </w:t>
      </w:r>
      <w:r>
        <w:rPr>
          <w:sz w:val="20"/>
        </w:rPr>
        <w:t>Secretariat.</w:t>
      </w:r>
    </w:p>
    <w:p>
      <w:pPr>
        <w:pStyle w:val="Heading1"/>
        <w:spacing w:before="112"/>
        <w:jc w:val="both"/>
      </w:pPr>
      <w:r>
        <w:rPr/>
        <w:t>Mobilisation of Task Forces</w:t>
      </w:r>
    </w:p>
    <w:p>
      <w:pPr>
        <w:pStyle w:val="BodyText"/>
        <w:spacing w:before="6"/>
        <w:ind w:left="0"/>
        <w:rPr>
          <w:b/>
        </w:rPr>
      </w:pPr>
    </w:p>
    <w:p>
      <w:pPr>
        <w:pStyle w:val="ListParagraph"/>
        <w:numPr>
          <w:ilvl w:val="0"/>
          <w:numId w:val="2"/>
        </w:numPr>
        <w:tabs>
          <w:tab w:pos="558" w:val="left" w:leader="none"/>
        </w:tabs>
        <w:spacing w:line="360" w:lineRule="auto" w:before="0" w:after="0"/>
        <w:ind w:left="557" w:right="112" w:hanging="360"/>
        <w:jc w:val="both"/>
        <w:rPr>
          <w:sz w:val="13"/>
        </w:rPr>
      </w:pPr>
      <w:r>
        <w:rPr>
          <w:i/>
          <w:sz w:val="20"/>
        </w:rPr>
        <w:t>Term Rate Task Force</w:t>
      </w:r>
      <w:r>
        <w:rPr>
          <w:sz w:val="20"/>
        </w:rPr>
        <w:t>: The chair stated that this Task Force had met and considered discussions on term rate by the working group on euro risk-free rates. It was thought there would be value in revisiting the conclusions of the 2018 Consultation Paper on Term Sonia Reference</w:t>
      </w:r>
      <w:r>
        <w:rPr>
          <w:spacing w:val="4"/>
          <w:sz w:val="20"/>
        </w:rPr>
        <w:t> </w:t>
      </w:r>
      <w:r>
        <w:rPr>
          <w:sz w:val="20"/>
        </w:rPr>
        <w:t>Rate.</w:t>
      </w:r>
      <w:r>
        <w:rPr>
          <w:position w:val="6"/>
          <w:sz w:val="13"/>
        </w:rPr>
        <w:t>1</w:t>
      </w:r>
    </w:p>
    <w:p>
      <w:pPr>
        <w:pStyle w:val="ListParagraph"/>
        <w:numPr>
          <w:ilvl w:val="0"/>
          <w:numId w:val="2"/>
        </w:numPr>
        <w:tabs>
          <w:tab w:pos="558" w:val="left" w:leader="none"/>
        </w:tabs>
        <w:spacing w:line="360" w:lineRule="auto" w:before="122" w:after="0"/>
        <w:ind w:left="557" w:right="108" w:hanging="360"/>
        <w:jc w:val="both"/>
        <w:rPr>
          <w:sz w:val="20"/>
        </w:rPr>
      </w:pPr>
      <w:r>
        <w:rPr>
          <w:sz w:val="20"/>
        </w:rPr>
        <w:t>The Working Group re-iterated its support for continuing to promote the development of a suitably robust forward looking SONIA term rate. The FCA stated there was interest from two credible Benchmark providers in developing a forward looking term rate and engage with the Working Group, which they saw as positive: FTSE Russell and the ICE Benchmark</w:t>
      </w:r>
      <w:r>
        <w:rPr>
          <w:spacing w:val="-6"/>
          <w:sz w:val="20"/>
        </w:rPr>
        <w:t> </w:t>
      </w:r>
      <w:r>
        <w:rPr>
          <w:sz w:val="20"/>
        </w:rPr>
        <w:t>Administration.</w:t>
      </w:r>
    </w:p>
    <w:p>
      <w:pPr>
        <w:pStyle w:val="ListParagraph"/>
        <w:numPr>
          <w:ilvl w:val="0"/>
          <w:numId w:val="2"/>
        </w:numPr>
        <w:tabs>
          <w:tab w:pos="558" w:val="left" w:leader="none"/>
        </w:tabs>
        <w:spacing w:line="360" w:lineRule="auto" w:before="120" w:after="0"/>
        <w:ind w:left="557" w:right="110" w:hanging="360"/>
        <w:jc w:val="both"/>
        <w:rPr>
          <w:sz w:val="20"/>
        </w:rPr>
      </w:pPr>
      <w:r>
        <w:rPr>
          <w:sz w:val="20"/>
        </w:rPr>
        <w:t>The Working Group agreed that this Task Force should consider whether a further public statement building on the outcome of the 2018 Consultation Paper would be helpful in developing a credible forward looking term rate. Such a statement would need to set out the use cases, for example, in specific segments of the cash market, with the aim of catalysing the necessary support from market participants and infrastructure providers.</w:t>
      </w:r>
    </w:p>
    <w:p>
      <w:pPr>
        <w:pStyle w:val="ListParagraph"/>
        <w:numPr>
          <w:ilvl w:val="0"/>
          <w:numId w:val="2"/>
        </w:numPr>
        <w:tabs>
          <w:tab w:pos="558" w:val="left" w:leader="none"/>
        </w:tabs>
        <w:spacing w:line="360" w:lineRule="auto" w:before="121" w:after="0"/>
        <w:ind w:left="557" w:right="111" w:hanging="360"/>
        <w:jc w:val="both"/>
        <w:rPr>
          <w:sz w:val="20"/>
        </w:rPr>
      </w:pPr>
      <w:r>
        <w:rPr>
          <w:sz w:val="20"/>
        </w:rPr>
        <w:t>The Working Group re-iterated that compounded SONIA remained a suitable product more widely for end users and that it therefore intended to continue to promote it, in parallel to the work to develop a forward looking term rate for end users with the strongest use case. To ensure that market participants more widely did not wait for the development of a forward looking term rate, the Working Group agreed to set out the benefits for transitioning to compounded SONIA, building on its recent publication of the Discussion Paper on market conventions for referencing SONIA</w:t>
      </w:r>
      <w:r>
        <w:rPr>
          <w:position w:val="6"/>
          <w:sz w:val="13"/>
        </w:rPr>
        <w:t>2</w:t>
      </w:r>
      <w:r>
        <w:rPr>
          <w:sz w:val="20"/>
        </w:rPr>
        <w:t>. This was also noted as an opportunity to align messaging</w:t>
      </w:r>
      <w:r>
        <w:rPr>
          <w:spacing w:val="-2"/>
          <w:sz w:val="20"/>
        </w:rPr>
        <w:t> </w:t>
      </w:r>
      <w:r>
        <w:rPr>
          <w:sz w:val="20"/>
        </w:rPr>
        <w:t>internationally.</w:t>
      </w:r>
    </w:p>
    <w:p>
      <w:pPr>
        <w:pStyle w:val="BodyText"/>
        <w:spacing w:before="5"/>
        <w:ind w:left="0"/>
        <w:rPr>
          <w:sz w:val="27"/>
        </w:rPr>
      </w:pPr>
      <w:r>
        <w:rPr/>
        <w:pict>
          <v:shape style="position:absolute;margin-left:63.863998pt;margin-top:18.168863pt;width:144.050pt;height:.1pt;mso-position-horizontal-relative:page;mso-position-vertical-relative:paragraph;z-index:-251658240;mso-wrap-distance-left:0;mso-wrap-distance-right:0" coordorigin="1277,363" coordsize="2881,0" path="m1277,363l4158,363e" filled="false" stroked="true" strokeweight=".71997pt" strokecolor="#000000">
            <v:path arrowok="t"/>
            <v:stroke dashstyle="solid"/>
            <w10:wrap type="topAndBottom"/>
          </v:shape>
        </w:pict>
      </w:r>
    </w:p>
    <w:p>
      <w:pPr>
        <w:pStyle w:val="BodyText"/>
        <w:spacing w:before="69"/>
        <w:ind w:left="197" w:right="754"/>
        <w:rPr>
          <w:rFonts w:ascii="Calibri"/>
        </w:rPr>
      </w:pPr>
      <w:r>
        <w:rPr>
          <w:rFonts w:ascii="Calibri"/>
          <w:position w:val="7"/>
          <w:sz w:val="13"/>
        </w:rPr>
        <w:t>1 </w:t>
      </w:r>
      <w:r>
        <w:rPr>
          <w:rFonts w:ascii="Calibri"/>
        </w:rPr>
        <w:t>For the Summary of Responses to the 2018 Consultation Paper on Term SONIA Reference Rates, please see: </w:t>
      </w:r>
      <w:hyperlink r:id="rId6">
        <w:r>
          <w:rPr>
            <w:rFonts w:ascii="Calibri"/>
            <w:color w:val="0000FF"/>
            <w:u w:val="single" w:color="0000FF"/>
          </w:rPr>
          <w:t>https://www.bankofengland.co.uk/-/media/boe/files/markets/benchmarks/term-sonia-reference-rates-</w:t>
        </w:r>
      </w:hyperlink>
      <w:r>
        <w:rPr>
          <w:rFonts w:ascii="Calibri"/>
          <w:color w:val="0000FF"/>
        </w:rPr>
        <w:t> </w:t>
      </w:r>
      <w:hyperlink r:id="rId6">
        <w:r>
          <w:rPr>
            <w:rFonts w:ascii="Calibri"/>
            <w:color w:val="0000FF"/>
            <w:u w:val="single" w:color="0000FF"/>
          </w:rPr>
          <w:t>consultation-summary-of-responses.pdf?la=en&amp;hash=CFD2AB11A3156B31CB15030962ECA9987BEFCED8</w:t>
        </w:r>
        <w:r>
          <w:rPr>
            <w:rFonts w:ascii="Calibri"/>
          </w:rPr>
          <w:t>.</w:t>
        </w:r>
      </w:hyperlink>
    </w:p>
    <w:p>
      <w:pPr>
        <w:pStyle w:val="BodyText"/>
        <w:ind w:left="197" w:right="613"/>
        <w:rPr>
          <w:rFonts w:ascii="Calibri"/>
        </w:rPr>
      </w:pPr>
      <w:r>
        <w:rPr>
          <w:rFonts w:ascii="Calibri"/>
          <w:position w:val="7"/>
          <w:sz w:val="13"/>
        </w:rPr>
        <w:t>2 </w:t>
      </w:r>
      <w:r>
        <w:rPr>
          <w:rFonts w:ascii="Calibri"/>
        </w:rPr>
        <w:t>For the Discussion Paper on conventions for referencing SONIA in new contracts, please see: </w:t>
      </w:r>
      <w:hyperlink r:id="rId7">
        <w:r>
          <w:rPr>
            <w:rFonts w:ascii="Calibri"/>
            <w:color w:val="0000FF"/>
            <w:w w:val="95"/>
            <w:u w:val="single" w:color="0000FF"/>
          </w:rPr>
          <w:t>https://www.bankofengland.co.uk/-/media/boe/files/markets/benchmarks/discussion-paper-conventions-for-</w:t>
        </w:r>
      </w:hyperlink>
      <w:r>
        <w:rPr>
          <w:rFonts w:ascii="Calibri"/>
          <w:color w:val="0000FF"/>
          <w:w w:val="95"/>
        </w:rPr>
        <w:t> </w:t>
      </w:r>
      <w:hyperlink r:id="rId7">
        <w:r>
          <w:rPr>
            <w:rFonts w:ascii="Calibri"/>
            <w:color w:val="0000FF"/>
            <w:u w:val="single" w:color="0000FF"/>
          </w:rPr>
          <w:t>referencing-sonia-in-new-contracts.pdf?la=en&amp;hash=DCC0FDB5766CA409CEB1471160207721BAE013BA</w:t>
        </w:r>
        <w:r>
          <w:rPr>
            <w:rFonts w:ascii="Calibri"/>
          </w:rPr>
          <w:t>.</w:t>
        </w:r>
      </w:hyperlink>
    </w:p>
    <w:p>
      <w:pPr>
        <w:spacing w:after="0"/>
        <w:rPr>
          <w:rFonts w:ascii="Calibri"/>
        </w:rPr>
        <w:sectPr>
          <w:pgSz w:w="11910" w:h="16840"/>
          <w:pgMar w:header="0" w:footer="717" w:top="1180" w:bottom="900" w:left="1080" w:right="1020"/>
        </w:sectPr>
      </w:pPr>
    </w:p>
    <w:p>
      <w:pPr>
        <w:spacing w:line="360" w:lineRule="auto" w:before="75"/>
        <w:ind w:left="557" w:right="108" w:firstLine="0"/>
        <w:jc w:val="both"/>
        <w:rPr>
          <w:i/>
          <w:sz w:val="20"/>
        </w:rPr>
      </w:pPr>
      <w:r>
        <w:rPr>
          <w:i/>
          <w:sz w:val="20"/>
        </w:rPr>
        <w:t>Please note: The chair of the Term Rate sub-group and subsequent Term Rate Task Force has since </w:t>
      </w:r>
      <w:r>
        <w:rPr>
          <w:i/>
          <w:sz w:val="20"/>
        </w:rPr>
        <w:t>moved roles and so stepped down from the Working Group. The Working Group, the Bank and </w:t>
      </w:r>
      <w:r>
        <w:rPr>
          <w:i/>
          <w:spacing w:val="2"/>
          <w:sz w:val="20"/>
        </w:rPr>
        <w:t>the </w:t>
      </w:r>
      <w:r>
        <w:rPr>
          <w:i/>
          <w:sz w:val="20"/>
        </w:rPr>
        <w:t>FCA thanks him for his efforts and contribution to the transition work.</w:t>
      </w:r>
    </w:p>
    <w:p>
      <w:pPr>
        <w:pStyle w:val="ListParagraph"/>
        <w:numPr>
          <w:ilvl w:val="0"/>
          <w:numId w:val="2"/>
        </w:numPr>
        <w:tabs>
          <w:tab w:pos="558" w:val="left" w:leader="none"/>
        </w:tabs>
        <w:spacing w:line="360" w:lineRule="auto" w:before="120" w:after="0"/>
        <w:ind w:left="557" w:right="109" w:hanging="360"/>
        <w:jc w:val="both"/>
        <w:rPr>
          <w:sz w:val="20"/>
        </w:rPr>
      </w:pPr>
      <w:r>
        <w:rPr>
          <w:i/>
          <w:sz w:val="20"/>
        </w:rPr>
        <w:t>Regulatory Dependencies Task Force: </w:t>
      </w:r>
      <w:r>
        <w:rPr>
          <w:sz w:val="20"/>
        </w:rPr>
        <w:t>The FCA announced that they would lead this Task Force, to identify and discuss the regulatory impediments to transition. A prioritised list of ‘blockers’ and possible solutions would be presented for further discussion at the next meeting of the Working Group. It was thought the final deliverable would potentially be a letter from the Working Group for the official sector to consider further. International themes would be raised with the relevant bodies, e.g. the sub-groups of the Financial Stability Board Official Sector Steering</w:t>
      </w:r>
      <w:r>
        <w:rPr>
          <w:spacing w:val="-4"/>
          <w:sz w:val="20"/>
        </w:rPr>
        <w:t> </w:t>
      </w:r>
      <w:r>
        <w:rPr>
          <w:sz w:val="20"/>
        </w:rPr>
        <w:t>Group.</w:t>
      </w:r>
    </w:p>
    <w:p>
      <w:pPr>
        <w:pStyle w:val="ListParagraph"/>
        <w:numPr>
          <w:ilvl w:val="0"/>
          <w:numId w:val="2"/>
        </w:numPr>
        <w:tabs>
          <w:tab w:pos="558" w:val="left" w:leader="none"/>
        </w:tabs>
        <w:spacing w:line="360" w:lineRule="auto" w:before="122" w:after="0"/>
        <w:ind w:left="557" w:right="108" w:hanging="360"/>
        <w:jc w:val="both"/>
        <w:rPr>
          <w:sz w:val="20"/>
        </w:rPr>
      </w:pPr>
      <w:r>
        <w:rPr>
          <w:sz w:val="20"/>
        </w:rPr>
        <w:t>The chair suggested that there may be benefit in more representation from institutional investors and the buy-side in the Task Force and encouraged Working Group members meeting this criteria to get involved. The Working Group then reviewed the initial list of topics for the Task Force. Solvency II and legacy LIBOR instruments were added to the</w:t>
      </w:r>
      <w:r>
        <w:rPr>
          <w:spacing w:val="-3"/>
          <w:sz w:val="20"/>
        </w:rPr>
        <w:t> </w:t>
      </w:r>
      <w:r>
        <w:rPr>
          <w:sz w:val="20"/>
        </w:rPr>
        <w:t>list.</w:t>
      </w:r>
    </w:p>
    <w:p>
      <w:pPr>
        <w:pStyle w:val="ListParagraph"/>
        <w:numPr>
          <w:ilvl w:val="0"/>
          <w:numId w:val="2"/>
        </w:numPr>
        <w:tabs>
          <w:tab w:pos="558" w:val="left" w:leader="none"/>
        </w:tabs>
        <w:spacing w:line="360" w:lineRule="auto" w:before="118" w:after="0"/>
        <w:ind w:left="557" w:right="111" w:hanging="360"/>
        <w:jc w:val="both"/>
        <w:rPr>
          <w:sz w:val="20"/>
        </w:rPr>
      </w:pPr>
      <w:r>
        <w:rPr>
          <w:i/>
          <w:sz w:val="20"/>
        </w:rPr>
        <w:t>Accounting Treatments Task Force: </w:t>
      </w:r>
      <w:r>
        <w:rPr>
          <w:sz w:val="20"/>
        </w:rPr>
        <w:t>The Bank of England announced that the Working Group’s letter  to the International Accounting Standards Board had been sent.</w:t>
      </w:r>
      <w:r>
        <w:rPr>
          <w:position w:val="6"/>
          <w:sz w:val="13"/>
        </w:rPr>
        <w:t>3 </w:t>
      </w:r>
      <w:r>
        <w:rPr>
          <w:sz w:val="20"/>
        </w:rPr>
        <w:t>The letter would serve as a good basis going forward for the work of the Task Force, which is to be co-chaired by a representative from PricewaterhouseCoopers and the Working Group’s Vice-Chair from</w:t>
      </w:r>
      <w:r>
        <w:rPr>
          <w:spacing w:val="-8"/>
          <w:sz w:val="20"/>
        </w:rPr>
        <w:t> </w:t>
      </w:r>
      <w:r>
        <w:rPr>
          <w:sz w:val="20"/>
        </w:rPr>
        <w:t>Shell.</w:t>
      </w:r>
    </w:p>
    <w:p>
      <w:pPr>
        <w:pStyle w:val="ListParagraph"/>
        <w:numPr>
          <w:ilvl w:val="0"/>
          <w:numId w:val="2"/>
        </w:numPr>
        <w:tabs>
          <w:tab w:pos="558" w:val="left" w:leader="none"/>
        </w:tabs>
        <w:spacing w:line="360" w:lineRule="auto" w:before="120" w:after="0"/>
        <w:ind w:left="557" w:right="112" w:hanging="360"/>
        <w:jc w:val="both"/>
        <w:rPr>
          <w:sz w:val="20"/>
        </w:rPr>
      </w:pPr>
      <w:r>
        <w:rPr>
          <w:i/>
          <w:sz w:val="20"/>
        </w:rPr>
        <w:t>Legal Task Force: </w:t>
      </w:r>
      <w:r>
        <w:rPr>
          <w:sz w:val="20"/>
        </w:rPr>
        <w:t>The Chair’s office stated that this Task Force had met. It had developed selection criteria for identifying independent counsel, which considered the depth and breadth of experience as well as the ability to provide services on a pro bono basis. A shortlist of candidate firms and individuals had also been established. The Task Force would meet again to use the criteria and decide who to select.</w:t>
      </w:r>
    </w:p>
    <w:p>
      <w:pPr>
        <w:pStyle w:val="Heading1"/>
        <w:spacing w:before="121"/>
        <w:jc w:val="both"/>
      </w:pPr>
      <w:r>
        <w:rPr/>
        <w:t>International coordination</w:t>
      </w:r>
    </w:p>
    <w:p>
      <w:pPr>
        <w:pStyle w:val="BodyText"/>
        <w:spacing w:before="8"/>
        <w:ind w:left="0"/>
        <w:rPr>
          <w:b/>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FCA stated that the transitional period for critical benchmarks to become compliant with EU Benchmark Regulation (BMR) had been extended by 2 years until the end of 2021, in light of EONIA and EURIBOR transition. There was also an extension to authorities’ compulsion powers under the BMR, enabling them to require panel banks to submit to, or administrators to provide, a</w:t>
      </w:r>
      <w:r>
        <w:rPr>
          <w:spacing w:val="14"/>
          <w:sz w:val="20"/>
        </w:rPr>
        <w:t> </w:t>
      </w:r>
      <w:r>
        <w:rPr>
          <w:sz w:val="20"/>
        </w:rPr>
        <w:t>critical benchmark for up five</w:t>
      </w:r>
      <w:r>
        <w:rPr>
          <w:spacing w:val="2"/>
          <w:sz w:val="20"/>
        </w:rPr>
        <w:t> </w:t>
      </w:r>
      <w:r>
        <w:rPr>
          <w:sz w:val="20"/>
        </w:rPr>
        <w:t>years.</w:t>
      </w:r>
    </w:p>
    <w:p>
      <w:pPr>
        <w:pStyle w:val="ListParagraph"/>
        <w:numPr>
          <w:ilvl w:val="0"/>
          <w:numId w:val="2"/>
        </w:numPr>
        <w:tabs>
          <w:tab w:pos="558" w:val="left" w:leader="none"/>
        </w:tabs>
        <w:spacing w:line="360" w:lineRule="auto" w:before="119" w:after="0"/>
        <w:ind w:left="557" w:right="109" w:hanging="360"/>
        <w:jc w:val="both"/>
        <w:rPr>
          <w:sz w:val="20"/>
        </w:rPr>
      </w:pPr>
      <w:r>
        <w:rPr>
          <w:sz w:val="20"/>
        </w:rPr>
        <w:t>The FCA’s own position on LIBOR has not changed; it does not intend to compel panel banks to  submit LIBOR beyond</w:t>
      </w:r>
      <w:r>
        <w:rPr>
          <w:spacing w:val="-1"/>
          <w:sz w:val="20"/>
        </w:rPr>
        <w:t> </w:t>
      </w:r>
      <w:r>
        <w:rPr>
          <w:sz w:val="20"/>
        </w:rPr>
        <w:t>end-2021.</w:t>
      </w:r>
    </w:p>
    <w:p>
      <w:pPr>
        <w:pStyle w:val="Heading1"/>
        <w:spacing w:before="118"/>
        <w:jc w:val="both"/>
      </w:pPr>
      <w:r>
        <w:rPr/>
        <w:t>Communications &amp; Outreach</w:t>
      </w:r>
    </w:p>
    <w:p>
      <w:pPr>
        <w:pStyle w:val="BodyText"/>
        <w:spacing w:before="9"/>
        <w:ind w:left="0"/>
        <w:rPr>
          <w:b/>
        </w:rPr>
      </w:pPr>
    </w:p>
    <w:p>
      <w:pPr>
        <w:pStyle w:val="ListParagraph"/>
        <w:numPr>
          <w:ilvl w:val="0"/>
          <w:numId w:val="2"/>
        </w:numPr>
        <w:tabs>
          <w:tab w:pos="558" w:val="left" w:leader="none"/>
        </w:tabs>
        <w:spacing w:line="360" w:lineRule="auto" w:before="0" w:after="0"/>
        <w:ind w:left="557" w:right="108" w:hanging="360"/>
        <w:jc w:val="both"/>
        <w:rPr>
          <w:sz w:val="20"/>
        </w:rPr>
      </w:pPr>
      <w:r>
        <w:rPr>
          <w:sz w:val="20"/>
        </w:rPr>
        <w:t>The co-chairs of the Communications &amp; Outreach sub-group stated that they were working to identify target users and products for RFR transition, and how they were impacted by the transition to alternative rates. The goal of this exercise would be to develop education tools, such as a guide to compounding SONIA. Other sub-group chairs would be asked to provide support when</w:t>
      </w:r>
      <w:r>
        <w:rPr>
          <w:spacing w:val="-15"/>
          <w:sz w:val="20"/>
        </w:rPr>
        <w:t> </w:t>
      </w:r>
      <w:r>
        <w:rPr>
          <w:sz w:val="20"/>
        </w:rPr>
        <w:t>appropriate.</w:t>
      </w:r>
    </w:p>
    <w:p>
      <w:pPr>
        <w:pStyle w:val="BodyText"/>
        <w:spacing w:before="2"/>
        <w:ind w:left="0"/>
        <w:rPr>
          <w:sz w:val="10"/>
        </w:rPr>
      </w:pPr>
      <w:r>
        <w:rPr/>
        <w:pict>
          <v:shape style="position:absolute;margin-left:63.863998pt;margin-top:8.202231pt;width:144.050pt;height:.1pt;mso-position-horizontal-relative:page;mso-position-vertical-relative:paragraph;z-index:-251657216;mso-wrap-distance-left:0;mso-wrap-distance-right:0" coordorigin="1277,164" coordsize="2881,0" path="m1277,164l4158,164e" filled="false" stroked="true" strokeweight=".72003pt" strokecolor="#000000">
            <v:path arrowok="t"/>
            <v:stroke dashstyle="solid"/>
            <w10:wrap type="topAndBottom"/>
          </v:shape>
        </w:pict>
      </w:r>
    </w:p>
    <w:p>
      <w:pPr>
        <w:pStyle w:val="BodyText"/>
        <w:spacing w:before="69"/>
        <w:ind w:left="197" w:right="577"/>
        <w:rPr>
          <w:rFonts w:ascii="Calibri"/>
        </w:rPr>
      </w:pPr>
      <w:r>
        <w:rPr>
          <w:rFonts w:ascii="Calibri"/>
          <w:position w:val="7"/>
          <w:sz w:val="13"/>
        </w:rPr>
        <w:t>3 </w:t>
      </w:r>
      <w:r>
        <w:rPr>
          <w:rFonts w:ascii="Calibri"/>
        </w:rPr>
        <w:t>For the letter to the International Accounting Standards Board sent in March 2019, please see: </w:t>
      </w:r>
      <w:hyperlink r:id="rId8">
        <w:r>
          <w:rPr>
            <w:rFonts w:ascii="Calibri"/>
            <w:color w:val="0000FF"/>
            <w:w w:val="95"/>
            <w:u w:val="single" w:color="0000FF"/>
          </w:rPr>
          <w:t>https://www.bankofengland.co.uk/-/media/boe/files/markets/benchmarks/letter-to-international-accounting-</w:t>
        </w:r>
      </w:hyperlink>
      <w:r>
        <w:rPr>
          <w:rFonts w:ascii="Calibri"/>
          <w:color w:val="0000FF"/>
          <w:w w:val="95"/>
        </w:rPr>
        <w:t> </w:t>
      </w:r>
      <w:hyperlink r:id="rId8">
        <w:r>
          <w:rPr>
            <w:rFonts w:ascii="Calibri"/>
            <w:color w:val="0000FF"/>
            <w:u w:val="single" w:color="0000FF"/>
          </w:rPr>
          <w:t>standards-board.pdf</w:t>
        </w:r>
        <w:r>
          <w:rPr>
            <w:rFonts w:ascii="Calibri"/>
          </w:rPr>
          <w:t>.</w:t>
        </w:r>
      </w:hyperlink>
    </w:p>
    <w:p>
      <w:pPr>
        <w:spacing w:after="0"/>
        <w:rPr>
          <w:rFonts w:ascii="Calibri"/>
        </w:rPr>
        <w:sectPr>
          <w:pgSz w:w="11910" w:h="16840"/>
          <w:pgMar w:header="0" w:footer="717" w:top="1180" w:bottom="900" w:left="1080" w:right="1020"/>
        </w:sectPr>
      </w:pPr>
    </w:p>
    <w:p>
      <w:pPr>
        <w:pStyle w:val="ListParagraph"/>
        <w:numPr>
          <w:ilvl w:val="0"/>
          <w:numId w:val="2"/>
        </w:numPr>
        <w:tabs>
          <w:tab w:pos="558" w:val="left" w:leader="none"/>
        </w:tabs>
        <w:spacing w:line="357" w:lineRule="auto" w:before="78" w:after="0"/>
        <w:ind w:left="557" w:right="112" w:hanging="360"/>
        <w:jc w:val="both"/>
        <w:rPr>
          <w:sz w:val="20"/>
        </w:rPr>
      </w:pPr>
      <w:r>
        <w:rPr>
          <w:sz w:val="20"/>
        </w:rPr>
        <w:t>The sub-group was also working to develop a network for outreach. This would support the distribution of the Working Group’s monthly newsletter as well as the ability to hold awareness events during</w:t>
      </w:r>
      <w:r>
        <w:rPr>
          <w:spacing w:val="-30"/>
          <w:sz w:val="20"/>
        </w:rPr>
        <w:t> </w:t>
      </w:r>
      <w:r>
        <w:rPr>
          <w:sz w:val="20"/>
        </w:rPr>
        <w:t>2019.</w:t>
      </w:r>
    </w:p>
    <w:p>
      <w:pPr>
        <w:pStyle w:val="BodyText"/>
        <w:ind w:left="0"/>
        <w:rPr>
          <w:sz w:val="22"/>
        </w:rPr>
      </w:pPr>
    </w:p>
    <w:p>
      <w:pPr>
        <w:pStyle w:val="BodyText"/>
        <w:ind w:left="0"/>
        <w:rPr>
          <w:sz w:val="29"/>
        </w:rPr>
      </w:pPr>
    </w:p>
    <w:p>
      <w:pPr>
        <w:pStyle w:val="Heading1"/>
      </w:pPr>
      <w:r>
        <w:rPr/>
        <w:t>Updates from sub-groups</w:t>
      </w:r>
    </w:p>
    <w:p>
      <w:pPr>
        <w:pStyle w:val="BodyText"/>
        <w:spacing w:before="6"/>
        <w:ind w:left="0"/>
        <w:rPr>
          <w:b/>
        </w:rPr>
      </w:pPr>
    </w:p>
    <w:p>
      <w:pPr>
        <w:spacing w:before="0"/>
        <w:ind w:left="197" w:right="0" w:firstLine="0"/>
        <w:jc w:val="left"/>
        <w:rPr>
          <w:i/>
          <w:sz w:val="20"/>
        </w:rPr>
      </w:pPr>
      <w:r>
        <w:rPr>
          <w:i/>
          <w:sz w:val="20"/>
        </w:rPr>
        <w:t>Pension Funds &amp; Insurance Company sub-group</w:t>
      </w:r>
    </w:p>
    <w:p>
      <w:pPr>
        <w:pStyle w:val="BodyText"/>
        <w:spacing w:before="5"/>
        <w:ind w:left="0"/>
        <w:rPr>
          <w:i/>
        </w:rPr>
      </w:pPr>
    </w:p>
    <w:p>
      <w:pPr>
        <w:pStyle w:val="ListParagraph"/>
        <w:numPr>
          <w:ilvl w:val="0"/>
          <w:numId w:val="2"/>
        </w:numPr>
        <w:tabs>
          <w:tab w:pos="558" w:val="left" w:leader="none"/>
        </w:tabs>
        <w:spacing w:line="360" w:lineRule="auto" w:before="1" w:after="0"/>
        <w:ind w:left="557" w:right="120" w:hanging="360"/>
        <w:jc w:val="both"/>
        <w:rPr>
          <w:sz w:val="20"/>
        </w:rPr>
      </w:pPr>
      <w:r>
        <w:rPr>
          <w:sz w:val="20"/>
        </w:rPr>
        <w:t>Transition work for insurance companies with EIOPA was discussed. It was agreed that it would be useful to combine efforts with the chair of the Regulatory Dependencies Task</w:t>
      </w:r>
      <w:r>
        <w:rPr>
          <w:spacing w:val="-10"/>
          <w:sz w:val="20"/>
        </w:rPr>
        <w:t> </w:t>
      </w:r>
      <w:r>
        <w:rPr>
          <w:sz w:val="20"/>
        </w:rPr>
        <w:t>Force.</w:t>
      </w:r>
    </w:p>
    <w:p>
      <w:pPr>
        <w:spacing w:before="118"/>
        <w:ind w:left="197" w:right="0" w:firstLine="0"/>
        <w:jc w:val="left"/>
        <w:rPr>
          <w:i/>
          <w:sz w:val="20"/>
        </w:rPr>
      </w:pPr>
      <w:r>
        <w:rPr>
          <w:i/>
          <w:sz w:val="20"/>
        </w:rPr>
        <w:t>Bond market sub-group</w:t>
      </w:r>
    </w:p>
    <w:p>
      <w:pPr>
        <w:pStyle w:val="BodyText"/>
        <w:spacing w:before="8"/>
        <w:ind w:left="0"/>
        <w:rPr>
          <w:i/>
        </w:rPr>
      </w:pPr>
    </w:p>
    <w:p>
      <w:pPr>
        <w:pStyle w:val="ListParagraph"/>
        <w:numPr>
          <w:ilvl w:val="0"/>
          <w:numId w:val="2"/>
        </w:numPr>
        <w:tabs>
          <w:tab w:pos="558" w:val="left" w:leader="none"/>
        </w:tabs>
        <w:spacing w:line="360" w:lineRule="auto" w:before="0" w:after="0"/>
        <w:ind w:left="557" w:right="109" w:hanging="360"/>
        <w:jc w:val="both"/>
        <w:rPr>
          <w:sz w:val="20"/>
        </w:rPr>
      </w:pPr>
      <w:r>
        <w:rPr>
          <w:sz w:val="20"/>
        </w:rPr>
        <w:t>The sub-group chair stated that new SONIA-linked securitisations had recently taken place. The publication of the Working Group’s Discussion Paper on conventions for referencing SONIA </w:t>
      </w:r>
      <w:r>
        <w:rPr>
          <w:spacing w:val="3"/>
          <w:sz w:val="20"/>
        </w:rPr>
        <w:t>had </w:t>
      </w:r>
      <w:r>
        <w:rPr>
          <w:sz w:val="20"/>
        </w:rPr>
        <w:t>also opened dialogue with US counterparts to seek to unify RFR conventions</w:t>
      </w:r>
      <w:r>
        <w:rPr>
          <w:spacing w:val="-10"/>
          <w:sz w:val="20"/>
        </w:rPr>
        <w:t> </w:t>
      </w:r>
      <w:r>
        <w:rPr>
          <w:sz w:val="20"/>
        </w:rPr>
        <w:t>internationally.</w:t>
      </w:r>
    </w:p>
    <w:p>
      <w:pPr>
        <w:spacing w:after="0" w:line="360" w:lineRule="auto"/>
        <w:jc w:val="both"/>
        <w:rPr>
          <w:sz w:val="20"/>
        </w:rPr>
        <w:sectPr>
          <w:pgSz w:w="11910" w:h="16840"/>
          <w:pgMar w:header="0" w:footer="717" w:top="1180" w:bottom="900" w:left="1080" w:right="1020"/>
        </w:sectPr>
      </w:pPr>
    </w:p>
    <w:p>
      <w:pPr>
        <w:pStyle w:val="Heading1"/>
        <w:spacing w:before="75"/>
      </w:pPr>
      <w:r>
        <w:rPr/>
        <w:t>Private sector</w:t>
      </w:r>
      <w:r>
        <w:rPr>
          <w:spacing w:val="-11"/>
        </w:rPr>
        <w:t> </w:t>
      </w:r>
      <w:r>
        <w:rPr/>
        <w:t>attendees</w:t>
      </w:r>
    </w:p>
    <w:p>
      <w:pPr>
        <w:pStyle w:val="BodyText"/>
        <w:spacing w:before="1"/>
        <w:ind w:left="0"/>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0"/>
        <w:gridCol w:w="5467"/>
      </w:tblGrid>
      <w:tr>
        <w:trPr>
          <w:trHeight w:val="262" w:hRule="atLeast"/>
        </w:trPr>
        <w:tc>
          <w:tcPr>
            <w:tcW w:w="2870" w:type="dxa"/>
          </w:tcPr>
          <w:p>
            <w:pPr>
              <w:pStyle w:val="TableParagraph"/>
              <w:spacing w:line="225" w:lineRule="exact" w:before="0"/>
              <w:rPr>
                <w:sz w:val="20"/>
              </w:rPr>
            </w:pPr>
            <w:r>
              <w:rPr>
                <w:sz w:val="20"/>
              </w:rPr>
              <w:t>Tushar Morzaria</w:t>
            </w:r>
          </w:p>
        </w:tc>
        <w:tc>
          <w:tcPr>
            <w:tcW w:w="5467" w:type="dxa"/>
          </w:tcPr>
          <w:p>
            <w:pPr>
              <w:pStyle w:val="TableParagraph"/>
              <w:spacing w:line="223" w:lineRule="exact" w:before="0"/>
              <w:ind w:left="448"/>
              <w:rPr>
                <w:b/>
                <w:sz w:val="20"/>
              </w:rPr>
            </w:pPr>
            <w:r>
              <w:rPr>
                <w:b/>
                <w:sz w:val="20"/>
              </w:rPr>
              <w:t>Barclays (Chair)</w:t>
            </w:r>
          </w:p>
        </w:tc>
      </w:tr>
      <w:tr>
        <w:trPr>
          <w:trHeight w:val="300" w:hRule="atLeast"/>
        </w:trPr>
        <w:tc>
          <w:tcPr>
            <w:tcW w:w="2870" w:type="dxa"/>
          </w:tcPr>
          <w:p>
            <w:pPr>
              <w:pStyle w:val="TableParagraph"/>
              <w:spacing w:before="32"/>
              <w:rPr>
                <w:sz w:val="20"/>
              </w:rPr>
            </w:pPr>
            <w:r>
              <w:rPr>
                <w:sz w:val="20"/>
              </w:rPr>
              <w:t>Andreas Giannopoulos</w:t>
            </w:r>
          </w:p>
        </w:tc>
        <w:tc>
          <w:tcPr>
            <w:tcW w:w="5467" w:type="dxa"/>
          </w:tcPr>
          <w:p>
            <w:pPr>
              <w:pStyle w:val="TableParagraph"/>
              <w:ind w:left="448"/>
              <w:rPr>
                <w:b/>
                <w:sz w:val="20"/>
              </w:rPr>
            </w:pPr>
            <w:r>
              <w:rPr>
                <w:b/>
                <w:sz w:val="20"/>
              </w:rPr>
              <w:t>Barclays (Chair’s office)</w:t>
            </w:r>
          </w:p>
        </w:tc>
      </w:tr>
      <w:tr>
        <w:trPr>
          <w:trHeight w:val="300" w:hRule="atLeast"/>
        </w:trPr>
        <w:tc>
          <w:tcPr>
            <w:tcW w:w="2870" w:type="dxa"/>
          </w:tcPr>
          <w:p>
            <w:pPr>
              <w:pStyle w:val="TableParagraph"/>
              <w:spacing w:before="32"/>
              <w:rPr>
                <w:sz w:val="20"/>
              </w:rPr>
            </w:pPr>
            <w:r>
              <w:rPr>
                <w:sz w:val="20"/>
              </w:rPr>
              <w:t>Paul Mansour</w:t>
            </w:r>
          </w:p>
        </w:tc>
        <w:tc>
          <w:tcPr>
            <w:tcW w:w="5467" w:type="dxa"/>
          </w:tcPr>
          <w:p>
            <w:pPr>
              <w:pStyle w:val="TableParagraph"/>
              <w:ind w:left="448"/>
              <w:rPr>
                <w:b/>
                <w:sz w:val="20"/>
              </w:rPr>
            </w:pPr>
            <w:r>
              <w:rPr>
                <w:b/>
                <w:sz w:val="20"/>
              </w:rPr>
              <w:t>Barclays (Chair’s office)</w:t>
            </w:r>
          </w:p>
        </w:tc>
      </w:tr>
      <w:tr>
        <w:trPr>
          <w:trHeight w:val="300" w:hRule="atLeast"/>
        </w:trPr>
        <w:tc>
          <w:tcPr>
            <w:tcW w:w="2870" w:type="dxa"/>
          </w:tcPr>
          <w:p>
            <w:pPr>
              <w:pStyle w:val="TableParagraph"/>
              <w:spacing w:before="32"/>
              <w:rPr>
                <w:sz w:val="20"/>
              </w:rPr>
            </w:pPr>
            <w:r>
              <w:rPr>
                <w:sz w:val="20"/>
              </w:rPr>
              <w:t>Robert de Roeck</w:t>
            </w:r>
          </w:p>
        </w:tc>
        <w:tc>
          <w:tcPr>
            <w:tcW w:w="5467" w:type="dxa"/>
          </w:tcPr>
          <w:p>
            <w:pPr>
              <w:pStyle w:val="TableParagraph"/>
              <w:ind w:left="448"/>
              <w:rPr>
                <w:b/>
                <w:sz w:val="20"/>
              </w:rPr>
            </w:pPr>
            <w:r>
              <w:rPr>
                <w:b/>
                <w:sz w:val="20"/>
              </w:rPr>
              <w:t>Aberdeen Standard</w:t>
            </w:r>
          </w:p>
        </w:tc>
      </w:tr>
      <w:tr>
        <w:trPr>
          <w:trHeight w:val="300" w:hRule="atLeast"/>
        </w:trPr>
        <w:tc>
          <w:tcPr>
            <w:tcW w:w="2870" w:type="dxa"/>
          </w:tcPr>
          <w:p>
            <w:pPr>
              <w:pStyle w:val="TableParagraph"/>
              <w:spacing w:before="32"/>
              <w:rPr>
                <w:sz w:val="20"/>
              </w:rPr>
            </w:pPr>
            <w:r>
              <w:rPr>
                <w:sz w:val="20"/>
              </w:rPr>
              <w:t>Shaun Kennedy</w:t>
            </w:r>
          </w:p>
        </w:tc>
        <w:tc>
          <w:tcPr>
            <w:tcW w:w="5467" w:type="dxa"/>
          </w:tcPr>
          <w:p>
            <w:pPr>
              <w:pStyle w:val="TableParagraph"/>
              <w:ind w:left="448"/>
              <w:rPr>
                <w:b/>
                <w:sz w:val="20"/>
              </w:rPr>
            </w:pPr>
            <w:r>
              <w:rPr>
                <w:b/>
                <w:sz w:val="20"/>
              </w:rPr>
              <w:t>Associated British Ports</w:t>
            </w:r>
          </w:p>
        </w:tc>
      </w:tr>
      <w:tr>
        <w:trPr>
          <w:trHeight w:val="300" w:hRule="atLeast"/>
        </w:trPr>
        <w:tc>
          <w:tcPr>
            <w:tcW w:w="2870" w:type="dxa"/>
          </w:tcPr>
          <w:p>
            <w:pPr>
              <w:pStyle w:val="TableParagraph"/>
              <w:spacing w:before="32"/>
              <w:rPr>
                <w:sz w:val="20"/>
              </w:rPr>
            </w:pPr>
            <w:r>
              <w:rPr>
                <w:sz w:val="20"/>
              </w:rPr>
              <w:t>Sarah Boyce</w:t>
            </w:r>
          </w:p>
        </w:tc>
        <w:tc>
          <w:tcPr>
            <w:tcW w:w="5467" w:type="dxa"/>
          </w:tcPr>
          <w:p>
            <w:pPr>
              <w:pStyle w:val="TableParagraph"/>
              <w:ind w:left="448"/>
              <w:rPr>
                <w:b/>
                <w:sz w:val="20"/>
              </w:rPr>
            </w:pPr>
            <w:r>
              <w:rPr>
                <w:b/>
                <w:sz w:val="20"/>
              </w:rPr>
              <w:t>Association of Corporate Treasurers</w:t>
            </w:r>
          </w:p>
        </w:tc>
      </w:tr>
      <w:tr>
        <w:trPr>
          <w:trHeight w:val="300" w:hRule="atLeast"/>
        </w:trPr>
        <w:tc>
          <w:tcPr>
            <w:tcW w:w="2870" w:type="dxa"/>
          </w:tcPr>
          <w:p>
            <w:pPr>
              <w:pStyle w:val="TableParagraph"/>
              <w:spacing w:before="32"/>
              <w:rPr>
                <w:sz w:val="20"/>
              </w:rPr>
            </w:pPr>
            <w:r>
              <w:rPr>
                <w:sz w:val="20"/>
              </w:rPr>
              <w:t>Nick Saggers</w:t>
            </w:r>
          </w:p>
        </w:tc>
        <w:tc>
          <w:tcPr>
            <w:tcW w:w="5467" w:type="dxa"/>
          </w:tcPr>
          <w:p>
            <w:pPr>
              <w:pStyle w:val="TableParagraph"/>
              <w:ind w:left="448"/>
              <w:rPr>
                <w:b/>
                <w:sz w:val="20"/>
              </w:rPr>
            </w:pPr>
            <w:r>
              <w:rPr>
                <w:b/>
                <w:sz w:val="20"/>
              </w:rPr>
              <w:t>Bank of America Merrill Lynch</w:t>
            </w:r>
          </w:p>
        </w:tc>
      </w:tr>
      <w:tr>
        <w:trPr>
          <w:trHeight w:val="300" w:hRule="atLeast"/>
        </w:trPr>
        <w:tc>
          <w:tcPr>
            <w:tcW w:w="2870" w:type="dxa"/>
          </w:tcPr>
          <w:p>
            <w:pPr>
              <w:pStyle w:val="TableParagraph"/>
              <w:spacing w:before="32"/>
              <w:rPr>
                <w:sz w:val="20"/>
              </w:rPr>
            </w:pPr>
            <w:r>
              <w:rPr>
                <w:sz w:val="20"/>
              </w:rPr>
              <w:t>Doug Laurie</w:t>
            </w:r>
          </w:p>
        </w:tc>
        <w:tc>
          <w:tcPr>
            <w:tcW w:w="5467" w:type="dxa"/>
          </w:tcPr>
          <w:p>
            <w:pPr>
              <w:pStyle w:val="TableParagraph"/>
              <w:ind w:left="448"/>
              <w:rPr>
                <w:b/>
                <w:sz w:val="20"/>
              </w:rPr>
            </w:pPr>
            <w:r>
              <w:rPr>
                <w:b/>
                <w:sz w:val="20"/>
              </w:rPr>
              <w:t>Barclays</w:t>
            </w:r>
          </w:p>
        </w:tc>
      </w:tr>
      <w:tr>
        <w:trPr>
          <w:trHeight w:val="300" w:hRule="atLeast"/>
        </w:trPr>
        <w:tc>
          <w:tcPr>
            <w:tcW w:w="2870" w:type="dxa"/>
          </w:tcPr>
          <w:p>
            <w:pPr>
              <w:pStyle w:val="TableParagraph"/>
              <w:spacing w:before="32"/>
              <w:rPr>
                <w:sz w:val="20"/>
              </w:rPr>
            </w:pPr>
            <w:r>
              <w:rPr>
                <w:sz w:val="20"/>
              </w:rPr>
              <w:t>Jon Laycock</w:t>
            </w:r>
          </w:p>
        </w:tc>
        <w:tc>
          <w:tcPr>
            <w:tcW w:w="5467" w:type="dxa"/>
          </w:tcPr>
          <w:p>
            <w:pPr>
              <w:pStyle w:val="TableParagraph"/>
              <w:ind w:left="448"/>
              <w:rPr>
                <w:b/>
                <w:sz w:val="20"/>
              </w:rPr>
            </w:pPr>
            <w:r>
              <w:rPr>
                <w:b/>
                <w:sz w:val="20"/>
              </w:rPr>
              <w:t>Barclays</w:t>
            </w:r>
          </w:p>
        </w:tc>
      </w:tr>
      <w:tr>
        <w:trPr>
          <w:trHeight w:val="300" w:hRule="atLeast"/>
        </w:trPr>
        <w:tc>
          <w:tcPr>
            <w:tcW w:w="2870" w:type="dxa"/>
          </w:tcPr>
          <w:p>
            <w:pPr>
              <w:pStyle w:val="TableParagraph"/>
              <w:spacing w:before="32"/>
              <w:rPr>
                <w:sz w:val="20"/>
              </w:rPr>
            </w:pPr>
            <w:r>
              <w:rPr>
                <w:sz w:val="20"/>
              </w:rPr>
              <w:t>Rob Mitchelson</w:t>
            </w:r>
          </w:p>
        </w:tc>
        <w:tc>
          <w:tcPr>
            <w:tcW w:w="5467" w:type="dxa"/>
          </w:tcPr>
          <w:p>
            <w:pPr>
              <w:pStyle w:val="TableParagraph"/>
              <w:ind w:left="448"/>
              <w:rPr>
                <w:b/>
                <w:sz w:val="20"/>
              </w:rPr>
            </w:pPr>
            <w:r>
              <w:rPr>
                <w:b/>
                <w:sz w:val="20"/>
              </w:rPr>
              <w:t>Blackrock</w:t>
            </w:r>
          </w:p>
        </w:tc>
      </w:tr>
      <w:tr>
        <w:trPr>
          <w:trHeight w:val="300" w:hRule="atLeast"/>
        </w:trPr>
        <w:tc>
          <w:tcPr>
            <w:tcW w:w="2870" w:type="dxa"/>
          </w:tcPr>
          <w:p>
            <w:pPr>
              <w:pStyle w:val="TableParagraph"/>
              <w:spacing w:before="32"/>
              <w:rPr>
                <w:sz w:val="20"/>
              </w:rPr>
            </w:pPr>
            <w:r>
              <w:rPr>
                <w:sz w:val="20"/>
              </w:rPr>
              <w:t>Timothy Tomalin-Reeves</w:t>
            </w:r>
          </w:p>
        </w:tc>
        <w:tc>
          <w:tcPr>
            <w:tcW w:w="5467" w:type="dxa"/>
          </w:tcPr>
          <w:p>
            <w:pPr>
              <w:pStyle w:val="TableParagraph"/>
              <w:ind w:left="448"/>
              <w:rPr>
                <w:b/>
                <w:sz w:val="20"/>
              </w:rPr>
            </w:pPr>
            <w:r>
              <w:rPr>
                <w:b/>
                <w:sz w:val="20"/>
              </w:rPr>
              <w:t>Citadel</w:t>
            </w:r>
          </w:p>
        </w:tc>
      </w:tr>
      <w:tr>
        <w:trPr>
          <w:trHeight w:val="300" w:hRule="atLeast"/>
        </w:trPr>
        <w:tc>
          <w:tcPr>
            <w:tcW w:w="2870" w:type="dxa"/>
          </w:tcPr>
          <w:p>
            <w:pPr>
              <w:pStyle w:val="TableParagraph"/>
              <w:spacing w:before="32"/>
              <w:rPr>
                <w:sz w:val="20"/>
              </w:rPr>
            </w:pPr>
            <w:r>
              <w:rPr>
                <w:sz w:val="20"/>
              </w:rPr>
              <w:t>Michael Barron</w:t>
            </w:r>
          </w:p>
        </w:tc>
        <w:tc>
          <w:tcPr>
            <w:tcW w:w="5467" w:type="dxa"/>
          </w:tcPr>
          <w:p>
            <w:pPr>
              <w:pStyle w:val="TableParagraph"/>
              <w:ind w:left="448"/>
              <w:rPr>
                <w:b/>
                <w:sz w:val="20"/>
              </w:rPr>
            </w:pPr>
            <w:r>
              <w:rPr>
                <w:b/>
                <w:sz w:val="20"/>
              </w:rPr>
              <w:t>Deutsche Bank</w:t>
            </w:r>
          </w:p>
        </w:tc>
      </w:tr>
      <w:tr>
        <w:trPr>
          <w:trHeight w:val="300" w:hRule="atLeast"/>
        </w:trPr>
        <w:tc>
          <w:tcPr>
            <w:tcW w:w="2870" w:type="dxa"/>
          </w:tcPr>
          <w:p>
            <w:pPr>
              <w:pStyle w:val="TableParagraph"/>
              <w:spacing w:before="32"/>
              <w:rPr>
                <w:sz w:val="20"/>
              </w:rPr>
            </w:pPr>
            <w:r>
              <w:rPr>
                <w:sz w:val="20"/>
              </w:rPr>
              <w:t>Axel van Nederveen</w:t>
            </w:r>
          </w:p>
        </w:tc>
        <w:tc>
          <w:tcPr>
            <w:tcW w:w="5467" w:type="dxa"/>
          </w:tcPr>
          <w:p>
            <w:pPr>
              <w:pStyle w:val="TableParagraph"/>
              <w:ind w:left="448"/>
              <w:rPr>
                <w:b/>
                <w:sz w:val="20"/>
              </w:rPr>
            </w:pPr>
            <w:r>
              <w:rPr>
                <w:b/>
                <w:sz w:val="20"/>
              </w:rPr>
              <w:t>European Bank for Reconstruction &amp; Development</w:t>
            </w:r>
          </w:p>
        </w:tc>
      </w:tr>
      <w:tr>
        <w:trPr>
          <w:trHeight w:val="300" w:hRule="atLeast"/>
        </w:trPr>
        <w:tc>
          <w:tcPr>
            <w:tcW w:w="2870" w:type="dxa"/>
          </w:tcPr>
          <w:p>
            <w:pPr>
              <w:pStyle w:val="TableParagraph"/>
              <w:spacing w:before="33"/>
              <w:rPr>
                <w:sz w:val="20"/>
              </w:rPr>
            </w:pPr>
            <w:r>
              <w:rPr>
                <w:sz w:val="20"/>
              </w:rPr>
              <w:t>Chirag Dave</w:t>
            </w:r>
          </w:p>
        </w:tc>
        <w:tc>
          <w:tcPr>
            <w:tcW w:w="5467" w:type="dxa"/>
          </w:tcPr>
          <w:p>
            <w:pPr>
              <w:pStyle w:val="TableParagraph"/>
              <w:ind w:left="448"/>
              <w:rPr>
                <w:b/>
                <w:sz w:val="20"/>
              </w:rPr>
            </w:pPr>
            <w:r>
              <w:rPr>
                <w:b/>
                <w:sz w:val="20"/>
              </w:rPr>
              <w:t>Goldman Sachs</w:t>
            </w:r>
          </w:p>
        </w:tc>
      </w:tr>
      <w:tr>
        <w:trPr>
          <w:trHeight w:val="300" w:hRule="atLeast"/>
        </w:trPr>
        <w:tc>
          <w:tcPr>
            <w:tcW w:w="2870" w:type="dxa"/>
          </w:tcPr>
          <w:p>
            <w:pPr>
              <w:pStyle w:val="TableParagraph"/>
              <w:spacing w:before="32"/>
              <w:rPr>
                <w:sz w:val="20"/>
              </w:rPr>
            </w:pPr>
            <w:r>
              <w:rPr>
                <w:sz w:val="20"/>
              </w:rPr>
              <w:t>Sander Slotema</w:t>
            </w:r>
          </w:p>
        </w:tc>
        <w:tc>
          <w:tcPr>
            <w:tcW w:w="5467" w:type="dxa"/>
          </w:tcPr>
          <w:p>
            <w:pPr>
              <w:pStyle w:val="TableParagraph"/>
              <w:ind w:left="448"/>
              <w:rPr>
                <w:b/>
                <w:sz w:val="20"/>
              </w:rPr>
            </w:pPr>
            <w:r>
              <w:rPr>
                <w:b/>
                <w:sz w:val="20"/>
              </w:rPr>
              <w:t>HSBC</w:t>
            </w:r>
          </w:p>
        </w:tc>
      </w:tr>
      <w:tr>
        <w:trPr>
          <w:trHeight w:val="300" w:hRule="atLeast"/>
        </w:trPr>
        <w:tc>
          <w:tcPr>
            <w:tcW w:w="2870" w:type="dxa"/>
          </w:tcPr>
          <w:p>
            <w:pPr>
              <w:pStyle w:val="TableParagraph"/>
              <w:spacing w:before="32"/>
              <w:rPr>
                <w:sz w:val="20"/>
              </w:rPr>
            </w:pPr>
            <w:r>
              <w:rPr>
                <w:sz w:val="20"/>
              </w:rPr>
              <w:t>Daniele Forni</w:t>
            </w:r>
          </w:p>
        </w:tc>
        <w:tc>
          <w:tcPr>
            <w:tcW w:w="5467" w:type="dxa"/>
          </w:tcPr>
          <w:p>
            <w:pPr>
              <w:pStyle w:val="TableParagraph"/>
              <w:ind w:left="448"/>
              <w:rPr>
                <w:b/>
                <w:sz w:val="20"/>
              </w:rPr>
            </w:pPr>
            <w:r>
              <w:rPr>
                <w:b/>
                <w:sz w:val="20"/>
              </w:rPr>
              <w:t>HSBC</w:t>
            </w:r>
          </w:p>
        </w:tc>
      </w:tr>
      <w:tr>
        <w:trPr>
          <w:trHeight w:val="300" w:hRule="atLeast"/>
        </w:trPr>
        <w:tc>
          <w:tcPr>
            <w:tcW w:w="2870" w:type="dxa"/>
          </w:tcPr>
          <w:p>
            <w:pPr>
              <w:pStyle w:val="TableParagraph"/>
              <w:spacing w:before="32"/>
              <w:rPr>
                <w:sz w:val="20"/>
              </w:rPr>
            </w:pPr>
            <w:r>
              <w:rPr>
                <w:sz w:val="20"/>
              </w:rPr>
              <w:t>Matthew Horton</w:t>
            </w:r>
          </w:p>
        </w:tc>
        <w:tc>
          <w:tcPr>
            <w:tcW w:w="5467" w:type="dxa"/>
          </w:tcPr>
          <w:p>
            <w:pPr>
              <w:pStyle w:val="TableParagraph"/>
              <w:ind w:left="448"/>
              <w:rPr>
                <w:b/>
                <w:sz w:val="20"/>
              </w:rPr>
            </w:pPr>
            <w:r>
              <w:rPr>
                <w:b/>
                <w:sz w:val="20"/>
              </w:rPr>
              <w:t>ICE Group</w:t>
            </w:r>
          </w:p>
        </w:tc>
      </w:tr>
      <w:tr>
        <w:trPr>
          <w:trHeight w:val="300" w:hRule="atLeast"/>
        </w:trPr>
        <w:tc>
          <w:tcPr>
            <w:tcW w:w="2870" w:type="dxa"/>
          </w:tcPr>
          <w:p>
            <w:pPr>
              <w:pStyle w:val="TableParagraph"/>
              <w:spacing w:before="32"/>
              <w:rPr>
                <w:sz w:val="20"/>
              </w:rPr>
            </w:pPr>
            <w:r>
              <w:rPr>
                <w:sz w:val="20"/>
              </w:rPr>
              <w:t>Paul Richards</w:t>
            </w:r>
          </w:p>
        </w:tc>
        <w:tc>
          <w:tcPr>
            <w:tcW w:w="5467" w:type="dxa"/>
          </w:tcPr>
          <w:p>
            <w:pPr>
              <w:pStyle w:val="TableParagraph"/>
              <w:ind w:left="448"/>
              <w:rPr>
                <w:b/>
                <w:sz w:val="20"/>
              </w:rPr>
            </w:pPr>
            <w:r>
              <w:rPr>
                <w:b/>
                <w:sz w:val="20"/>
              </w:rPr>
              <w:t>ICMA</w:t>
            </w:r>
          </w:p>
        </w:tc>
      </w:tr>
      <w:tr>
        <w:trPr>
          <w:trHeight w:val="300" w:hRule="atLeast"/>
        </w:trPr>
        <w:tc>
          <w:tcPr>
            <w:tcW w:w="2870" w:type="dxa"/>
          </w:tcPr>
          <w:p>
            <w:pPr>
              <w:pStyle w:val="TableParagraph"/>
              <w:spacing w:before="32"/>
              <w:rPr>
                <w:sz w:val="20"/>
              </w:rPr>
            </w:pPr>
            <w:r>
              <w:rPr>
                <w:sz w:val="20"/>
              </w:rPr>
              <w:t>David Jamieson</w:t>
            </w:r>
          </w:p>
        </w:tc>
        <w:tc>
          <w:tcPr>
            <w:tcW w:w="5467" w:type="dxa"/>
          </w:tcPr>
          <w:p>
            <w:pPr>
              <w:pStyle w:val="TableParagraph"/>
              <w:ind w:left="448"/>
              <w:rPr>
                <w:b/>
                <w:sz w:val="20"/>
              </w:rPr>
            </w:pPr>
            <w:r>
              <w:rPr>
                <w:b/>
                <w:sz w:val="20"/>
              </w:rPr>
              <w:t>Insight Investment</w:t>
            </w:r>
          </w:p>
        </w:tc>
      </w:tr>
      <w:tr>
        <w:trPr>
          <w:trHeight w:val="300" w:hRule="atLeast"/>
        </w:trPr>
        <w:tc>
          <w:tcPr>
            <w:tcW w:w="2870" w:type="dxa"/>
          </w:tcPr>
          <w:p>
            <w:pPr>
              <w:pStyle w:val="TableParagraph"/>
              <w:spacing w:before="32"/>
              <w:rPr>
                <w:sz w:val="20"/>
              </w:rPr>
            </w:pPr>
            <w:r>
              <w:rPr>
                <w:sz w:val="20"/>
              </w:rPr>
              <w:t>Ross Barrett</w:t>
            </w:r>
          </w:p>
        </w:tc>
        <w:tc>
          <w:tcPr>
            <w:tcW w:w="5467" w:type="dxa"/>
          </w:tcPr>
          <w:p>
            <w:pPr>
              <w:pStyle w:val="TableParagraph"/>
              <w:ind w:left="448"/>
              <w:rPr>
                <w:b/>
                <w:sz w:val="20"/>
              </w:rPr>
            </w:pPr>
            <w:r>
              <w:rPr>
                <w:b/>
                <w:sz w:val="20"/>
              </w:rPr>
              <w:t>Investment Association</w:t>
            </w:r>
          </w:p>
        </w:tc>
      </w:tr>
      <w:tr>
        <w:trPr>
          <w:trHeight w:val="300" w:hRule="atLeast"/>
        </w:trPr>
        <w:tc>
          <w:tcPr>
            <w:tcW w:w="2870" w:type="dxa"/>
          </w:tcPr>
          <w:p>
            <w:pPr>
              <w:pStyle w:val="TableParagraph"/>
              <w:spacing w:before="32"/>
              <w:rPr>
                <w:sz w:val="20"/>
              </w:rPr>
            </w:pPr>
            <w:r>
              <w:rPr>
                <w:sz w:val="20"/>
              </w:rPr>
              <w:t>Galina Dimitrova</w:t>
            </w:r>
          </w:p>
        </w:tc>
        <w:tc>
          <w:tcPr>
            <w:tcW w:w="5467" w:type="dxa"/>
          </w:tcPr>
          <w:p>
            <w:pPr>
              <w:pStyle w:val="TableParagraph"/>
              <w:ind w:left="448"/>
              <w:rPr>
                <w:b/>
                <w:sz w:val="20"/>
              </w:rPr>
            </w:pPr>
            <w:r>
              <w:rPr>
                <w:b/>
                <w:sz w:val="20"/>
              </w:rPr>
              <w:t>Investment Association</w:t>
            </w:r>
          </w:p>
        </w:tc>
      </w:tr>
      <w:tr>
        <w:trPr>
          <w:trHeight w:val="300" w:hRule="atLeast"/>
        </w:trPr>
        <w:tc>
          <w:tcPr>
            <w:tcW w:w="2870" w:type="dxa"/>
          </w:tcPr>
          <w:p>
            <w:pPr>
              <w:pStyle w:val="TableParagraph"/>
              <w:spacing w:before="32"/>
              <w:rPr>
                <w:sz w:val="20"/>
              </w:rPr>
            </w:pPr>
            <w:r>
              <w:rPr>
                <w:sz w:val="20"/>
              </w:rPr>
              <w:t>Rick Sandilands</w:t>
            </w:r>
          </w:p>
        </w:tc>
        <w:tc>
          <w:tcPr>
            <w:tcW w:w="5467" w:type="dxa"/>
          </w:tcPr>
          <w:p>
            <w:pPr>
              <w:pStyle w:val="TableParagraph"/>
              <w:ind w:left="448"/>
              <w:rPr>
                <w:b/>
                <w:sz w:val="20"/>
              </w:rPr>
            </w:pPr>
            <w:r>
              <w:rPr>
                <w:b/>
                <w:sz w:val="20"/>
              </w:rPr>
              <w:t>ISDA</w:t>
            </w:r>
          </w:p>
        </w:tc>
      </w:tr>
      <w:tr>
        <w:trPr>
          <w:trHeight w:val="300" w:hRule="atLeast"/>
        </w:trPr>
        <w:tc>
          <w:tcPr>
            <w:tcW w:w="2870" w:type="dxa"/>
          </w:tcPr>
          <w:p>
            <w:pPr>
              <w:pStyle w:val="TableParagraph"/>
              <w:spacing w:before="32"/>
              <w:rPr>
                <w:sz w:val="20"/>
              </w:rPr>
            </w:pPr>
            <w:r>
              <w:rPr>
                <w:sz w:val="20"/>
              </w:rPr>
              <w:t>Philip Whitehurst</w:t>
            </w:r>
          </w:p>
        </w:tc>
        <w:tc>
          <w:tcPr>
            <w:tcW w:w="5467" w:type="dxa"/>
          </w:tcPr>
          <w:p>
            <w:pPr>
              <w:pStyle w:val="TableParagraph"/>
              <w:ind w:left="448"/>
              <w:rPr>
                <w:b/>
                <w:sz w:val="20"/>
              </w:rPr>
            </w:pPr>
            <w:r>
              <w:rPr>
                <w:b/>
                <w:sz w:val="20"/>
              </w:rPr>
              <w:t>LCH</w:t>
            </w:r>
          </w:p>
        </w:tc>
      </w:tr>
      <w:tr>
        <w:trPr>
          <w:trHeight w:val="300" w:hRule="atLeast"/>
        </w:trPr>
        <w:tc>
          <w:tcPr>
            <w:tcW w:w="2870" w:type="dxa"/>
          </w:tcPr>
          <w:p>
            <w:pPr>
              <w:pStyle w:val="TableParagraph"/>
              <w:spacing w:before="32"/>
              <w:rPr>
                <w:sz w:val="20"/>
              </w:rPr>
            </w:pPr>
            <w:r>
              <w:rPr>
                <w:sz w:val="20"/>
              </w:rPr>
              <w:t>Guy Whitby Smith</w:t>
            </w:r>
          </w:p>
        </w:tc>
        <w:tc>
          <w:tcPr>
            <w:tcW w:w="5467" w:type="dxa"/>
          </w:tcPr>
          <w:p>
            <w:pPr>
              <w:pStyle w:val="TableParagraph"/>
              <w:ind w:left="448"/>
              <w:rPr>
                <w:b/>
                <w:sz w:val="20"/>
              </w:rPr>
            </w:pPr>
            <w:r>
              <w:rPr>
                <w:b/>
                <w:sz w:val="20"/>
              </w:rPr>
              <w:t>Legal &amp; General Investment Management</w:t>
            </w:r>
          </w:p>
        </w:tc>
      </w:tr>
      <w:tr>
        <w:trPr>
          <w:trHeight w:val="300" w:hRule="atLeast"/>
        </w:trPr>
        <w:tc>
          <w:tcPr>
            <w:tcW w:w="2870" w:type="dxa"/>
          </w:tcPr>
          <w:p>
            <w:pPr>
              <w:pStyle w:val="TableParagraph"/>
              <w:spacing w:before="32"/>
              <w:rPr>
                <w:sz w:val="20"/>
              </w:rPr>
            </w:pPr>
            <w:r>
              <w:rPr>
                <w:sz w:val="20"/>
              </w:rPr>
              <w:t>Ian Fox</w:t>
            </w:r>
          </w:p>
        </w:tc>
        <w:tc>
          <w:tcPr>
            <w:tcW w:w="5467" w:type="dxa"/>
          </w:tcPr>
          <w:p>
            <w:pPr>
              <w:pStyle w:val="TableParagraph"/>
              <w:ind w:left="448"/>
              <w:rPr>
                <w:b/>
                <w:sz w:val="20"/>
              </w:rPr>
            </w:pPr>
            <w:r>
              <w:rPr>
                <w:b/>
                <w:sz w:val="20"/>
              </w:rPr>
              <w:t>Lloyds Banking Group</w:t>
            </w:r>
          </w:p>
        </w:tc>
      </w:tr>
      <w:tr>
        <w:trPr>
          <w:trHeight w:val="300" w:hRule="atLeast"/>
        </w:trPr>
        <w:tc>
          <w:tcPr>
            <w:tcW w:w="2870" w:type="dxa"/>
          </w:tcPr>
          <w:p>
            <w:pPr>
              <w:pStyle w:val="TableParagraph"/>
              <w:spacing w:before="33"/>
              <w:rPr>
                <w:sz w:val="20"/>
              </w:rPr>
            </w:pPr>
            <w:r>
              <w:rPr>
                <w:sz w:val="20"/>
              </w:rPr>
              <w:t>Clare Dawson</w:t>
            </w:r>
          </w:p>
        </w:tc>
        <w:tc>
          <w:tcPr>
            <w:tcW w:w="5467" w:type="dxa"/>
          </w:tcPr>
          <w:p>
            <w:pPr>
              <w:pStyle w:val="TableParagraph"/>
              <w:ind w:left="448"/>
              <w:rPr>
                <w:b/>
                <w:sz w:val="20"/>
              </w:rPr>
            </w:pPr>
            <w:r>
              <w:rPr>
                <w:b/>
                <w:sz w:val="20"/>
              </w:rPr>
              <w:t>Loan Market Association</w:t>
            </w:r>
          </w:p>
        </w:tc>
      </w:tr>
      <w:tr>
        <w:trPr>
          <w:trHeight w:val="300" w:hRule="atLeast"/>
        </w:trPr>
        <w:tc>
          <w:tcPr>
            <w:tcW w:w="2870" w:type="dxa"/>
          </w:tcPr>
          <w:p>
            <w:pPr>
              <w:pStyle w:val="TableParagraph"/>
              <w:spacing w:before="32"/>
              <w:rPr>
                <w:sz w:val="20"/>
              </w:rPr>
            </w:pPr>
            <w:r>
              <w:rPr>
                <w:sz w:val="20"/>
              </w:rPr>
              <w:t>Siobhan Clarke</w:t>
            </w:r>
          </w:p>
        </w:tc>
        <w:tc>
          <w:tcPr>
            <w:tcW w:w="5467" w:type="dxa"/>
          </w:tcPr>
          <w:p>
            <w:pPr>
              <w:pStyle w:val="TableParagraph"/>
              <w:ind w:left="448"/>
              <w:rPr>
                <w:b/>
                <w:sz w:val="20"/>
              </w:rPr>
            </w:pPr>
            <w:r>
              <w:rPr>
                <w:b/>
                <w:sz w:val="20"/>
              </w:rPr>
              <w:t>M&amp;G</w:t>
            </w:r>
          </w:p>
        </w:tc>
      </w:tr>
      <w:tr>
        <w:trPr>
          <w:trHeight w:val="300" w:hRule="atLeast"/>
        </w:trPr>
        <w:tc>
          <w:tcPr>
            <w:tcW w:w="2870" w:type="dxa"/>
          </w:tcPr>
          <w:p>
            <w:pPr>
              <w:pStyle w:val="TableParagraph"/>
              <w:spacing w:before="32"/>
              <w:rPr>
                <w:sz w:val="20"/>
              </w:rPr>
            </w:pPr>
            <w:r>
              <w:rPr>
                <w:sz w:val="20"/>
              </w:rPr>
              <w:t>David Covey</w:t>
            </w:r>
          </w:p>
        </w:tc>
        <w:tc>
          <w:tcPr>
            <w:tcW w:w="5467" w:type="dxa"/>
          </w:tcPr>
          <w:p>
            <w:pPr>
              <w:pStyle w:val="TableParagraph"/>
              <w:ind w:left="448"/>
              <w:rPr>
                <w:b/>
                <w:sz w:val="20"/>
              </w:rPr>
            </w:pPr>
            <w:r>
              <w:rPr>
                <w:b/>
                <w:sz w:val="20"/>
              </w:rPr>
              <w:t>M&amp;G Investments</w:t>
            </w:r>
          </w:p>
        </w:tc>
      </w:tr>
      <w:tr>
        <w:trPr>
          <w:trHeight w:val="300" w:hRule="atLeast"/>
        </w:trPr>
        <w:tc>
          <w:tcPr>
            <w:tcW w:w="2870" w:type="dxa"/>
          </w:tcPr>
          <w:p>
            <w:pPr>
              <w:pStyle w:val="TableParagraph"/>
              <w:spacing w:before="32"/>
              <w:rPr>
                <w:sz w:val="20"/>
              </w:rPr>
            </w:pPr>
            <w:r>
              <w:rPr>
                <w:sz w:val="20"/>
              </w:rPr>
              <w:t>Richard Merrett</w:t>
            </w:r>
          </w:p>
        </w:tc>
        <w:tc>
          <w:tcPr>
            <w:tcW w:w="5467" w:type="dxa"/>
          </w:tcPr>
          <w:p>
            <w:pPr>
              <w:pStyle w:val="TableParagraph"/>
              <w:ind w:left="448"/>
              <w:rPr>
                <w:b/>
                <w:sz w:val="20"/>
              </w:rPr>
            </w:pPr>
            <w:r>
              <w:rPr>
                <w:b/>
                <w:sz w:val="20"/>
              </w:rPr>
              <w:t>Nationwide Building Society</w:t>
            </w:r>
          </w:p>
        </w:tc>
      </w:tr>
      <w:tr>
        <w:trPr>
          <w:trHeight w:val="262" w:hRule="atLeast"/>
        </w:trPr>
        <w:tc>
          <w:tcPr>
            <w:tcW w:w="2870" w:type="dxa"/>
          </w:tcPr>
          <w:p>
            <w:pPr>
              <w:pStyle w:val="TableParagraph"/>
              <w:spacing w:line="210" w:lineRule="exact" w:before="32"/>
              <w:rPr>
                <w:sz w:val="20"/>
              </w:rPr>
            </w:pPr>
            <w:r>
              <w:rPr>
                <w:sz w:val="20"/>
              </w:rPr>
              <w:t>Kieran Higgins</w:t>
            </w:r>
          </w:p>
        </w:tc>
        <w:tc>
          <w:tcPr>
            <w:tcW w:w="5467" w:type="dxa"/>
          </w:tcPr>
          <w:p>
            <w:pPr>
              <w:pStyle w:val="TableParagraph"/>
              <w:spacing w:line="212" w:lineRule="exact"/>
              <w:ind w:left="448"/>
              <w:rPr>
                <w:b/>
                <w:sz w:val="20"/>
              </w:rPr>
            </w:pPr>
            <w:r>
              <w:rPr>
                <w:b/>
                <w:sz w:val="20"/>
              </w:rPr>
              <w:t>Royal Bank of Scotland</w:t>
            </w:r>
          </w:p>
        </w:tc>
      </w:tr>
    </w:tbl>
    <w:p>
      <w:pPr>
        <w:pStyle w:val="BodyText"/>
        <w:ind w:left="0"/>
        <w:rPr>
          <w:b/>
          <w:sz w:val="22"/>
        </w:rPr>
      </w:pPr>
    </w:p>
    <w:p>
      <w:pPr>
        <w:pStyle w:val="BodyText"/>
        <w:spacing w:before="5"/>
        <w:ind w:left="0"/>
        <w:rPr>
          <w:b/>
          <w:sz w:val="21"/>
        </w:rPr>
      </w:pPr>
    </w:p>
    <w:p>
      <w:pPr>
        <w:spacing w:before="0"/>
        <w:ind w:left="197" w:right="0" w:firstLine="0"/>
        <w:jc w:val="left"/>
        <w:rPr>
          <w:b/>
          <w:sz w:val="20"/>
        </w:rPr>
      </w:pPr>
      <w:r>
        <w:rPr>
          <w:b/>
          <w:sz w:val="20"/>
        </w:rPr>
        <w:t>Official sector</w:t>
      </w:r>
      <w:r>
        <w:rPr>
          <w:b/>
          <w:spacing w:val="-8"/>
          <w:sz w:val="20"/>
        </w:rPr>
        <w:t> </w:t>
      </w:r>
      <w:r>
        <w:rPr>
          <w:b/>
          <w:sz w:val="20"/>
        </w:rPr>
        <w:t>attendees</w:t>
      </w:r>
    </w:p>
    <w:p>
      <w:pPr>
        <w:pStyle w:val="BodyText"/>
        <w:spacing w:before="2"/>
        <w:ind w:left="0"/>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5"/>
      </w:tblGrid>
      <w:tr>
        <w:trPr>
          <w:trHeight w:val="255" w:hRule="atLeast"/>
        </w:trPr>
        <w:tc>
          <w:tcPr>
            <w:tcW w:w="2802" w:type="dxa"/>
          </w:tcPr>
          <w:p>
            <w:pPr>
              <w:pStyle w:val="TableParagraph"/>
              <w:spacing w:line="225" w:lineRule="exact" w:before="0"/>
              <w:rPr>
                <w:sz w:val="20"/>
              </w:rPr>
            </w:pPr>
            <w:r>
              <w:rPr>
                <w:sz w:val="20"/>
              </w:rPr>
              <w:t>Alastair Hughes</w:t>
            </w:r>
          </w:p>
        </w:tc>
        <w:tc>
          <w:tcPr>
            <w:tcW w:w="3435" w:type="dxa"/>
          </w:tcPr>
          <w:p>
            <w:pPr>
              <w:pStyle w:val="TableParagraph"/>
              <w:spacing w:line="223" w:lineRule="exact" w:before="0"/>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Adeshini Naidoo</w:t>
            </w:r>
          </w:p>
        </w:tc>
        <w:tc>
          <w:tcPr>
            <w:tcW w:w="3435"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Jugvinder Singh</w:t>
            </w:r>
          </w:p>
        </w:tc>
        <w:tc>
          <w:tcPr>
            <w:tcW w:w="3435"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5"/>
              <w:rPr>
                <w:sz w:val="20"/>
              </w:rPr>
            </w:pPr>
            <w:r>
              <w:rPr>
                <w:sz w:val="20"/>
              </w:rPr>
              <w:t>Stefania Spiga</w:t>
            </w:r>
          </w:p>
        </w:tc>
        <w:tc>
          <w:tcPr>
            <w:tcW w:w="3435" w:type="dxa"/>
          </w:tcPr>
          <w:p>
            <w:pPr>
              <w:pStyle w:val="TableParagraph"/>
              <w:spacing w:before="23"/>
              <w:ind w:left="559"/>
              <w:rPr>
                <w:b/>
                <w:sz w:val="20"/>
              </w:rPr>
            </w:pPr>
            <w:r>
              <w:rPr>
                <w:b/>
                <w:sz w:val="20"/>
              </w:rPr>
              <w:t>Bank of England</w:t>
            </w:r>
          </w:p>
        </w:tc>
      </w:tr>
      <w:tr>
        <w:trPr>
          <w:trHeight w:val="287" w:hRule="atLeast"/>
        </w:trPr>
        <w:tc>
          <w:tcPr>
            <w:tcW w:w="2802" w:type="dxa"/>
          </w:tcPr>
          <w:p>
            <w:pPr>
              <w:pStyle w:val="TableParagraph"/>
              <w:spacing w:before="26"/>
              <w:rPr>
                <w:sz w:val="20"/>
              </w:rPr>
            </w:pPr>
            <w:r>
              <w:rPr>
                <w:sz w:val="20"/>
              </w:rPr>
              <w:t>Radhika Sood</w:t>
            </w:r>
          </w:p>
        </w:tc>
        <w:tc>
          <w:tcPr>
            <w:tcW w:w="3435" w:type="dxa"/>
          </w:tcPr>
          <w:p>
            <w:pPr>
              <w:pStyle w:val="TableParagraph"/>
              <w:spacing w:before="24"/>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Edwin Schooling Latter</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Richard Fox</w:t>
            </w:r>
          </w:p>
        </w:tc>
        <w:tc>
          <w:tcPr>
            <w:tcW w:w="3435"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Harriet Hunnable</w:t>
            </w:r>
          </w:p>
        </w:tc>
        <w:tc>
          <w:tcPr>
            <w:tcW w:w="3435" w:type="dxa"/>
          </w:tcPr>
          <w:p>
            <w:pPr>
              <w:pStyle w:val="TableParagraph"/>
              <w:spacing w:before="23"/>
              <w:ind w:left="559"/>
              <w:rPr>
                <w:b/>
                <w:sz w:val="20"/>
              </w:rPr>
            </w:pPr>
            <w:r>
              <w:rPr>
                <w:b/>
                <w:sz w:val="20"/>
              </w:rPr>
              <w:t>Financial Conduct Authority</w:t>
            </w:r>
          </w:p>
        </w:tc>
      </w:tr>
      <w:tr>
        <w:trPr>
          <w:trHeight w:val="255" w:hRule="atLeast"/>
        </w:trPr>
        <w:tc>
          <w:tcPr>
            <w:tcW w:w="2802" w:type="dxa"/>
          </w:tcPr>
          <w:p>
            <w:pPr>
              <w:pStyle w:val="TableParagraph"/>
              <w:spacing w:line="210" w:lineRule="exact" w:before="25"/>
              <w:rPr>
                <w:sz w:val="20"/>
              </w:rPr>
            </w:pPr>
            <w:r>
              <w:rPr>
                <w:sz w:val="20"/>
              </w:rPr>
              <w:t>April Richardson</w:t>
            </w:r>
          </w:p>
        </w:tc>
        <w:tc>
          <w:tcPr>
            <w:tcW w:w="3435" w:type="dxa"/>
          </w:tcPr>
          <w:p>
            <w:pPr>
              <w:pStyle w:val="TableParagraph"/>
              <w:spacing w:line="212" w:lineRule="exact" w:before="23"/>
              <w:ind w:left="559"/>
              <w:rPr>
                <w:b/>
                <w:sz w:val="20"/>
              </w:rPr>
            </w:pPr>
            <w:r>
              <w:rPr>
                <w:b/>
                <w:sz w:val="20"/>
              </w:rPr>
              <w:t>Financial Conduct Authority</w:t>
            </w:r>
          </w:p>
        </w:tc>
      </w:tr>
    </w:tbl>
    <w:sectPr>
      <w:pgSz w:w="11910" w:h="16840"/>
      <w:pgMar w:header="0" w:footer="717" w:top="1180" w:bottom="90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30.280029pt;margin-top:795.055969pt;width:11.6pt;height:13.05pt;mso-position-horizontal-relative:page;mso-position-vertical-relative:page;z-index:-252023808"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84" w:hanging="360"/>
      </w:pPr>
      <w:rPr>
        <w:rFonts w:hint="default"/>
        <w:lang w:val="en-gb" w:eastAsia="en-gb" w:bidi="en-gb"/>
      </w:rPr>
    </w:lvl>
    <w:lvl w:ilvl="2">
      <w:start w:val="0"/>
      <w:numFmt w:val="bullet"/>
      <w:lvlText w:val="•"/>
      <w:lvlJc w:val="left"/>
      <w:pPr>
        <w:ind w:left="2409" w:hanging="360"/>
      </w:pPr>
      <w:rPr>
        <w:rFonts w:hint="default"/>
        <w:lang w:val="en-gb" w:eastAsia="en-gb" w:bidi="en-gb"/>
      </w:rPr>
    </w:lvl>
    <w:lvl w:ilvl="3">
      <w:start w:val="0"/>
      <w:numFmt w:val="bullet"/>
      <w:lvlText w:val="•"/>
      <w:lvlJc w:val="left"/>
      <w:pPr>
        <w:ind w:left="3333" w:hanging="360"/>
      </w:pPr>
      <w:rPr>
        <w:rFonts w:hint="default"/>
        <w:lang w:val="en-gb" w:eastAsia="en-gb" w:bidi="en-gb"/>
      </w:rPr>
    </w:lvl>
    <w:lvl w:ilvl="4">
      <w:start w:val="0"/>
      <w:numFmt w:val="bullet"/>
      <w:lvlText w:val="•"/>
      <w:lvlJc w:val="left"/>
      <w:pPr>
        <w:ind w:left="4258" w:hanging="360"/>
      </w:pPr>
      <w:rPr>
        <w:rFonts w:hint="default"/>
        <w:lang w:val="en-gb" w:eastAsia="en-gb" w:bidi="en-gb"/>
      </w:rPr>
    </w:lvl>
    <w:lvl w:ilvl="5">
      <w:start w:val="0"/>
      <w:numFmt w:val="bullet"/>
      <w:lvlText w:val="•"/>
      <w:lvlJc w:val="left"/>
      <w:pPr>
        <w:ind w:left="5183" w:hanging="360"/>
      </w:pPr>
      <w:rPr>
        <w:rFonts w:hint="default"/>
        <w:lang w:val="en-gb" w:eastAsia="en-gb" w:bidi="en-gb"/>
      </w:rPr>
    </w:lvl>
    <w:lvl w:ilvl="6">
      <w:start w:val="0"/>
      <w:numFmt w:val="bullet"/>
      <w:lvlText w:val="•"/>
      <w:lvlJc w:val="left"/>
      <w:pPr>
        <w:ind w:left="6107" w:hanging="360"/>
      </w:pPr>
      <w:rPr>
        <w:rFonts w:hint="default"/>
        <w:lang w:val="en-gb" w:eastAsia="en-gb" w:bidi="en-gb"/>
      </w:rPr>
    </w:lvl>
    <w:lvl w:ilvl="7">
      <w:start w:val="0"/>
      <w:numFmt w:val="bullet"/>
      <w:lvlText w:val="•"/>
      <w:lvlJc w:val="left"/>
      <w:pPr>
        <w:ind w:left="7032" w:hanging="360"/>
      </w:pPr>
      <w:rPr>
        <w:rFonts w:hint="default"/>
        <w:lang w:val="en-gb" w:eastAsia="en-gb" w:bidi="en-gb"/>
      </w:rPr>
    </w:lvl>
    <w:lvl w:ilvl="8">
      <w:start w:val="0"/>
      <w:numFmt w:val="bullet"/>
      <w:lvlText w:val="•"/>
      <w:lvlJc w:val="left"/>
      <w:pPr>
        <w:ind w:left="7957" w:hanging="360"/>
      </w:pPr>
      <w:rPr>
        <w:rFonts w:hint="default"/>
        <w:lang w:val="en-gb" w:eastAsia="en-gb" w:bidi="en-gb"/>
      </w:rPr>
    </w:lvl>
  </w:abstractNum>
  <w:abstractNum w:abstractNumId="0">
    <w:multiLevelType w:val="hybridMultilevel"/>
    <w:lvl w:ilvl="0">
      <w:start w:val="1"/>
      <w:numFmt w:val="decimal"/>
      <w:lvlText w:val="%1."/>
      <w:lvlJc w:val="left"/>
      <w:pPr>
        <w:ind w:left="917"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08" w:hanging="360"/>
      </w:pPr>
      <w:rPr>
        <w:rFonts w:hint="default"/>
        <w:lang w:val="en-gb" w:eastAsia="en-gb" w:bidi="en-gb"/>
      </w:rPr>
    </w:lvl>
    <w:lvl w:ilvl="2">
      <w:start w:val="0"/>
      <w:numFmt w:val="bullet"/>
      <w:lvlText w:val="•"/>
      <w:lvlJc w:val="left"/>
      <w:pPr>
        <w:ind w:left="2697" w:hanging="360"/>
      </w:pPr>
      <w:rPr>
        <w:rFonts w:hint="default"/>
        <w:lang w:val="en-gb" w:eastAsia="en-gb" w:bidi="en-gb"/>
      </w:rPr>
    </w:lvl>
    <w:lvl w:ilvl="3">
      <w:start w:val="0"/>
      <w:numFmt w:val="bullet"/>
      <w:lvlText w:val="•"/>
      <w:lvlJc w:val="left"/>
      <w:pPr>
        <w:ind w:left="3585" w:hanging="360"/>
      </w:pPr>
      <w:rPr>
        <w:rFonts w:hint="default"/>
        <w:lang w:val="en-gb" w:eastAsia="en-gb" w:bidi="en-gb"/>
      </w:rPr>
    </w:lvl>
    <w:lvl w:ilvl="4">
      <w:start w:val="0"/>
      <w:numFmt w:val="bullet"/>
      <w:lvlText w:val="•"/>
      <w:lvlJc w:val="left"/>
      <w:pPr>
        <w:ind w:left="4474" w:hanging="360"/>
      </w:pPr>
      <w:rPr>
        <w:rFonts w:hint="default"/>
        <w:lang w:val="en-gb" w:eastAsia="en-gb" w:bidi="en-gb"/>
      </w:rPr>
    </w:lvl>
    <w:lvl w:ilvl="5">
      <w:start w:val="0"/>
      <w:numFmt w:val="bullet"/>
      <w:lvlText w:val="•"/>
      <w:lvlJc w:val="left"/>
      <w:pPr>
        <w:ind w:left="5363" w:hanging="360"/>
      </w:pPr>
      <w:rPr>
        <w:rFonts w:hint="default"/>
        <w:lang w:val="en-gb" w:eastAsia="en-gb" w:bidi="en-gb"/>
      </w:rPr>
    </w:lvl>
    <w:lvl w:ilvl="6">
      <w:start w:val="0"/>
      <w:numFmt w:val="bullet"/>
      <w:lvlText w:val="•"/>
      <w:lvlJc w:val="left"/>
      <w:pPr>
        <w:ind w:left="6251" w:hanging="360"/>
      </w:pPr>
      <w:rPr>
        <w:rFonts w:hint="default"/>
        <w:lang w:val="en-gb" w:eastAsia="en-gb" w:bidi="en-gb"/>
      </w:rPr>
    </w:lvl>
    <w:lvl w:ilvl="7">
      <w:start w:val="0"/>
      <w:numFmt w:val="bullet"/>
      <w:lvlText w:val="•"/>
      <w:lvlJc w:val="left"/>
      <w:pPr>
        <w:ind w:left="7140" w:hanging="360"/>
      </w:pPr>
      <w:rPr>
        <w:rFonts w:hint="default"/>
        <w:lang w:val="en-gb" w:eastAsia="en-gb" w:bidi="en-gb"/>
      </w:rPr>
    </w:lvl>
    <w:lvl w:ilvl="8">
      <w:start w:val="0"/>
      <w:numFmt w:val="bullet"/>
      <w:lvlText w:val="•"/>
      <w:lvlJc w:val="left"/>
      <w:pPr>
        <w:ind w:left="8029"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557"/>
    </w:pPr>
    <w:rPr>
      <w:rFonts w:ascii="Arial" w:hAnsi="Arial" w:eastAsia="Arial" w:cs="Arial"/>
      <w:sz w:val="20"/>
      <w:szCs w:val="20"/>
      <w:lang w:val="en-gb" w:eastAsia="en-gb" w:bidi="en-gb"/>
    </w:rPr>
  </w:style>
  <w:style w:styleId="Heading1" w:type="paragraph">
    <w:name w:val="Heading 1"/>
    <w:basedOn w:val="Normal"/>
    <w:uiPriority w:val="1"/>
    <w:qFormat/>
    <w:pPr>
      <w:ind w:left="19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57" w:hanging="360"/>
      <w:jc w:val="both"/>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bankofengland.co.uk/-/media/boe/files/markets/benchmarks/term-sonia-reference-rates-consultation-summary-of-responses.pdf?la=en&amp;hash=CFD2AB11A3156B31CB15030962ECA9987BEFCED8" TargetMode="External"/><Relationship Id="rId7" Type="http://schemas.openxmlformats.org/officeDocument/2006/relationships/hyperlink" Target="https://www.bankofengland.co.uk/-/media/boe/files/markets/benchmarks/discussion-paper-conventions-for-referencing-sonia-in-new-contracts.pdf?la=en&amp;hash=DCC0FDB5766CA409CEB1471160207721BAE013BA" TargetMode="External"/><Relationship Id="rId8" Type="http://schemas.openxmlformats.org/officeDocument/2006/relationships/hyperlink" Target="https://www.bankofengland.co.uk/-/media/boe/files/markets/benchmarks/letter-to-international-accounting-standards-board.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 - March 2019</dc:title>
  <dcterms:created xsi:type="dcterms:W3CDTF">2020-06-01T02:24:28Z</dcterms:created>
  <dcterms:modified xsi:type="dcterms:W3CDTF">2020-06-01T02:24:28Z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LastSaved">
    <vt:filetime>2020-06-01T00:00:00Z</vt:filetime>
  </property>
</Properties>
</file>