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firstLine="0"/>
        <w:rPr>
          <w:rFonts w:ascii="Times New Roman"/>
          <w:sz w:val="13"/>
        </w:rPr>
      </w:pPr>
    </w:p>
    <w:p>
      <w:pPr>
        <w:pStyle w:val="Heading1"/>
        <w:spacing w:before="89"/>
      </w:pPr>
      <w:r>
        <w:rPr/>
        <w:pict>
          <v:line style="position:absolute;mso-position-horizontal-relative:page;mso-position-vertical-relative:paragraph;z-index:15728640" from="72pt,61.647786pt" to="72pt,-7.802214pt" stroked="true" strokeweight="2pt" strokecolor="#4471c4">
            <v:stroke dashstyle="solid"/>
            <w10:wrap type="none"/>
          </v:line>
        </w:pict>
      </w:r>
      <w:r>
        <w:rPr>
          <w:spacing w:val="7"/>
        </w:rPr>
        <w:t>The </w:t>
      </w:r>
      <w:r>
        <w:rPr>
          <w:spacing w:val="9"/>
        </w:rPr>
        <w:t>Working Group</w:t>
      </w:r>
      <w:r>
        <w:rPr>
          <w:spacing w:val="61"/>
        </w:rPr>
        <w:t> </w:t>
      </w:r>
      <w:r>
        <w:rPr>
          <w:spacing w:val="11"/>
        </w:rPr>
        <w:t>on</w:t>
      </w:r>
    </w:p>
    <w:p>
      <w:pPr>
        <w:spacing w:before="6"/>
        <w:ind w:left="278" w:right="0" w:firstLine="0"/>
        <w:jc w:val="left"/>
        <w:rPr>
          <w:b/>
          <w:sz w:val="32"/>
        </w:rPr>
      </w:pPr>
      <w:r>
        <w:rPr>
          <w:b/>
          <w:spacing w:val="9"/>
          <w:sz w:val="32"/>
        </w:rPr>
        <w:t>Sterling </w:t>
      </w:r>
      <w:r>
        <w:rPr>
          <w:b/>
          <w:spacing w:val="10"/>
          <w:sz w:val="32"/>
        </w:rPr>
        <w:t>Risk-Free Reference</w:t>
      </w:r>
      <w:r>
        <w:rPr>
          <w:b/>
          <w:spacing w:val="59"/>
          <w:sz w:val="32"/>
        </w:rPr>
        <w:t> </w:t>
      </w:r>
      <w:r>
        <w:rPr>
          <w:b/>
          <w:spacing w:val="8"/>
          <w:sz w:val="32"/>
        </w:rPr>
        <w:t>Rates</w:t>
      </w:r>
    </w:p>
    <w:p>
      <w:pPr>
        <w:pStyle w:val="BodyText"/>
        <w:spacing w:before="0"/>
        <w:ind w:left="0" w:firstLine="0"/>
        <w:rPr>
          <w:b/>
        </w:rPr>
      </w:pPr>
    </w:p>
    <w:p>
      <w:pPr>
        <w:pStyle w:val="BodyText"/>
        <w:spacing w:before="9"/>
        <w:ind w:left="0" w:firstLine="0"/>
        <w:rPr>
          <w:b/>
          <w:sz w:val="26"/>
        </w:rPr>
      </w:pPr>
    </w:p>
    <w:p>
      <w:pPr>
        <w:pStyle w:val="Heading2"/>
        <w:spacing w:line="276" w:lineRule="auto" w:before="93"/>
        <w:ind w:left="1354" w:right="1356"/>
        <w:jc w:val="center"/>
      </w:pPr>
      <w:r>
        <w:rPr/>
        <w:t>Minutes of the Working Group on Sterling Risk-Free Reference</w:t>
      </w:r>
      <w:r>
        <w:rPr>
          <w:spacing w:val="-21"/>
        </w:rPr>
        <w:t> </w:t>
      </w:r>
      <w:r>
        <w:rPr/>
        <w:t>Rates Thursday 7</w:t>
      </w:r>
      <w:r>
        <w:rPr>
          <w:vertAlign w:val="superscript"/>
        </w:rPr>
        <w:t>th</w:t>
      </w:r>
      <w:r>
        <w:rPr>
          <w:vertAlign w:val="baseline"/>
        </w:rPr>
        <w:t> November</w:t>
      </w:r>
      <w:r>
        <w:rPr>
          <w:spacing w:val="-2"/>
          <w:vertAlign w:val="baseline"/>
        </w:rPr>
        <w:t> </w:t>
      </w:r>
      <w:r>
        <w:rPr>
          <w:vertAlign w:val="baseline"/>
        </w:rPr>
        <w:t>2019</w:t>
      </w:r>
    </w:p>
    <w:p>
      <w:pPr>
        <w:spacing w:before="1"/>
        <w:ind w:left="1350" w:right="1356" w:firstLine="0"/>
        <w:jc w:val="center"/>
        <w:rPr>
          <w:b/>
          <w:sz w:val="20"/>
        </w:rPr>
      </w:pPr>
      <w:r>
        <w:rPr>
          <w:b/>
          <w:sz w:val="20"/>
        </w:rPr>
        <w:t>Barclays, 1 Churchill Place, Canary Wharf, London E14 5HP</w:t>
      </w:r>
    </w:p>
    <w:p>
      <w:pPr>
        <w:pStyle w:val="BodyText"/>
        <w:spacing w:before="5"/>
        <w:ind w:left="0" w:firstLine="0"/>
        <w:rPr>
          <w:b/>
          <w:sz w:val="12"/>
        </w:rPr>
      </w:pPr>
    </w:p>
    <w:p>
      <w:pPr>
        <w:spacing w:before="93"/>
        <w:ind w:left="120" w:right="0" w:firstLine="0"/>
        <w:jc w:val="left"/>
        <w:rPr>
          <w:b/>
          <w:sz w:val="20"/>
        </w:rPr>
      </w:pPr>
      <w:r>
        <w:rPr>
          <w:b/>
          <w:sz w:val="20"/>
        </w:rPr>
        <w:t>Agenda</w:t>
      </w:r>
    </w:p>
    <w:p>
      <w:pPr>
        <w:pStyle w:val="BodyText"/>
        <w:spacing w:before="3"/>
        <w:ind w:left="0" w:firstLine="0"/>
        <w:rPr>
          <w:b/>
        </w:rPr>
      </w:pPr>
    </w:p>
    <w:p>
      <w:pPr>
        <w:pStyle w:val="ListParagraph"/>
        <w:numPr>
          <w:ilvl w:val="0"/>
          <w:numId w:val="1"/>
        </w:numPr>
        <w:tabs>
          <w:tab w:pos="841" w:val="left" w:leader="none"/>
        </w:tabs>
        <w:spacing w:line="240" w:lineRule="auto" w:before="0" w:after="0"/>
        <w:ind w:left="840" w:right="0" w:hanging="361"/>
        <w:jc w:val="left"/>
        <w:rPr>
          <w:sz w:val="20"/>
        </w:rPr>
      </w:pPr>
      <w:r>
        <w:rPr>
          <w:sz w:val="20"/>
        </w:rPr>
        <w:t>Standing</w:t>
      </w:r>
      <w:r>
        <w:rPr>
          <w:spacing w:val="-1"/>
          <w:sz w:val="20"/>
        </w:rPr>
        <w:t> </w:t>
      </w:r>
      <w:r>
        <w:rPr>
          <w:sz w:val="20"/>
        </w:rPr>
        <w:t>Items</w:t>
      </w:r>
    </w:p>
    <w:p>
      <w:pPr>
        <w:pStyle w:val="ListParagraph"/>
        <w:numPr>
          <w:ilvl w:val="1"/>
          <w:numId w:val="1"/>
        </w:numPr>
        <w:tabs>
          <w:tab w:pos="1561" w:val="left" w:leader="none"/>
        </w:tabs>
        <w:spacing w:line="240" w:lineRule="auto" w:before="36" w:after="0"/>
        <w:ind w:left="1560" w:right="0" w:hanging="361"/>
        <w:jc w:val="left"/>
        <w:rPr>
          <w:sz w:val="20"/>
        </w:rPr>
      </w:pPr>
      <w:r>
        <w:rPr>
          <w:sz w:val="20"/>
        </w:rPr>
        <w:t>Welcome &amp;</w:t>
      </w:r>
      <w:r>
        <w:rPr>
          <w:spacing w:val="-3"/>
          <w:sz w:val="20"/>
        </w:rPr>
        <w:t> </w:t>
      </w:r>
      <w:r>
        <w:rPr>
          <w:sz w:val="20"/>
        </w:rPr>
        <w:t>Introductions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Competition</w:t>
      </w:r>
      <w:r>
        <w:rPr>
          <w:spacing w:val="-2"/>
          <w:sz w:val="20"/>
        </w:rPr>
        <w:t> </w:t>
      </w:r>
      <w:r>
        <w:rPr>
          <w:sz w:val="20"/>
        </w:rPr>
        <w:t>Law</w:t>
      </w:r>
    </w:p>
    <w:p>
      <w:pPr>
        <w:pStyle w:val="ListParagraph"/>
        <w:numPr>
          <w:ilvl w:val="1"/>
          <w:numId w:val="1"/>
        </w:numPr>
        <w:tabs>
          <w:tab w:pos="1560" w:val="left" w:leader="none"/>
          <w:tab w:pos="1561" w:val="left" w:leader="none"/>
        </w:tabs>
        <w:spacing w:line="240" w:lineRule="auto" w:before="34" w:after="0"/>
        <w:ind w:left="1560" w:right="0" w:hanging="361"/>
        <w:jc w:val="left"/>
        <w:rPr>
          <w:sz w:val="20"/>
        </w:rPr>
      </w:pPr>
      <w:r>
        <w:rPr>
          <w:sz w:val="20"/>
        </w:rPr>
        <w:t>Minutes of previous meeting</w:t>
      </w:r>
    </w:p>
    <w:p>
      <w:pPr>
        <w:pStyle w:val="ListParagraph"/>
        <w:numPr>
          <w:ilvl w:val="0"/>
          <w:numId w:val="1"/>
        </w:numPr>
        <w:tabs>
          <w:tab w:pos="841" w:val="left" w:leader="none"/>
        </w:tabs>
        <w:spacing w:line="240" w:lineRule="auto" w:before="35" w:after="0"/>
        <w:ind w:left="840" w:right="0" w:hanging="361"/>
        <w:jc w:val="left"/>
        <w:rPr>
          <w:sz w:val="20"/>
        </w:rPr>
      </w:pPr>
      <w:r>
        <w:rPr>
          <w:sz w:val="20"/>
        </w:rPr>
        <w:t>Update on recent</w:t>
      </w:r>
      <w:r>
        <w:rPr>
          <w:spacing w:val="-2"/>
          <w:sz w:val="20"/>
        </w:rPr>
        <w:t> </w:t>
      </w:r>
      <w:r>
        <w:rPr>
          <w:sz w:val="20"/>
        </w:rPr>
        <w:t>developments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New SONIA issuance and active conversions in the</w:t>
      </w:r>
      <w:r>
        <w:rPr>
          <w:spacing w:val="-5"/>
          <w:sz w:val="20"/>
        </w:rPr>
        <w:t> </w:t>
      </w:r>
      <w:r>
        <w:rPr>
          <w:sz w:val="20"/>
        </w:rPr>
        <w:t>market</w:t>
      </w:r>
    </w:p>
    <w:p>
      <w:pPr>
        <w:pStyle w:val="ListParagraph"/>
        <w:numPr>
          <w:ilvl w:val="1"/>
          <w:numId w:val="1"/>
        </w:numPr>
        <w:tabs>
          <w:tab w:pos="1561" w:val="left" w:leader="none"/>
        </w:tabs>
        <w:spacing w:line="240" w:lineRule="auto" w:before="36" w:after="0"/>
        <w:ind w:left="1560" w:right="0" w:hanging="361"/>
        <w:jc w:val="left"/>
        <w:rPr>
          <w:sz w:val="20"/>
        </w:rPr>
      </w:pPr>
      <w:r>
        <w:rPr>
          <w:sz w:val="20"/>
        </w:rPr>
        <w:t>OIS streaming for a Term SONIA Reference</w:t>
      </w:r>
      <w:r>
        <w:rPr>
          <w:spacing w:val="-3"/>
          <w:sz w:val="20"/>
        </w:rPr>
        <w:t> </w:t>
      </w:r>
      <w:r>
        <w:rPr>
          <w:sz w:val="20"/>
        </w:rPr>
        <w:t>Rate</w:t>
      </w:r>
    </w:p>
    <w:p>
      <w:pPr>
        <w:pStyle w:val="ListParagraph"/>
        <w:numPr>
          <w:ilvl w:val="0"/>
          <w:numId w:val="1"/>
        </w:numPr>
        <w:tabs>
          <w:tab w:pos="841" w:val="left" w:leader="none"/>
        </w:tabs>
        <w:spacing w:line="240" w:lineRule="auto" w:before="34" w:after="0"/>
        <w:ind w:left="840" w:right="0" w:hanging="361"/>
        <w:jc w:val="left"/>
        <w:rPr>
          <w:sz w:val="20"/>
        </w:rPr>
      </w:pPr>
      <w:r>
        <w:rPr>
          <w:sz w:val="20"/>
        </w:rPr>
        <w:t>Presentations from loan system</w:t>
      </w:r>
      <w:r>
        <w:rPr>
          <w:spacing w:val="5"/>
          <w:sz w:val="20"/>
        </w:rPr>
        <w:t> </w:t>
      </w:r>
      <w:r>
        <w:rPr>
          <w:sz w:val="20"/>
        </w:rPr>
        <w:t>vendors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ACBS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Finastra/LoanIQ</w:t>
      </w:r>
    </w:p>
    <w:p>
      <w:pPr>
        <w:pStyle w:val="ListParagraph"/>
        <w:numPr>
          <w:ilvl w:val="0"/>
          <w:numId w:val="1"/>
        </w:numPr>
        <w:tabs>
          <w:tab w:pos="841" w:val="left" w:leader="none"/>
        </w:tabs>
        <w:spacing w:line="240" w:lineRule="auto" w:before="34" w:after="0"/>
        <w:ind w:left="840" w:right="0" w:hanging="361"/>
        <w:jc w:val="left"/>
        <w:rPr>
          <w:sz w:val="20"/>
        </w:rPr>
      </w:pPr>
      <w:r>
        <w:rPr>
          <w:sz w:val="20"/>
        </w:rPr>
        <w:t>Term Rate Use Case Task</w:t>
      </w:r>
      <w:r>
        <w:rPr>
          <w:spacing w:val="4"/>
          <w:sz w:val="20"/>
        </w:rPr>
        <w:t> </w:t>
      </w:r>
      <w:r>
        <w:rPr>
          <w:sz w:val="20"/>
        </w:rPr>
        <w:t>Force</w:t>
      </w:r>
    </w:p>
    <w:p>
      <w:pPr>
        <w:pStyle w:val="ListParagraph"/>
        <w:numPr>
          <w:ilvl w:val="1"/>
          <w:numId w:val="1"/>
        </w:numPr>
        <w:tabs>
          <w:tab w:pos="1561" w:val="left" w:leader="none"/>
        </w:tabs>
        <w:spacing w:line="240" w:lineRule="auto" w:before="37" w:after="0"/>
        <w:ind w:left="1560" w:right="0" w:hanging="361"/>
        <w:jc w:val="left"/>
        <w:rPr>
          <w:sz w:val="20"/>
        </w:rPr>
      </w:pPr>
      <w:r>
        <w:rPr>
          <w:sz w:val="20"/>
        </w:rPr>
        <w:t>Key findings from assessment of use</w:t>
      </w:r>
      <w:r>
        <w:rPr>
          <w:spacing w:val="-4"/>
          <w:sz w:val="20"/>
        </w:rPr>
        <w:t> </w:t>
      </w:r>
      <w:r>
        <w:rPr>
          <w:sz w:val="20"/>
        </w:rPr>
        <w:t>cases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Update on benchmark provider progress</w:t>
      </w:r>
    </w:p>
    <w:p>
      <w:pPr>
        <w:pStyle w:val="ListParagraph"/>
        <w:numPr>
          <w:ilvl w:val="0"/>
          <w:numId w:val="1"/>
        </w:numPr>
        <w:tabs>
          <w:tab w:pos="841" w:val="left" w:leader="none"/>
        </w:tabs>
        <w:spacing w:line="240" w:lineRule="auto" w:before="34" w:after="0"/>
        <w:ind w:left="840" w:right="0" w:hanging="361"/>
        <w:jc w:val="left"/>
        <w:rPr>
          <w:sz w:val="20"/>
        </w:rPr>
      </w:pPr>
      <w:r>
        <w:rPr>
          <w:sz w:val="20"/>
        </w:rPr>
        <w:t>Credit adjustment spread consultation paper for cash</w:t>
      </w:r>
      <w:r>
        <w:rPr>
          <w:spacing w:val="-5"/>
          <w:sz w:val="20"/>
        </w:rPr>
        <w:t> </w:t>
      </w:r>
      <w:r>
        <w:rPr>
          <w:sz w:val="20"/>
        </w:rPr>
        <w:t>products</w:t>
      </w:r>
    </w:p>
    <w:p>
      <w:pPr>
        <w:pStyle w:val="ListParagraph"/>
        <w:numPr>
          <w:ilvl w:val="0"/>
          <w:numId w:val="1"/>
        </w:numPr>
        <w:tabs>
          <w:tab w:pos="841" w:val="left" w:leader="none"/>
        </w:tabs>
        <w:spacing w:line="240" w:lineRule="auto" w:before="34" w:after="0"/>
        <w:ind w:left="840" w:right="0" w:hanging="361"/>
        <w:jc w:val="left"/>
        <w:rPr>
          <w:sz w:val="20"/>
        </w:rPr>
      </w:pPr>
      <w:r>
        <w:rPr>
          <w:sz w:val="20"/>
        </w:rPr>
        <w:t>Catalysing transition in cash</w:t>
      </w:r>
      <w:r>
        <w:rPr>
          <w:spacing w:val="-1"/>
          <w:sz w:val="20"/>
        </w:rPr>
        <w:t> </w:t>
      </w:r>
      <w:r>
        <w:rPr>
          <w:sz w:val="20"/>
        </w:rPr>
        <w:t>markets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Active transition of legacy stock – Cash Market Legacy Task</w:t>
      </w:r>
      <w:r>
        <w:rPr>
          <w:spacing w:val="-1"/>
          <w:sz w:val="20"/>
        </w:rPr>
        <w:t> </w:t>
      </w:r>
      <w:r>
        <w:rPr>
          <w:sz w:val="20"/>
        </w:rPr>
        <w:t>Force</w:t>
      </w:r>
    </w:p>
    <w:p>
      <w:pPr>
        <w:pStyle w:val="ListParagraph"/>
        <w:numPr>
          <w:ilvl w:val="1"/>
          <w:numId w:val="1"/>
        </w:numPr>
        <w:tabs>
          <w:tab w:pos="1561" w:val="left" w:leader="none"/>
        </w:tabs>
        <w:spacing w:line="240" w:lineRule="auto" w:before="36" w:after="0"/>
        <w:ind w:left="1560" w:right="0" w:hanging="361"/>
        <w:jc w:val="left"/>
        <w:rPr>
          <w:sz w:val="20"/>
        </w:rPr>
      </w:pPr>
      <w:r>
        <w:rPr>
          <w:sz w:val="20"/>
        </w:rPr>
        <w:t>Identifying issues around the tough legacy – Tough legacy Task</w:t>
      </w:r>
      <w:r>
        <w:rPr>
          <w:spacing w:val="-1"/>
          <w:sz w:val="20"/>
        </w:rPr>
        <w:t> </w:t>
      </w:r>
      <w:r>
        <w:rPr>
          <w:sz w:val="20"/>
        </w:rPr>
        <w:t>Force</w:t>
      </w:r>
    </w:p>
    <w:p>
      <w:pPr>
        <w:pStyle w:val="ListParagraph"/>
        <w:numPr>
          <w:ilvl w:val="1"/>
          <w:numId w:val="1"/>
        </w:numPr>
        <w:tabs>
          <w:tab w:pos="1560" w:val="left" w:leader="none"/>
          <w:tab w:pos="1561" w:val="left" w:leader="none"/>
        </w:tabs>
        <w:spacing w:line="240" w:lineRule="auto" w:before="34" w:after="0"/>
        <w:ind w:left="1560" w:right="0" w:hanging="361"/>
        <w:jc w:val="left"/>
        <w:rPr>
          <w:sz w:val="20"/>
        </w:rPr>
      </w:pPr>
      <w:r>
        <w:rPr>
          <w:sz w:val="20"/>
        </w:rPr>
        <w:t>Delivering the </w:t>
      </w:r>
      <w:r>
        <w:rPr>
          <w:spacing w:val="4"/>
          <w:sz w:val="20"/>
        </w:rPr>
        <w:t>WG </w:t>
      </w:r>
      <w:r>
        <w:rPr>
          <w:sz w:val="20"/>
        </w:rPr>
        <w:t>target for no new business on GBP LIBOR by Q3</w:t>
      </w:r>
      <w:r>
        <w:rPr>
          <w:spacing w:val="-25"/>
          <w:sz w:val="20"/>
        </w:rPr>
        <w:t> </w:t>
      </w:r>
      <w:r>
        <w:rPr>
          <w:sz w:val="20"/>
        </w:rPr>
        <w:t>2020</w:t>
      </w:r>
    </w:p>
    <w:p>
      <w:pPr>
        <w:pStyle w:val="ListParagraph"/>
        <w:numPr>
          <w:ilvl w:val="0"/>
          <w:numId w:val="1"/>
        </w:numPr>
        <w:tabs>
          <w:tab w:pos="841" w:val="left" w:leader="none"/>
        </w:tabs>
        <w:spacing w:line="240" w:lineRule="auto" w:before="35" w:after="0"/>
        <w:ind w:left="840" w:right="0" w:hanging="361"/>
        <w:jc w:val="left"/>
        <w:rPr>
          <w:sz w:val="20"/>
        </w:rPr>
      </w:pPr>
      <w:r>
        <w:rPr>
          <w:sz w:val="20"/>
        </w:rPr>
        <w:t>Communications &amp; Outreach</w:t>
      </w:r>
      <w:r>
        <w:rPr>
          <w:spacing w:val="-1"/>
          <w:sz w:val="20"/>
        </w:rPr>
        <w:t> </w:t>
      </w:r>
      <w:r>
        <w:rPr>
          <w:sz w:val="20"/>
        </w:rPr>
        <w:t>Sub-Group</w:t>
      </w:r>
    </w:p>
    <w:p>
      <w:pPr>
        <w:pStyle w:val="ListParagraph"/>
        <w:numPr>
          <w:ilvl w:val="1"/>
          <w:numId w:val="1"/>
        </w:numPr>
        <w:tabs>
          <w:tab w:pos="1561" w:val="left" w:leader="none"/>
        </w:tabs>
        <w:spacing w:line="240" w:lineRule="auto" w:before="34" w:after="0"/>
        <w:ind w:left="1560" w:right="0" w:hanging="361"/>
        <w:jc w:val="left"/>
        <w:rPr>
          <w:sz w:val="20"/>
        </w:rPr>
      </w:pPr>
      <w:r>
        <w:rPr>
          <w:sz w:val="20"/>
        </w:rPr>
        <w:t>Client factsheet on</w:t>
      </w:r>
      <w:r>
        <w:rPr>
          <w:spacing w:val="2"/>
          <w:sz w:val="20"/>
        </w:rPr>
        <w:t> </w:t>
      </w:r>
      <w:r>
        <w:rPr>
          <w:sz w:val="20"/>
        </w:rPr>
        <w:t>transition</w:t>
      </w:r>
    </w:p>
    <w:p>
      <w:pPr>
        <w:pStyle w:val="ListParagraph"/>
        <w:numPr>
          <w:ilvl w:val="1"/>
          <w:numId w:val="1"/>
        </w:numPr>
        <w:tabs>
          <w:tab w:pos="1561" w:val="left" w:leader="none"/>
        </w:tabs>
        <w:spacing w:line="240" w:lineRule="auto" w:before="34" w:after="0"/>
        <w:ind w:left="1560" w:right="0" w:hanging="361"/>
        <w:jc w:val="left"/>
        <w:rPr>
          <w:sz w:val="20"/>
        </w:rPr>
      </w:pPr>
      <w:r>
        <w:rPr>
          <w:sz w:val="20"/>
        </w:rPr>
        <w:t>Discussion on forward</w:t>
      </w:r>
      <w:r>
        <w:rPr>
          <w:spacing w:val="-4"/>
          <w:sz w:val="20"/>
        </w:rPr>
        <w:t> </w:t>
      </w:r>
      <w:r>
        <w:rPr>
          <w:sz w:val="20"/>
        </w:rPr>
        <w:t>strategy</w:t>
      </w:r>
    </w:p>
    <w:p>
      <w:pPr>
        <w:pStyle w:val="ListParagraph"/>
        <w:numPr>
          <w:ilvl w:val="1"/>
          <w:numId w:val="1"/>
        </w:numPr>
        <w:tabs>
          <w:tab w:pos="1560" w:val="left" w:leader="none"/>
          <w:tab w:pos="1561" w:val="left" w:leader="none"/>
        </w:tabs>
        <w:spacing w:line="240" w:lineRule="auto" w:before="36" w:after="0"/>
        <w:ind w:left="1560" w:right="0" w:hanging="361"/>
        <w:jc w:val="left"/>
        <w:rPr>
          <w:sz w:val="20"/>
        </w:rPr>
      </w:pPr>
      <w:r>
        <w:rPr>
          <w:sz w:val="20"/>
        </w:rPr>
        <w:t>Proposal for media campaign</w:t>
      </w:r>
      <w:r>
        <w:rPr>
          <w:spacing w:val="-6"/>
          <w:sz w:val="20"/>
        </w:rPr>
        <w:t> </w:t>
      </w:r>
      <w:r>
        <w:rPr>
          <w:sz w:val="20"/>
        </w:rPr>
        <w:t>budget</w:t>
      </w:r>
    </w:p>
    <w:p>
      <w:pPr>
        <w:pStyle w:val="ListParagraph"/>
        <w:numPr>
          <w:ilvl w:val="0"/>
          <w:numId w:val="1"/>
        </w:numPr>
        <w:tabs>
          <w:tab w:pos="841" w:val="left" w:leader="none"/>
        </w:tabs>
        <w:spacing w:line="240" w:lineRule="auto" w:before="34" w:after="0"/>
        <w:ind w:left="840" w:right="0" w:hanging="361"/>
        <w:jc w:val="left"/>
        <w:rPr>
          <w:sz w:val="20"/>
        </w:rPr>
      </w:pPr>
      <w:r>
        <w:rPr>
          <w:sz w:val="20"/>
        </w:rPr>
        <w:t>Updates from</w:t>
      </w:r>
      <w:r>
        <w:rPr>
          <w:spacing w:val="3"/>
          <w:sz w:val="20"/>
        </w:rPr>
        <w:t> </w:t>
      </w:r>
      <w:r>
        <w:rPr>
          <w:sz w:val="20"/>
        </w:rPr>
        <w:t>Sub-Groups</w:t>
      </w:r>
    </w:p>
    <w:p>
      <w:pPr>
        <w:pStyle w:val="ListParagraph"/>
        <w:numPr>
          <w:ilvl w:val="1"/>
          <w:numId w:val="1"/>
        </w:numPr>
        <w:tabs>
          <w:tab w:pos="1561" w:val="left" w:leader="none"/>
        </w:tabs>
        <w:spacing w:line="240" w:lineRule="auto" w:before="34" w:after="0"/>
        <w:ind w:left="1560" w:right="0" w:hanging="361"/>
        <w:jc w:val="left"/>
        <w:rPr>
          <w:sz w:val="20"/>
        </w:rPr>
      </w:pPr>
      <w:r>
        <w:rPr>
          <w:sz w:val="20"/>
        </w:rPr>
        <w:t>Regulatory Dependencies Task</w:t>
      </w:r>
      <w:r>
        <w:rPr>
          <w:spacing w:val="3"/>
          <w:sz w:val="20"/>
        </w:rPr>
        <w:t> </w:t>
      </w:r>
      <w:r>
        <w:rPr>
          <w:sz w:val="20"/>
        </w:rPr>
        <w:t>Force</w:t>
      </w:r>
    </w:p>
    <w:p>
      <w:pPr>
        <w:pStyle w:val="ListParagraph"/>
        <w:numPr>
          <w:ilvl w:val="2"/>
          <w:numId w:val="1"/>
        </w:numPr>
        <w:tabs>
          <w:tab w:pos="2281" w:val="left" w:leader="none"/>
        </w:tabs>
        <w:spacing w:line="276" w:lineRule="auto" w:before="34" w:after="0"/>
        <w:ind w:left="2281" w:right="156" w:hanging="282"/>
        <w:jc w:val="left"/>
        <w:rPr>
          <w:sz w:val="20"/>
        </w:rPr>
      </w:pPr>
      <w:r>
        <w:rPr>
          <w:sz w:val="20"/>
        </w:rPr>
        <w:t>Feedback from RFRWG members on draft FCA document on the</w:t>
      </w:r>
      <w:r>
        <w:rPr>
          <w:spacing w:val="-25"/>
          <w:sz w:val="20"/>
        </w:rPr>
        <w:t> </w:t>
      </w:r>
      <w:r>
        <w:rPr>
          <w:sz w:val="20"/>
        </w:rPr>
        <w:t>supervision of conduct risks during the LIBOR</w:t>
      </w:r>
      <w:r>
        <w:rPr>
          <w:spacing w:val="-3"/>
          <w:sz w:val="20"/>
        </w:rPr>
        <w:t> </w:t>
      </w:r>
      <w:r>
        <w:rPr>
          <w:sz w:val="20"/>
        </w:rPr>
        <w:t>transition.</w:t>
      </w:r>
    </w:p>
    <w:p>
      <w:pPr>
        <w:pStyle w:val="ListParagraph"/>
        <w:numPr>
          <w:ilvl w:val="1"/>
          <w:numId w:val="1"/>
        </w:numPr>
        <w:tabs>
          <w:tab w:pos="1561" w:val="left" w:leader="none"/>
        </w:tabs>
        <w:spacing w:line="240" w:lineRule="auto" w:before="2" w:after="0"/>
        <w:ind w:left="1560" w:right="0" w:hanging="361"/>
        <w:jc w:val="left"/>
        <w:rPr>
          <w:sz w:val="20"/>
        </w:rPr>
      </w:pPr>
      <w:r>
        <w:rPr>
          <w:sz w:val="20"/>
        </w:rPr>
        <w:t>Infrastructure</w:t>
      </w:r>
      <w:r>
        <w:rPr>
          <w:spacing w:val="-2"/>
          <w:sz w:val="20"/>
        </w:rPr>
        <w:t> </w:t>
      </w:r>
      <w:r>
        <w:rPr>
          <w:sz w:val="20"/>
        </w:rPr>
        <w:t>Sub-Group</w:t>
      </w:r>
    </w:p>
    <w:p>
      <w:pPr>
        <w:pStyle w:val="ListParagraph"/>
        <w:numPr>
          <w:ilvl w:val="1"/>
          <w:numId w:val="1"/>
        </w:numPr>
        <w:tabs>
          <w:tab w:pos="1560" w:val="left" w:leader="none"/>
          <w:tab w:pos="1561" w:val="left" w:leader="none"/>
        </w:tabs>
        <w:spacing w:line="240" w:lineRule="auto" w:before="34" w:after="0"/>
        <w:ind w:left="1560" w:right="0" w:hanging="361"/>
        <w:jc w:val="left"/>
        <w:rPr>
          <w:sz w:val="20"/>
        </w:rPr>
      </w:pPr>
      <w:r>
        <w:rPr>
          <w:sz w:val="20"/>
        </w:rPr>
        <w:t>Others</w:t>
      </w:r>
    </w:p>
    <w:p>
      <w:pPr>
        <w:pStyle w:val="ListParagraph"/>
        <w:numPr>
          <w:ilvl w:val="0"/>
          <w:numId w:val="1"/>
        </w:numPr>
        <w:tabs>
          <w:tab w:pos="841" w:val="left" w:leader="none"/>
        </w:tabs>
        <w:spacing w:line="240" w:lineRule="auto" w:before="36" w:after="0"/>
        <w:ind w:left="840" w:right="0" w:hanging="361"/>
        <w:jc w:val="left"/>
        <w:rPr>
          <w:sz w:val="20"/>
        </w:rPr>
      </w:pPr>
      <w:r>
        <w:rPr>
          <w:sz w:val="20"/>
        </w:rPr>
        <w:t>AOB</w:t>
      </w:r>
    </w:p>
    <w:p>
      <w:pPr>
        <w:pStyle w:val="BodyText"/>
        <w:spacing w:before="3"/>
        <w:ind w:left="0" w:firstLine="0"/>
      </w:pPr>
    </w:p>
    <w:p>
      <w:pPr>
        <w:pStyle w:val="Heading2"/>
        <w:jc w:val="left"/>
      </w:pPr>
      <w:r>
        <w:rPr/>
        <w:t>Welcome, Introductions and Competition Law Principles</w:t>
      </w:r>
    </w:p>
    <w:p>
      <w:pPr>
        <w:pStyle w:val="BodyText"/>
        <w:spacing w:before="3"/>
        <w:ind w:left="0" w:firstLine="0"/>
        <w:rPr>
          <w:b/>
        </w:rPr>
      </w:pPr>
    </w:p>
    <w:p>
      <w:pPr>
        <w:pStyle w:val="ListParagraph"/>
        <w:numPr>
          <w:ilvl w:val="0"/>
          <w:numId w:val="2"/>
        </w:numPr>
        <w:tabs>
          <w:tab w:pos="481" w:val="left" w:leader="none"/>
        </w:tabs>
        <w:spacing w:line="362" w:lineRule="auto" w:before="1" w:after="0"/>
        <w:ind w:left="480" w:right="118" w:hanging="360"/>
        <w:jc w:val="left"/>
        <w:rPr>
          <w:sz w:val="20"/>
        </w:rPr>
      </w:pPr>
      <w:r>
        <w:rPr>
          <w:sz w:val="20"/>
        </w:rPr>
        <w:t>The</w:t>
      </w:r>
      <w:r>
        <w:rPr>
          <w:spacing w:val="-7"/>
          <w:sz w:val="20"/>
        </w:rPr>
        <w:t> </w:t>
      </w:r>
      <w:r>
        <w:rPr>
          <w:sz w:val="20"/>
        </w:rPr>
        <w:t>Chair</w:t>
      </w:r>
      <w:r>
        <w:rPr>
          <w:spacing w:val="-2"/>
          <w:sz w:val="20"/>
        </w:rPr>
        <w:t> </w:t>
      </w:r>
      <w:r>
        <w:rPr>
          <w:sz w:val="20"/>
        </w:rPr>
        <w:t>welcomed</w:t>
      </w:r>
      <w:r>
        <w:rPr>
          <w:spacing w:val="-6"/>
          <w:sz w:val="20"/>
        </w:rPr>
        <w:t> </w:t>
      </w:r>
      <w:r>
        <w:rPr>
          <w:sz w:val="20"/>
        </w:rPr>
        <w:t>attendees</w:t>
      </w:r>
      <w:r>
        <w:rPr>
          <w:spacing w:val="-2"/>
          <w:sz w:val="20"/>
        </w:rPr>
        <w:t> </w:t>
      </w:r>
      <w:r>
        <w:rPr>
          <w:sz w:val="20"/>
        </w:rPr>
        <w:t>and</w:t>
      </w:r>
      <w:r>
        <w:rPr>
          <w:spacing w:val="-6"/>
          <w:sz w:val="20"/>
        </w:rPr>
        <w:t> </w:t>
      </w:r>
      <w:r>
        <w:rPr>
          <w:sz w:val="20"/>
        </w:rPr>
        <w:t>the</w:t>
      </w:r>
      <w:r>
        <w:rPr>
          <w:spacing w:val="-8"/>
          <w:sz w:val="20"/>
        </w:rPr>
        <w:t> </w:t>
      </w:r>
      <w:r>
        <w:rPr>
          <w:sz w:val="20"/>
        </w:rPr>
        <w:t>Working</w:t>
      </w:r>
      <w:r>
        <w:rPr>
          <w:spacing w:val="-6"/>
          <w:sz w:val="20"/>
        </w:rPr>
        <w:t> </w:t>
      </w:r>
      <w:r>
        <w:rPr>
          <w:sz w:val="20"/>
        </w:rPr>
        <w:t>Group’s</w:t>
      </w:r>
      <w:r>
        <w:rPr>
          <w:spacing w:val="-4"/>
          <w:sz w:val="20"/>
        </w:rPr>
        <w:t> </w:t>
      </w:r>
      <w:r>
        <w:rPr>
          <w:sz w:val="20"/>
        </w:rPr>
        <w:t>General</w:t>
      </w:r>
      <w:r>
        <w:rPr>
          <w:spacing w:val="-6"/>
          <w:sz w:val="20"/>
        </w:rPr>
        <w:t> </w:t>
      </w:r>
      <w:r>
        <w:rPr>
          <w:sz w:val="20"/>
        </w:rPr>
        <w:t>Counsel</w:t>
      </w:r>
      <w:r>
        <w:rPr>
          <w:spacing w:val="-6"/>
          <w:sz w:val="20"/>
        </w:rPr>
        <w:t> </w:t>
      </w:r>
      <w:r>
        <w:rPr>
          <w:sz w:val="20"/>
        </w:rPr>
        <w:t>(Greg</w:t>
      </w:r>
      <w:r>
        <w:rPr>
          <w:spacing w:val="-5"/>
          <w:sz w:val="20"/>
        </w:rPr>
        <w:t> </w:t>
      </w:r>
      <w:r>
        <w:rPr>
          <w:sz w:val="20"/>
        </w:rPr>
        <w:t>Olsen)</w:t>
      </w:r>
      <w:r>
        <w:rPr>
          <w:spacing w:val="-1"/>
          <w:sz w:val="20"/>
        </w:rPr>
        <w:t> </w:t>
      </w:r>
      <w:r>
        <w:rPr>
          <w:sz w:val="20"/>
        </w:rPr>
        <w:t>reminded members of their competition law responsibilities in the context of the Working Group</w:t>
      </w:r>
      <w:r>
        <w:rPr>
          <w:spacing w:val="-15"/>
          <w:sz w:val="20"/>
        </w:rPr>
        <w:t> </w:t>
      </w:r>
      <w:r>
        <w:rPr>
          <w:sz w:val="20"/>
        </w:rPr>
        <w:t>meeting.</w:t>
      </w:r>
    </w:p>
    <w:p>
      <w:pPr>
        <w:pStyle w:val="ListParagraph"/>
        <w:numPr>
          <w:ilvl w:val="0"/>
          <w:numId w:val="2"/>
        </w:numPr>
        <w:tabs>
          <w:tab w:pos="481" w:val="left" w:leader="none"/>
        </w:tabs>
        <w:spacing w:line="240" w:lineRule="auto" w:before="117" w:after="0"/>
        <w:ind w:left="480" w:right="0" w:hanging="361"/>
        <w:jc w:val="left"/>
        <w:rPr>
          <w:sz w:val="20"/>
        </w:rPr>
      </w:pPr>
      <w:r>
        <w:rPr>
          <w:sz w:val="20"/>
        </w:rPr>
        <w:t>The minutes of the previous meeting were</w:t>
      </w:r>
      <w:r>
        <w:rPr>
          <w:spacing w:val="-1"/>
          <w:sz w:val="20"/>
        </w:rPr>
        <w:t> </w:t>
      </w:r>
      <w:r>
        <w:rPr>
          <w:sz w:val="20"/>
        </w:rPr>
        <w:t>approved.</w:t>
      </w:r>
    </w:p>
    <w:p>
      <w:pPr>
        <w:pStyle w:val="BodyText"/>
        <w:spacing w:before="3"/>
        <w:ind w:left="0" w:firstLine="0"/>
      </w:pPr>
    </w:p>
    <w:p>
      <w:pPr>
        <w:pStyle w:val="Heading2"/>
        <w:jc w:val="left"/>
      </w:pPr>
      <w:r>
        <w:rPr/>
        <w:t>Update on recent developments</w:t>
      </w:r>
    </w:p>
    <w:p>
      <w:pPr>
        <w:pStyle w:val="BodyText"/>
        <w:spacing w:before="6"/>
        <w:ind w:left="0" w:firstLine="0"/>
        <w:rPr>
          <w:b/>
        </w:rPr>
      </w:pPr>
    </w:p>
    <w:p>
      <w:pPr>
        <w:pStyle w:val="ListParagraph"/>
        <w:numPr>
          <w:ilvl w:val="0"/>
          <w:numId w:val="2"/>
        </w:numPr>
        <w:tabs>
          <w:tab w:pos="481" w:val="left" w:leader="none"/>
        </w:tabs>
        <w:spacing w:line="360" w:lineRule="auto" w:before="0" w:after="0"/>
        <w:ind w:left="480" w:right="116" w:hanging="360"/>
        <w:jc w:val="left"/>
        <w:rPr>
          <w:sz w:val="20"/>
        </w:rPr>
      </w:pPr>
      <w:r>
        <w:rPr>
          <w:sz w:val="20"/>
        </w:rPr>
        <w:t>Following the successful conversion of a floating rate bond from LIBOR to SONIA by Associated British Ports in June via consent solicitation, the FCA had supported market participants</w:t>
      </w:r>
      <w:r>
        <w:rPr>
          <w:spacing w:val="10"/>
          <w:sz w:val="20"/>
        </w:rPr>
        <w:t> </w:t>
      </w:r>
      <w:r>
        <w:rPr>
          <w:sz w:val="20"/>
        </w:rPr>
        <w:t>in</w:t>
      </w:r>
    </w:p>
    <w:p>
      <w:pPr>
        <w:spacing w:after="0" w:line="360" w:lineRule="auto"/>
        <w:jc w:val="left"/>
        <w:rPr>
          <w:sz w:val="20"/>
        </w:rPr>
        <w:sectPr>
          <w:type w:val="continuous"/>
          <w:pgSz w:w="11910" w:h="16840"/>
          <w:pgMar w:top="1420" w:bottom="280" w:left="1320" w:right="1320"/>
        </w:sectPr>
      </w:pPr>
    </w:p>
    <w:p>
      <w:pPr>
        <w:pStyle w:val="BodyText"/>
        <w:spacing w:line="360" w:lineRule="auto" w:before="81"/>
        <w:ind w:right="115" w:firstLine="0"/>
        <w:jc w:val="both"/>
      </w:pPr>
      <w:r>
        <w:rPr/>
        <w:t>identifying candidates for further conversions. The results have been encouraging, with over £4 billion</w:t>
      </w:r>
      <w:r>
        <w:rPr>
          <w:spacing w:val="-13"/>
        </w:rPr>
        <w:t> </w:t>
      </w:r>
      <w:r>
        <w:rPr/>
        <w:t>of</w:t>
      </w:r>
      <w:r>
        <w:rPr>
          <w:spacing w:val="-11"/>
        </w:rPr>
        <w:t> </w:t>
      </w:r>
      <w:r>
        <w:rPr/>
        <w:t>sterling</w:t>
      </w:r>
      <w:r>
        <w:rPr>
          <w:spacing w:val="-13"/>
        </w:rPr>
        <w:t> </w:t>
      </w:r>
      <w:r>
        <w:rPr/>
        <w:t>securities</w:t>
      </w:r>
      <w:r>
        <w:rPr>
          <w:spacing w:val="-12"/>
        </w:rPr>
        <w:t> </w:t>
      </w:r>
      <w:r>
        <w:rPr/>
        <w:t>now</w:t>
      </w:r>
      <w:r>
        <w:rPr>
          <w:spacing w:val="-14"/>
        </w:rPr>
        <w:t> </w:t>
      </w:r>
      <w:r>
        <w:rPr/>
        <w:t>converted</w:t>
      </w:r>
      <w:r>
        <w:rPr>
          <w:spacing w:val="-13"/>
        </w:rPr>
        <w:t> </w:t>
      </w:r>
      <w:r>
        <w:rPr/>
        <w:t>to</w:t>
      </w:r>
      <w:r>
        <w:rPr>
          <w:spacing w:val="-13"/>
        </w:rPr>
        <w:t> </w:t>
      </w:r>
      <w:r>
        <w:rPr/>
        <w:t>SONIA.</w:t>
      </w:r>
      <w:r>
        <w:rPr>
          <w:spacing w:val="35"/>
        </w:rPr>
        <w:t> </w:t>
      </w:r>
      <w:r>
        <w:rPr/>
        <w:t>Lessons</w:t>
      </w:r>
      <w:r>
        <w:rPr>
          <w:spacing w:val="-11"/>
        </w:rPr>
        <w:t> </w:t>
      </w:r>
      <w:r>
        <w:rPr/>
        <w:t>learned</w:t>
      </w:r>
      <w:r>
        <w:rPr>
          <w:spacing w:val="-13"/>
        </w:rPr>
        <w:t> </w:t>
      </w:r>
      <w:r>
        <w:rPr/>
        <w:t>in</w:t>
      </w:r>
      <w:r>
        <w:rPr>
          <w:spacing w:val="-13"/>
        </w:rPr>
        <w:t> </w:t>
      </w:r>
      <w:r>
        <w:rPr/>
        <w:t>this</w:t>
      </w:r>
      <w:r>
        <w:rPr>
          <w:spacing w:val="-10"/>
        </w:rPr>
        <w:t> </w:t>
      </w:r>
      <w:r>
        <w:rPr/>
        <w:t>process</w:t>
      </w:r>
      <w:r>
        <w:rPr>
          <w:spacing w:val="-8"/>
        </w:rPr>
        <w:t> </w:t>
      </w:r>
      <w:r>
        <w:rPr/>
        <w:t>will</w:t>
      </w:r>
      <w:r>
        <w:rPr>
          <w:spacing w:val="-13"/>
        </w:rPr>
        <w:t> </w:t>
      </w:r>
      <w:r>
        <w:rPr/>
        <w:t>be</w:t>
      </w:r>
      <w:r>
        <w:rPr>
          <w:spacing w:val="-13"/>
        </w:rPr>
        <w:t> </w:t>
      </w:r>
      <w:r>
        <w:rPr/>
        <w:t>shared with the Bond Market Sub-Group and included in the Working Group's planned paper on legacy sterling cash</w:t>
      </w:r>
      <w:r>
        <w:rPr>
          <w:spacing w:val="-3"/>
        </w:rPr>
        <w:t> </w:t>
      </w:r>
      <w:r>
        <w:rPr/>
        <w:t>products.</w:t>
      </w:r>
    </w:p>
    <w:p>
      <w:pPr>
        <w:pStyle w:val="ListParagraph"/>
        <w:numPr>
          <w:ilvl w:val="0"/>
          <w:numId w:val="2"/>
        </w:numPr>
        <w:tabs>
          <w:tab w:pos="481" w:val="left" w:leader="none"/>
        </w:tabs>
        <w:spacing w:line="360" w:lineRule="auto" w:before="120" w:after="0"/>
        <w:ind w:left="480" w:right="118" w:hanging="360"/>
        <w:jc w:val="both"/>
        <w:rPr>
          <w:sz w:val="20"/>
        </w:rPr>
      </w:pPr>
      <w:r>
        <w:rPr>
          <w:sz w:val="20"/>
        </w:rPr>
        <w:t>Since</w:t>
      </w:r>
      <w:r>
        <w:rPr>
          <w:spacing w:val="-10"/>
          <w:sz w:val="20"/>
        </w:rPr>
        <w:t> </w:t>
      </w:r>
      <w:r>
        <w:rPr>
          <w:sz w:val="20"/>
        </w:rPr>
        <w:t>the</w:t>
      </w:r>
      <w:r>
        <w:rPr>
          <w:spacing w:val="-10"/>
          <w:sz w:val="20"/>
        </w:rPr>
        <w:t> </w:t>
      </w:r>
      <w:r>
        <w:rPr>
          <w:sz w:val="20"/>
        </w:rPr>
        <w:t>last</w:t>
      </w:r>
      <w:r>
        <w:rPr>
          <w:spacing w:val="-14"/>
          <w:sz w:val="20"/>
        </w:rPr>
        <w:t> </w:t>
      </w:r>
      <w:r>
        <w:rPr>
          <w:sz w:val="20"/>
        </w:rPr>
        <w:t>Working</w:t>
      </w:r>
      <w:r>
        <w:rPr>
          <w:spacing w:val="-10"/>
          <w:sz w:val="20"/>
        </w:rPr>
        <w:t> </w:t>
      </w:r>
      <w:r>
        <w:rPr>
          <w:sz w:val="20"/>
        </w:rPr>
        <w:t>Group</w:t>
      </w:r>
      <w:r>
        <w:rPr>
          <w:spacing w:val="-9"/>
          <w:sz w:val="20"/>
        </w:rPr>
        <w:t> </w:t>
      </w:r>
      <w:r>
        <w:rPr>
          <w:sz w:val="20"/>
        </w:rPr>
        <w:t>meeting,</w:t>
      </w:r>
      <w:r>
        <w:rPr>
          <w:spacing w:val="-9"/>
          <w:sz w:val="20"/>
        </w:rPr>
        <w:t> </w:t>
      </w:r>
      <w:r>
        <w:rPr>
          <w:sz w:val="20"/>
        </w:rPr>
        <w:t>the</w:t>
      </w:r>
      <w:r>
        <w:rPr>
          <w:spacing w:val="-9"/>
          <w:sz w:val="20"/>
        </w:rPr>
        <w:t> </w:t>
      </w:r>
      <w:r>
        <w:rPr>
          <w:sz w:val="20"/>
        </w:rPr>
        <w:t>first</w:t>
      </w:r>
      <w:r>
        <w:rPr>
          <w:spacing w:val="-10"/>
          <w:sz w:val="20"/>
        </w:rPr>
        <w:t> </w:t>
      </w:r>
      <w:r>
        <w:rPr>
          <w:sz w:val="20"/>
        </w:rPr>
        <w:t>conversion</w:t>
      </w:r>
      <w:r>
        <w:rPr>
          <w:spacing w:val="-8"/>
          <w:sz w:val="20"/>
        </w:rPr>
        <w:t> </w:t>
      </w:r>
      <w:r>
        <w:rPr>
          <w:sz w:val="20"/>
        </w:rPr>
        <w:t>of</w:t>
      </w:r>
      <w:r>
        <w:rPr>
          <w:spacing w:val="-8"/>
          <w:sz w:val="20"/>
        </w:rPr>
        <w:t> </w:t>
      </w:r>
      <w:r>
        <w:rPr>
          <w:sz w:val="20"/>
        </w:rPr>
        <w:t>a</w:t>
      </w:r>
      <w:r>
        <w:rPr>
          <w:spacing w:val="-9"/>
          <w:sz w:val="20"/>
        </w:rPr>
        <w:t> </w:t>
      </w:r>
      <w:r>
        <w:rPr>
          <w:sz w:val="20"/>
        </w:rPr>
        <w:t>loan</w:t>
      </w:r>
      <w:r>
        <w:rPr>
          <w:spacing w:val="-10"/>
          <w:sz w:val="20"/>
        </w:rPr>
        <w:t> </w:t>
      </w:r>
      <w:r>
        <w:rPr>
          <w:sz w:val="20"/>
        </w:rPr>
        <w:t>from</w:t>
      </w:r>
      <w:r>
        <w:rPr>
          <w:spacing w:val="-5"/>
          <w:sz w:val="20"/>
        </w:rPr>
        <w:t> </w:t>
      </w:r>
      <w:r>
        <w:rPr>
          <w:sz w:val="20"/>
        </w:rPr>
        <w:t>LIBOR</w:t>
      </w:r>
      <w:r>
        <w:rPr>
          <w:spacing w:val="-10"/>
          <w:sz w:val="20"/>
        </w:rPr>
        <w:t> </w:t>
      </w:r>
      <w:r>
        <w:rPr>
          <w:sz w:val="20"/>
        </w:rPr>
        <w:t>to</w:t>
      </w:r>
      <w:r>
        <w:rPr>
          <w:spacing w:val="-10"/>
          <w:sz w:val="20"/>
        </w:rPr>
        <w:t> </w:t>
      </w:r>
      <w:r>
        <w:rPr>
          <w:sz w:val="20"/>
        </w:rPr>
        <w:t>SONIA</w:t>
      </w:r>
      <w:r>
        <w:rPr>
          <w:spacing w:val="-8"/>
          <w:sz w:val="20"/>
        </w:rPr>
        <w:t> </w:t>
      </w:r>
      <w:r>
        <w:rPr>
          <w:sz w:val="20"/>
        </w:rPr>
        <w:t>had</w:t>
      </w:r>
      <w:r>
        <w:rPr>
          <w:spacing w:val="-9"/>
          <w:sz w:val="20"/>
        </w:rPr>
        <w:t> </w:t>
      </w:r>
      <w:r>
        <w:rPr>
          <w:sz w:val="20"/>
        </w:rPr>
        <w:t>also been achieved, between NatWest and South West</w:t>
      </w:r>
      <w:r>
        <w:rPr>
          <w:spacing w:val="-12"/>
          <w:sz w:val="20"/>
        </w:rPr>
        <w:t> </w:t>
      </w:r>
      <w:r>
        <w:rPr>
          <w:sz w:val="20"/>
        </w:rPr>
        <w:t>Water.</w:t>
      </w:r>
    </w:p>
    <w:p>
      <w:pPr>
        <w:pStyle w:val="ListParagraph"/>
        <w:numPr>
          <w:ilvl w:val="0"/>
          <w:numId w:val="2"/>
        </w:numPr>
        <w:tabs>
          <w:tab w:pos="481" w:val="left" w:leader="none"/>
        </w:tabs>
        <w:spacing w:line="360" w:lineRule="auto" w:before="119" w:after="0"/>
        <w:ind w:left="480" w:right="114" w:hanging="360"/>
        <w:jc w:val="both"/>
        <w:rPr>
          <w:sz w:val="20"/>
        </w:rPr>
      </w:pPr>
      <w:r>
        <w:rPr>
          <w:sz w:val="20"/>
        </w:rPr>
        <w:t>In</w:t>
      </w:r>
      <w:r>
        <w:rPr>
          <w:spacing w:val="-9"/>
          <w:sz w:val="20"/>
        </w:rPr>
        <w:t> </w:t>
      </w:r>
      <w:r>
        <w:rPr>
          <w:sz w:val="20"/>
        </w:rPr>
        <w:t>relation</w:t>
      </w:r>
      <w:r>
        <w:rPr>
          <w:spacing w:val="-8"/>
          <w:sz w:val="20"/>
        </w:rPr>
        <w:t> </w:t>
      </w:r>
      <w:r>
        <w:rPr>
          <w:sz w:val="20"/>
        </w:rPr>
        <w:t>to</w:t>
      </w:r>
      <w:r>
        <w:rPr>
          <w:spacing w:val="-7"/>
          <w:sz w:val="20"/>
        </w:rPr>
        <w:t> </w:t>
      </w:r>
      <w:r>
        <w:rPr>
          <w:sz w:val="20"/>
        </w:rPr>
        <w:t>production</w:t>
      </w:r>
      <w:r>
        <w:rPr>
          <w:spacing w:val="-7"/>
          <w:sz w:val="20"/>
        </w:rPr>
        <w:t> </w:t>
      </w:r>
      <w:r>
        <w:rPr>
          <w:sz w:val="20"/>
        </w:rPr>
        <w:t>of</w:t>
      </w:r>
      <w:r>
        <w:rPr>
          <w:spacing w:val="-7"/>
          <w:sz w:val="20"/>
        </w:rPr>
        <w:t> </w:t>
      </w:r>
      <w:r>
        <w:rPr>
          <w:sz w:val="20"/>
        </w:rPr>
        <w:t>term</w:t>
      </w:r>
      <w:r>
        <w:rPr>
          <w:spacing w:val="-4"/>
          <w:sz w:val="20"/>
        </w:rPr>
        <w:t> </w:t>
      </w:r>
      <w:r>
        <w:rPr>
          <w:sz w:val="20"/>
        </w:rPr>
        <w:t>rates,</w:t>
      </w:r>
      <w:r>
        <w:rPr>
          <w:spacing w:val="-9"/>
          <w:sz w:val="20"/>
        </w:rPr>
        <w:t> </w:t>
      </w:r>
      <w:r>
        <w:rPr>
          <w:sz w:val="20"/>
        </w:rPr>
        <w:t>the</w:t>
      </w:r>
      <w:r>
        <w:rPr>
          <w:spacing w:val="-7"/>
          <w:sz w:val="20"/>
        </w:rPr>
        <w:t> </w:t>
      </w:r>
      <w:r>
        <w:rPr>
          <w:sz w:val="20"/>
        </w:rPr>
        <w:t>Bank</w:t>
      </w:r>
      <w:r>
        <w:rPr>
          <w:spacing w:val="-6"/>
          <w:sz w:val="20"/>
        </w:rPr>
        <w:t> </w:t>
      </w:r>
      <w:r>
        <w:rPr>
          <w:sz w:val="20"/>
        </w:rPr>
        <w:t>and</w:t>
      </w:r>
      <w:r>
        <w:rPr>
          <w:spacing w:val="-9"/>
          <w:sz w:val="20"/>
        </w:rPr>
        <w:t> </w:t>
      </w:r>
      <w:r>
        <w:rPr>
          <w:sz w:val="20"/>
        </w:rPr>
        <w:t>the</w:t>
      </w:r>
      <w:r>
        <w:rPr>
          <w:spacing w:val="-8"/>
          <w:sz w:val="20"/>
        </w:rPr>
        <w:t> </w:t>
      </w:r>
      <w:r>
        <w:rPr>
          <w:sz w:val="20"/>
        </w:rPr>
        <w:t>FCA</w:t>
      </w:r>
      <w:r>
        <w:rPr>
          <w:spacing w:val="-5"/>
          <w:sz w:val="20"/>
        </w:rPr>
        <w:t> </w:t>
      </w:r>
      <w:r>
        <w:rPr>
          <w:sz w:val="20"/>
        </w:rPr>
        <w:t>had</w:t>
      </w:r>
      <w:r>
        <w:rPr>
          <w:spacing w:val="-9"/>
          <w:sz w:val="20"/>
        </w:rPr>
        <w:t> </w:t>
      </w:r>
      <w:r>
        <w:rPr>
          <w:sz w:val="20"/>
        </w:rPr>
        <w:t>jointly</w:t>
      </w:r>
      <w:r>
        <w:rPr>
          <w:spacing w:val="-13"/>
          <w:sz w:val="20"/>
        </w:rPr>
        <w:t> </w:t>
      </w:r>
      <w:r>
        <w:rPr>
          <w:sz w:val="20"/>
        </w:rPr>
        <w:t>sent</w:t>
      </w:r>
      <w:r>
        <w:rPr>
          <w:spacing w:val="-7"/>
          <w:sz w:val="20"/>
        </w:rPr>
        <w:t> </w:t>
      </w:r>
      <w:r>
        <w:rPr>
          <w:sz w:val="20"/>
        </w:rPr>
        <w:t>letters</w:t>
      </w:r>
      <w:r>
        <w:rPr>
          <w:spacing w:val="-6"/>
          <w:sz w:val="20"/>
        </w:rPr>
        <w:t> </w:t>
      </w:r>
      <w:r>
        <w:rPr>
          <w:sz w:val="20"/>
        </w:rPr>
        <w:t>to</w:t>
      </w:r>
      <w:r>
        <w:rPr>
          <w:spacing w:val="-4"/>
          <w:sz w:val="20"/>
        </w:rPr>
        <w:t> </w:t>
      </w:r>
      <w:r>
        <w:rPr>
          <w:sz w:val="20"/>
        </w:rPr>
        <w:t>large</w:t>
      </w:r>
      <w:r>
        <w:rPr>
          <w:spacing w:val="-7"/>
          <w:sz w:val="20"/>
        </w:rPr>
        <w:t> </w:t>
      </w:r>
      <w:r>
        <w:rPr>
          <w:sz w:val="20"/>
        </w:rPr>
        <w:t>liquidity providers to confirm commitments to streaming executable prices in OIS markets. From February 2020,</w:t>
      </w:r>
      <w:r>
        <w:rPr>
          <w:spacing w:val="-12"/>
          <w:sz w:val="20"/>
        </w:rPr>
        <w:t> </w:t>
      </w:r>
      <w:r>
        <w:rPr>
          <w:sz w:val="20"/>
        </w:rPr>
        <w:t>market</w:t>
      </w:r>
      <w:r>
        <w:rPr>
          <w:spacing w:val="-14"/>
          <w:sz w:val="20"/>
        </w:rPr>
        <w:t> </w:t>
      </w:r>
      <w:r>
        <w:rPr>
          <w:sz w:val="20"/>
        </w:rPr>
        <w:t>making</w:t>
      </w:r>
      <w:r>
        <w:rPr>
          <w:spacing w:val="-12"/>
          <w:sz w:val="20"/>
        </w:rPr>
        <w:t> </w:t>
      </w:r>
      <w:r>
        <w:rPr>
          <w:sz w:val="20"/>
        </w:rPr>
        <w:t>firms</w:t>
      </w:r>
      <w:r>
        <w:rPr>
          <w:spacing w:val="-9"/>
          <w:sz w:val="20"/>
        </w:rPr>
        <w:t> </w:t>
      </w:r>
      <w:r>
        <w:rPr>
          <w:sz w:val="20"/>
        </w:rPr>
        <w:t>had</w:t>
      </w:r>
      <w:r>
        <w:rPr>
          <w:spacing w:val="-12"/>
          <w:sz w:val="20"/>
        </w:rPr>
        <w:t> </w:t>
      </w:r>
      <w:r>
        <w:rPr>
          <w:sz w:val="20"/>
        </w:rPr>
        <w:t>committed</w:t>
      </w:r>
      <w:r>
        <w:rPr>
          <w:spacing w:val="-12"/>
          <w:sz w:val="20"/>
        </w:rPr>
        <w:t> </w:t>
      </w:r>
      <w:r>
        <w:rPr>
          <w:sz w:val="20"/>
        </w:rPr>
        <w:t>to</w:t>
      </w:r>
      <w:r>
        <w:rPr>
          <w:spacing w:val="-8"/>
          <w:sz w:val="20"/>
        </w:rPr>
        <w:t> </w:t>
      </w:r>
      <w:r>
        <w:rPr>
          <w:sz w:val="20"/>
        </w:rPr>
        <w:t>stream</w:t>
      </w:r>
      <w:r>
        <w:rPr>
          <w:spacing w:val="-7"/>
          <w:sz w:val="20"/>
        </w:rPr>
        <w:t> </w:t>
      </w:r>
      <w:r>
        <w:rPr>
          <w:sz w:val="20"/>
        </w:rPr>
        <w:t>executable</w:t>
      </w:r>
      <w:r>
        <w:rPr>
          <w:spacing w:val="-8"/>
          <w:sz w:val="20"/>
        </w:rPr>
        <w:t> </w:t>
      </w:r>
      <w:r>
        <w:rPr>
          <w:sz w:val="20"/>
        </w:rPr>
        <w:t>quotes</w:t>
      </w:r>
      <w:r>
        <w:rPr>
          <w:spacing w:val="-11"/>
          <w:sz w:val="20"/>
        </w:rPr>
        <w:t> </w:t>
      </w:r>
      <w:r>
        <w:rPr>
          <w:sz w:val="20"/>
        </w:rPr>
        <w:t>for</w:t>
      </w:r>
      <w:r>
        <w:rPr>
          <w:spacing w:val="-11"/>
          <w:sz w:val="20"/>
        </w:rPr>
        <w:t> </w:t>
      </w:r>
      <w:r>
        <w:rPr>
          <w:sz w:val="20"/>
        </w:rPr>
        <w:t>1,</w:t>
      </w:r>
      <w:r>
        <w:rPr>
          <w:spacing w:val="-12"/>
          <w:sz w:val="20"/>
        </w:rPr>
        <w:t> </w:t>
      </w:r>
      <w:r>
        <w:rPr>
          <w:sz w:val="20"/>
        </w:rPr>
        <w:t>3</w:t>
      </w:r>
      <w:r>
        <w:rPr>
          <w:spacing w:val="-9"/>
          <w:sz w:val="20"/>
        </w:rPr>
        <w:t> </w:t>
      </w:r>
      <w:r>
        <w:rPr>
          <w:sz w:val="20"/>
        </w:rPr>
        <w:t>and</w:t>
      </w:r>
      <w:r>
        <w:rPr>
          <w:spacing w:val="-10"/>
          <w:sz w:val="20"/>
        </w:rPr>
        <w:t> </w:t>
      </w:r>
      <w:r>
        <w:rPr>
          <w:sz w:val="20"/>
        </w:rPr>
        <w:t>6</w:t>
      </w:r>
      <w:r>
        <w:rPr>
          <w:spacing w:val="-12"/>
          <w:sz w:val="20"/>
        </w:rPr>
        <w:t> </w:t>
      </w:r>
      <w:r>
        <w:rPr>
          <w:sz w:val="20"/>
        </w:rPr>
        <w:t>month</w:t>
      </w:r>
      <w:r>
        <w:rPr>
          <w:spacing w:val="-12"/>
          <w:sz w:val="20"/>
        </w:rPr>
        <w:t> </w:t>
      </w:r>
      <w:r>
        <w:rPr>
          <w:sz w:val="20"/>
        </w:rPr>
        <w:t>SONIA OIS,</w:t>
      </w:r>
      <w:r>
        <w:rPr>
          <w:spacing w:val="-9"/>
          <w:sz w:val="20"/>
        </w:rPr>
        <w:t> </w:t>
      </w:r>
      <w:r>
        <w:rPr>
          <w:sz w:val="20"/>
        </w:rPr>
        <w:t>supporting</w:t>
      </w:r>
      <w:r>
        <w:rPr>
          <w:spacing w:val="-8"/>
          <w:sz w:val="20"/>
        </w:rPr>
        <w:t> </w:t>
      </w:r>
      <w:r>
        <w:rPr>
          <w:sz w:val="20"/>
        </w:rPr>
        <w:t>the</w:t>
      </w:r>
      <w:r>
        <w:rPr>
          <w:spacing w:val="-8"/>
          <w:sz w:val="20"/>
        </w:rPr>
        <w:t> </w:t>
      </w:r>
      <w:r>
        <w:rPr>
          <w:sz w:val="20"/>
        </w:rPr>
        <w:t>beginning</w:t>
      </w:r>
      <w:r>
        <w:rPr>
          <w:spacing w:val="-8"/>
          <w:sz w:val="20"/>
        </w:rPr>
        <w:t> </w:t>
      </w:r>
      <w:r>
        <w:rPr>
          <w:sz w:val="20"/>
        </w:rPr>
        <w:t>of</w:t>
      </w:r>
      <w:r>
        <w:rPr>
          <w:spacing w:val="-6"/>
          <w:sz w:val="20"/>
        </w:rPr>
        <w:t> </w:t>
      </w:r>
      <w:r>
        <w:rPr>
          <w:sz w:val="20"/>
        </w:rPr>
        <w:t>a</w:t>
      </w:r>
      <w:r>
        <w:rPr>
          <w:spacing w:val="-8"/>
          <w:sz w:val="20"/>
        </w:rPr>
        <w:t> </w:t>
      </w:r>
      <w:r>
        <w:rPr>
          <w:sz w:val="20"/>
        </w:rPr>
        <w:t>testing</w:t>
      </w:r>
      <w:r>
        <w:rPr>
          <w:spacing w:val="-8"/>
          <w:sz w:val="20"/>
        </w:rPr>
        <w:t> </w:t>
      </w:r>
      <w:r>
        <w:rPr>
          <w:sz w:val="20"/>
        </w:rPr>
        <w:t>period</w:t>
      </w:r>
      <w:r>
        <w:rPr>
          <w:spacing w:val="-8"/>
          <w:sz w:val="20"/>
        </w:rPr>
        <w:t> </w:t>
      </w:r>
      <w:r>
        <w:rPr>
          <w:sz w:val="20"/>
        </w:rPr>
        <w:t>for</w:t>
      </w:r>
      <w:r>
        <w:rPr>
          <w:spacing w:val="-3"/>
          <w:sz w:val="20"/>
        </w:rPr>
        <w:t> </w:t>
      </w:r>
      <w:r>
        <w:rPr>
          <w:sz w:val="20"/>
        </w:rPr>
        <w:t>forward-looking</w:t>
      </w:r>
      <w:r>
        <w:rPr>
          <w:spacing w:val="-8"/>
          <w:sz w:val="20"/>
        </w:rPr>
        <w:t> </w:t>
      </w:r>
      <w:r>
        <w:rPr>
          <w:sz w:val="20"/>
        </w:rPr>
        <w:t>term</w:t>
      </w:r>
      <w:r>
        <w:rPr>
          <w:spacing w:val="-5"/>
          <w:sz w:val="20"/>
        </w:rPr>
        <w:t> </w:t>
      </w:r>
      <w:r>
        <w:rPr>
          <w:sz w:val="20"/>
        </w:rPr>
        <w:t>rates</w:t>
      </w:r>
      <w:r>
        <w:rPr>
          <w:spacing w:val="-7"/>
          <w:sz w:val="20"/>
        </w:rPr>
        <w:t> </w:t>
      </w:r>
      <w:r>
        <w:rPr>
          <w:sz w:val="20"/>
        </w:rPr>
        <w:t>using</w:t>
      </w:r>
      <w:r>
        <w:rPr>
          <w:spacing w:val="-6"/>
          <w:sz w:val="20"/>
        </w:rPr>
        <w:t> </w:t>
      </w:r>
      <w:r>
        <w:rPr>
          <w:sz w:val="20"/>
        </w:rPr>
        <w:t>these</w:t>
      </w:r>
      <w:r>
        <w:rPr>
          <w:spacing w:val="-8"/>
          <w:sz w:val="20"/>
        </w:rPr>
        <w:t> </w:t>
      </w:r>
      <w:r>
        <w:rPr>
          <w:sz w:val="20"/>
        </w:rPr>
        <w:t>quotes. The timing for live production of these rates would be kept under review and was initially expected to commence around Q3 2020. The potential administrators and the platforms had been informed of these developments and the letter would be made available</w:t>
      </w:r>
      <w:r>
        <w:rPr>
          <w:spacing w:val="-3"/>
          <w:sz w:val="20"/>
        </w:rPr>
        <w:t> </w:t>
      </w:r>
      <w:r>
        <w:rPr>
          <w:sz w:val="20"/>
        </w:rPr>
        <w:t>publically.</w:t>
      </w:r>
    </w:p>
    <w:p>
      <w:pPr>
        <w:pStyle w:val="Heading2"/>
        <w:spacing w:before="123"/>
      </w:pPr>
      <w:r>
        <w:rPr/>
        <w:t>Presentations from loan system vendors</w:t>
      </w:r>
    </w:p>
    <w:p>
      <w:pPr>
        <w:pStyle w:val="BodyText"/>
        <w:spacing w:before="3"/>
        <w:ind w:left="0" w:firstLine="0"/>
        <w:rPr>
          <w:b/>
        </w:rPr>
      </w:pPr>
    </w:p>
    <w:p>
      <w:pPr>
        <w:pStyle w:val="ListParagraph"/>
        <w:numPr>
          <w:ilvl w:val="0"/>
          <w:numId w:val="2"/>
        </w:numPr>
        <w:tabs>
          <w:tab w:pos="481" w:val="left" w:leader="none"/>
        </w:tabs>
        <w:spacing w:line="360" w:lineRule="auto" w:before="0" w:after="0"/>
        <w:ind w:left="480" w:right="118" w:hanging="360"/>
        <w:jc w:val="both"/>
        <w:rPr>
          <w:sz w:val="20"/>
        </w:rPr>
      </w:pPr>
      <w:r>
        <w:rPr>
          <w:sz w:val="20"/>
        </w:rPr>
        <w:t>The Working Group invited representatives from loan system vendors, FIS (ACBS) and Finastra (LoanIQ),</w:t>
      </w:r>
      <w:r>
        <w:rPr>
          <w:spacing w:val="-15"/>
          <w:sz w:val="20"/>
        </w:rPr>
        <w:t> </w:t>
      </w:r>
      <w:r>
        <w:rPr>
          <w:sz w:val="20"/>
        </w:rPr>
        <w:t>to</w:t>
      </w:r>
      <w:r>
        <w:rPr>
          <w:spacing w:val="-15"/>
          <w:sz w:val="20"/>
        </w:rPr>
        <w:t> </w:t>
      </w:r>
      <w:r>
        <w:rPr>
          <w:sz w:val="20"/>
        </w:rPr>
        <w:t>present</w:t>
      </w:r>
      <w:r>
        <w:rPr>
          <w:spacing w:val="-14"/>
          <w:sz w:val="20"/>
        </w:rPr>
        <w:t> </w:t>
      </w:r>
      <w:r>
        <w:rPr>
          <w:sz w:val="20"/>
        </w:rPr>
        <w:t>their</w:t>
      </w:r>
      <w:r>
        <w:rPr>
          <w:spacing w:val="-16"/>
          <w:sz w:val="20"/>
        </w:rPr>
        <w:t> </w:t>
      </w:r>
      <w:r>
        <w:rPr>
          <w:sz w:val="20"/>
        </w:rPr>
        <w:t>timetable</w:t>
      </w:r>
      <w:r>
        <w:rPr>
          <w:spacing w:val="-18"/>
          <w:sz w:val="20"/>
        </w:rPr>
        <w:t> </w:t>
      </w:r>
      <w:r>
        <w:rPr>
          <w:sz w:val="20"/>
        </w:rPr>
        <w:t>for</w:t>
      </w:r>
      <w:r>
        <w:rPr>
          <w:spacing w:val="-16"/>
          <w:sz w:val="20"/>
        </w:rPr>
        <w:t> </w:t>
      </w:r>
      <w:r>
        <w:rPr>
          <w:sz w:val="20"/>
        </w:rPr>
        <w:t>developing</w:t>
      </w:r>
      <w:r>
        <w:rPr>
          <w:spacing w:val="-15"/>
          <w:sz w:val="20"/>
        </w:rPr>
        <w:t> </w:t>
      </w:r>
      <w:r>
        <w:rPr>
          <w:sz w:val="20"/>
        </w:rPr>
        <w:t>systems</w:t>
      </w:r>
      <w:r>
        <w:rPr>
          <w:spacing w:val="-12"/>
          <w:sz w:val="20"/>
        </w:rPr>
        <w:t> </w:t>
      </w:r>
      <w:r>
        <w:rPr>
          <w:sz w:val="20"/>
        </w:rPr>
        <w:t>to</w:t>
      </w:r>
      <w:r>
        <w:rPr>
          <w:spacing w:val="-14"/>
          <w:sz w:val="20"/>
        </w:rPr>
        <w:t> </w:t>
      </w:r>
      <w:r>
        <w:rPr>
          <w:sz w:val="20"/>
        </w:rPr>
        <w:t>lend</w:t>
      </w:r>
      <w:r>
        <w:rPr>
          <w:spacing w:val="-15"/>
          <w:sz w:val="20"/>
        </w:rPr>
        <w:t> </w:t>
      </w:r>
      <w:r>
        <w:rPr>
          <w:sz w:val="20"/>
        </w:rPr>
        <w:t>using</w:t>
      </w:r>
      <w:r>
        <w:rPr>
          <w:spacing w:val="-16"/>
          <w:sz w:val="20"/>
        </w:rPr>
        <w:t> </w:t>
      </w:r>
      <w:r>
        <w:rPr>
          <w:sz w:val="20"/>
        </w:rPr>
        <w:t>compounded</w:t>
      </w:r>
      <w:r>
        <w:rPr>
          <w:spacing w:val="-15"/>
          <w:sz w:val="20"/>
        </w:rPr>
        <w:t> </w:t>
      </w:r>
      <w:r>
        <w:rPr>
          <w:sz w:val="20"/>
        </w:rPr>
        <w:t>rates.</w:t>
      </w:r>
      <w:r>
        <w:rPr>
          <w:spacing w:val="-14"/>
          <w:sz w:val="20"/>
        </w:rPr>
        <w:t> </w:t>
      </w:r>
      <w:r>
        <w:rPr>
          <w:sz w:val="20"/>
        </w:rPr>
        <w:t>Shanin Clark presented on behalf of FIS and Robert Downs for</w:t>
      </w:r>
      <w:r>
        <w:rPr>
          <w:spacing w:val="6"/>
          <w:sz w:val="20"/>
        </w:rPr>
        <w:t> </w:t>
      </w:r>
      <w:r>
        <w:rPr>
          <w:sz w:val="20"/>
        </w:rPr>
        <w:t>Finastra.</w:t>
      </w:r>
    </w:p>
    <w:p>
      <w:pPr>
        <w:pStyle w:val="ListParagraph"/>
        <w:numPr>
          <w:ilvl w:val="0"/>
          <w:numId w:val="2"/>
        </w:numPr>
        <w:tabs>
          <w:tab w:pos="481" w:val="left" w:leader="none"/>
        </w:tabs>
        <w:spacing w:line="360" w:lineRule="auto" w:before="120" w:after="0"/>
        <w:ind w:left="480" w:right="115" w:hanging="360"/>
        <w:jc w:val="both"/>
        <w:rPr>
          <w:sz w:val="20"/>
        </w:rPr>
      </w:pPr>
      <w:r>
        <w:rPr>
          <w:sz w:val="20"/>
        </w:rPr>
        <w:t>FIS stressed that LIBOR cessation is a top priority when developing systems. The product would provide functionality for compounding in arrears with a lookback, focused on bilateral loans, and is currently in a testing phase with initial availability scheduled for March 2020. Implementation was expected to take between 3 and 12 months. Two further phases of development would consider more variables in calculation methodologies. A lack of consensus in market conventions was cited as a key impediment to development, particularly in terms of syndicated</w:t>
      </w:r>
      <w:r>
        <w:rPr>
          <w:spacing w:val="-13"/>
          <w:sz w:val="20"/>
        </w:rPr>
        <w:t> </w:t>
      </w:r>
      <w:r>
        <w:rPr>
          <w:sz w:val="20"/>
        </w:rPr>
        <w:t>loans.</w:t>
      </w:r>
    </w:p>
    <w:p>
      <w:pPr>
        <w:pStyle w:val="ListParagraph"/>
        <w:numPr>
          <w:ilvl w:val="0"/>
          <w:numId w:val="2"/>
        </w:numPr>
        <w:tabs>
          <w:tab w:pos="481" w:val="left" w:leader="none"/>
        </w:tabs>
        <w:spacing w:line="360" w:lineRule="auto" w:before="121" w:after="0"/>
        <w:ind w:left="480" w:right="117" w:hanging="360"/>
        <w:jc w:val="both"/>
        <w:rPr>
          <w:sz w:val="20"/>
        </w:rPr>
      </w:pPr>
      <w:r>
        <w:rPr>
          <w:sz w:val="20"/>
        </w:rPr>
        <w:t>Finastra was implementing a range of features based on observed conventions in RFRs and their expectations for where the market would converge from client engagement. As further standards emerge, further functionality or changes may be needed, or even optionality could be scaled back to</w:t>
      </w:r>
      <w:r>
        <w:rPr>
          <w:spacing w:val="-11"/>
          <w:sz w:val="20"/>
        </w:rPr>
        <w:t> </w:t>
      </w:r>
      <w:r>
        <w:rPr>
          <w:sz w:val="20"/>
        </w:rPr>
        <w:t>reduce</w:t>
      </w:r>
      <w:r>
        <w:rPr>
          <w:spacing w:val="-9"/>
          <w:sz w:val="20"/>
        </w:rPr>
        <w:t> </w:t>
      </w:r>
      <w:r>
        <w:rPr>
          <w:sz w:val="20"/>
        </w:rPr>
        <w:t>operational</w:t>
      </w:r>
      <w:r>
        <w:rPr>
          <w:spacing w:val="-8"/>
          <w:sz w:val="20"/>
        </w:rPr>
        <w:t> </w:t>
      </w:r>
      <w:r>
        <w:rPr>
          <w:sz w:val="20"/>
        </w:rPr>
        <w:t>risk.</w:t>
      </w:r>
      <w:r>
        <w:rPr>
          <w:spacing w:val="-6"/>
          <w:sz w:val="20"/>
        </w:rPr>
        <w:t> </w:t>
      </w:r>
      <w:r>
        <w:rPr>
          <w:sz w:val="20"/>
        </w:rPr>
        <w:t>But</w:t>
      </w:r>
      <w:r>
        <w:rPr>
          <w:spacing w:val="-10"/>
          <w:sz w:val="20"/>
        </w:rPr>
        <w:t> </w:t>
      </w:r>
      <w:r>
        <w:rPr>
          <w:sz w:val="20"/>
        </w:rPr>
        <w:t>Finastra</w:t>
      </w:r>
      <w:r>
        <w:rPr>
          <w:spacing w:val="-10"/>
          <w:sz w:val="20"/>
        </w:rPr>
        <w:t> </w:t>
      </w:r>
      <w:r>
        <w:rPr>
          <w:sz w:val="20"/>
        </w:rPr>
        <w:t>found</w:t>
      </w:r>
      <w:r>
        <w:rPr>
          <w:spacing w:val="-8"/>
          <w:sz w:val="20"/>
        </w:rPr>
        <w:t> </w:t>
      </w:r>
      <w:r>
        <w:rPr>
          <w:sz w:val="20"/>
        </w:rPr>
        <w:t>the</w:t>
      </w:r>
      <w:r>
        <w:rPr>
          <w:spacing w:val="-9"/>
          <w:sz w:val="20"/>
        </w:rPr>
        <w:t> </w:t>
      </w:r>
      <w:r>
        <w:rPr>
          <w:sz w:val="20"/>
        </w:rPr>
        <w:t>upcoming</w:t>
      </w:r>
      <w:r>
        <w:rPr>
          <w:spacing w:val="-10"/>
          <w:sz w:val="20"/>
        </w:rPr>
        <w:t> </w:t>
      </w:r>
      <w:r>
        <w:rPr>
          <w:sz w:val="20"/>
        </w:rPr>
        <w:t>update</w:t>
      </w:r>
      <w:r>
        <w:rPr>
          <w:spacing w:val="-7"/>
          <w:sz w:val="20"/>
        </w:rPr>
        <w:t> </w:t>
      </w:r>
      <w:r>
        <w:rPr>
          <w:sz w:val="20"/>
        </w:rPr>
        <w:t>would</w:t>
      </w:r>
      <w:r>
        <w:rPr>
          <w:spacing w:val="-7"/>
          <w:sz w:val="20"/>
        </w:rPr>
        <w:t> </w:t>
      </w:r>
      <w:r>
        <w:rPr>
          <w:sz w:val="20"/>
        </w:rPr>
        <w:t>provide</w:t>
      </w:r>
      <w:r>
        <w:rPr>
          <w:spacing w:val="-8"/>
          <w:sz w:val="20"/>
        </w:rPr>
        <w:t> </w:t>
      </w:r>
      <w:r>
        <w:rPr>
          <w:sz w:val="20"/>
        </w:rPr>
        <w:t>a</w:t>
      </w:r>
      <w:r>
        <w:rPr>
          <w:spacing w:val="-9"/>
          <w:sz w:val="20"/>
        </w:rPr>
        <w:t> </w:t>
      </w:r>
      <w:r>
        <w:rPr>
          <w:sz w:val="20"/>
        </w:rPr>
        <w:t>flexible</w:t>
      </w:r>
      <w:r>
        <w:rPr>
          <w:spacing w:val="-9"/>
          <w:sz w:val="20"/>
        </w:rPr>
        <w:t> </w:t>
      </w:r>
      <w:r>
        <w:rPr>
          <w:sz w:val="20"/>
        </w:rPr>
        <w:t>starting point. A new version was expected to be delivered by end-November, with implementation taking 6-18 months. The two main methodologies used were continuous compounding and</w:t>
      </w:r>
      <w:r>
        <w:rPr>
          <w:spacing w:val="-40"/>
          <w:sz w:val="20"/>
        </w:rPr>
        <w:t> </w:t>
      </w:r>
      <w:r>
        <w:rPr>
          <w:sz w:val="20"/>
        </w:rPr>
        <w:t>compounding with a daily fixing. Conventions and pricing options could be configured by loan rather than the region or currency in which it is logged in, and syndicated loans were designed on a similar model to bilateral</w:t>
      </w:r>
      <w:r>
        <w:rPr>
          <w:spacing w:val="-4"/>
          <w:sz w:val="20"/>
        </w:rPr>
        <w:t> </w:t>
      </w:r>
      <w:r>
        <w:rPr>
          <w:sz w:val="20"/>
        </w:rPr>
        <w:t>loans.</w:t>
      </w:r>
    </w:p>
    <w:p>
      <w:pPr>
        <w:pStyle w:val="Heading2"/>
        <w:spacing w:before="119"/>
      </w:pPr>
      <w:r>
        <w:rPr/>
        <w:t>Infrastructure Update</w:t>
      </w:r>
    </w:p>
    <w:p>
      <w:pPr>
        <w:pStyle w:val="BodyText"/>
        <w:spacing w:before="6"/>
        <w:ind w:left="0" w:firstLine="0"/>
        <w:rPr>
          <w:b/>
        </w:rPr>
      </w:pPr>
    </w:p>
    <w:p>
      <w:pPr>
        <w:pStyle w:val="ListParagraph"/>
        <w:numPr>
          <w:ilvl w:val="0"/>
          <w:numId w:val="2"/>
        </w:numPr>
        <w:tabs>
          <w:tab w:pos="481" w:val="left" w:leader="none"/>
        </w:tabs>
        <w:spacing w:line="360" w:lineRule="auto" w:before="0" w:after="0"/>
        <w:ind w:left="480" w:right="115" w:hanging="360"/>
        <w:jc w:val="both"/>
        <w:rPr>
          <w:sz w:val="20"/>
        </w:rPr>
      </w:pPr>
      <w:r>
        <w:rPr>
          <w:sz w:val="20"/>
        </w:rPr>
        <w:t>The Infrastructure sub-group issued a joint survey with the Association of Treasurers (ACT) to Treasury</w:t>
      </w:r>
      <w:r>
        <w:rPr>
          <w:spacing w:val="-11"/>
          <w:sz w:val="20"/>
        </w:rPr>
        <w:t> </w:t>
      </w:r>
      <w:r>
        <w:rPr>
          <w:sz w:val="20"/>
        </w:rPr>
        <w:t>Management</w:t>
      </w:r>
      <w:r>
        <w:rPr>
          <w:spacing w:val="-5"/>
          <w:sz w:val="20"/>
        </w:rPr>
        <w:t> </w:t>
      </w:r>
      <w:r>
        <w:rPr>
          <w:sz w:val="20"/>
        </w:rPr>
        <w:t>System</w:t>
      </w:r>
      <w:r>
        <w:rPr>
          <w:spacing w:val="1"/>
          <w:sz w:val="20"/>
        </w:rPr>
        <w:t> </w:t>
      </w:r>
      <w:r>
        <w:rPr>
          <w:sz w:val="20"/>
        </w:rPr>
        <w:t>(TMS)</w:t>
      </w:r>
      <w:r>
        <w:rPr>
          <w:spacing w:val="-4"/>
          <w:sz w:val="20"/>
        </w:rPr>
        <w:t> </w:t>
      </w:r>
      <w:r>
        <w:rPr>
          <w:sz w:val="20"/>
        </w:rPr>
        <w:t>providers,</w:t>
      </w:r>
      <w:r>
        <w:rPr>
          <w:spacing w:val="-5"/>
          <w:sz w:val="20"/>
        </w:rPr>
        <w:t> </w:t>
      </w:r>
      <w:r>
        <w:rPr>
          <w:sz w:val="20"/>
        </w:rPr>
        <w:t>to</w:t>
      </w:r>
      <w:r>
        <w:rPr>
          <w:spacing w:val="-3"/>
          <w:sz w:val="20"/>
        </w:rPr>
        <w:t> </w:t>
      </w:r>
      <w:r>
        <w:rPr>
          <w:sz w:val="20"/>
        </w:rPr>
        <w:t>gauge</w:t>
      </w:r>
      <w:r>
        <w:rPr>
          <w:spacing w:val="-6"/>
          <w:sz w:val="20"/>
        </w:rPr>
        <w:t> </w:t>
      </w:r>
      <w:r>
        <w:rPr>
          <w:sz w:val="20"/>
        </w:rPr>
        <w:t>their</w:t>
      </w:r>
      <w:r>
        <w:rPr>
          <w:spacing w:val="-3"/>
          <w:sz w:val="20"/>
        </w:rPr>
        <w:t> </w:t>
      </w:r>
      <w:r>
        <w:rPr>
          <w:sz w:val="20"/>
        </w:rPr>
        <w:t>preparedness</w:t>
      </w:r>
      <w:r>
        <w:rPr>
          <w:spacing w:val="-4"/>
          <w:sz w:val="20"/>
        </w:rPr>
        <w:t> </w:t>
      </w:r>
      <w:r>
        <w:rPr>
          <w:sz w:val="20"/>
        </w:rPr>
        <w:t>in</w:t>
      </w:r>
      <w:r>
        <w:rPr>
          <w:spacing w:val="-6"/>
          <w:sz w:val="20"/>
        </w:rPr>
        <w:t> </w:t>
      </w:r>
      <w:r>
        <w:rPr>
          <w:sz w:val="20"/>
        </w:rPr>
        <w:t>supporting</w:t>
      </w:r>
      <w:r>
        <w:rPr>
          <w:spacing w:val="-4"/>
          <w:sz w:val="20"/>
        </w:rPr>
        <w:t> </w:t>
      </w:r>
      <w:r>
        <w:rPr>
          <w:sz w:val="20"/>
        </w:rPr>
        <w:t>LIBOR transition, such as raising awareness with clients and undertaking the necessary infrastructure changes to support compounded</w:t>
      </w:r>
      <w:r>
        <w:rPr>
          <w:spacing w:val="-4"/>
          <w:sz w:val="20"/>
        </w:rPr>
        <w:t> </w:t>
      </w:r>
      <w:r>
        <w:rPr>
          <w:sz w:val="20"/>
        </w:rPr>
        <w:t>rates.</w:t>
      </w:r>
    </w:p>
    <w:p>
      <w:pPr>
        <w:spacing w:after="0" w:line="360" w:lineRule="auto"/>
        <w:jc w:val="both"/>
        <w:rPr>
          <w:sz w:val="20"/>
        </w:rPr>
        <w:sectPr>
          <w:pgSz w:w="11910" w:h="16840"/>
          <w:pgMar w:top="1340" w:bottom="280" w:left="1320" w:right="1320"/>
        </w:sectPr>
      </w:pPr>
    </w:p>
    <w:p>
      <w:pPr>
        <w:pStyle w:val="ListParagraph"/>
        <w:numPr>
          <w:ilvl w:val="0"/>
          <w:numId w:val="2"/>
        </w:numPr>
        <w:tabs>
          <w:tab w:pos="481" w:val="left" w:leader="none"/>
        </w:tabs>
        <w:spacing w:line="360" w:lineRule="auto" w:before="81" w:after="0"/>
        <w:ind w:left="480" w:right="125" w:hanging="360"/>
        <w:jc w:val="left"/>
        <w:rPr>
          <w:sz w:val="20"/>
        </w:rPr>
      </w:pPr>
      <w:r>
        <w:rPr>
          <w:sz w:val="20"/>
        </w:rPr>
        <w:t>Positively, the majority of TMS respondents indicated they had identified the necessary infrastructure</w:t>
      </w:r>
      <w:r>
        <w:rPr>
          <w:spacing w:val="-5"/>
          <w:sz w:val="20"/>
        </w:rPr>
        <w:t> </w:t>
      </w:r>
      <w:r>
        <w:rPr>
          <w:sz w:val="20"/>
        </w:rPr>
        <w:t>changes</w:t>
      </w:r>
      <w:r>
        <w:rPr>
          <w:spacing w:val="-1"/>
          <w:sz w:val="20"/>
        </w:rPr>
        <w:t> </w:t>
      </w:r>
      <w:r>
        <w:rPr>
          <w:sz w:val="20"/>
        </w:rPr>
        <w:t>to</w:t>
      </w:r>
      <w:r>
        <w:rPr>
          <w:spacing w:val="-4"/>
          <w:sz w:val="20"/>
        </w:rPr>
        <w:t> </w:t>
      </w:r>
      <w:r>
        <w:rPr>
          <w:sz w:val="20"/>
        </w:rPr>
        <w:t>be</w:t>
      </w:r>
      <w:r>
        <w:rPr>
          <w:spacing w:val="-5"/>
          <w:sz w:val="20"/>
        </w:rPr>
        <w:t> </w:t>
      </w:r>
      <w:r>
        <w:rPr>
          <w:sz w:val="20"/>
        </w:rPr>
        <w:t>made</w:t>
      </w:r>
      <w:r>
        <w:rPr>
          <w:spacing w:val="-6"/>
          <w:sz w:val="20"/>
        </w:rPr>
        <w:t> </w:t>
      </w:r>
      <w:r>
        <w:rPr>
          <w:sz w:val="20"/>
        </w:rPr>
        <w:t>and</w:t>
      </w:r>
      <w:r>
        <w:rPr>
          <w:spacing w:val="-3"/>
          <w:sz w:val="20"/>
        </w:rPr>
        <w:t> </w:t>
      </w:r>
      <w:r>
        <w:rPr>
          <w:sz w:val="20"/>
        </w:rPr>
        <w:t>had</w:t>
      </w:r>
      <w:r>
        <w:rPr>
          <w:spacing w:val="-6"/>
          <w:sz w:val="20"/>
        </w:rPr>
        <w:t> </w:t>
      </w:r>
      <w:r>
        <w:rPr>
          <w:sz w:val="20"/>
        </w:rPr>
        <w:t>established</w:t>
      </w:r>
      <w:r>
        <w:rPr>
          <w:spacing w:val="-5"/>
          <w:sz w:val="20"/>
        </w:rPr>
        <w:t> </w:t>
      </w:r>
      <w:r>
        <w:rPr>
          <w:sz w:val="20"/>
        </w:rPr>
        <w:t>appropriate</w:t>
      </w:r>
      <w:r>
        <w:rPr>
          <w:spacing w:val="-6"/>
          <w:sz w:val="20"/>
        </w:rPr>
        <w:t> </w:t>
      </w:r>
      <w:r>
        <w:rPr>
          <w:sz w:val="20"/>
        </w:rPr>
        <w:t>governance</w:t>
      </w:r>
      <w:r>
        <w:rPr>
          <w:spacing w:val="-2"/>
          <w:sz w:val="20"/>
        </w:rPr>
        <w:t> </w:t>
      </w:r>
      <w:r>
        <w:rPr>
          <w:sz w:val="20"/>
        </w:rPr>
        <w:t>and</w:t>
      </w:r>
      <w:r>
        <w:rPr>
          <w:spacing w:val="-3"/>
          <w:sz w:val="20"/>
        </w:rPr>
        <w:t> </w:t>
      </w:r>
      <w:r>
        <w:rPr>
          <w:sz w:val="20"/>
        </w:rPr>
        <w:t>project</w:t>
      </w:r>
      <w:r>
        <w:rPr>
          <w:spacing w:val="-4"/>
          <w:sz w:val="20"/>
        </w:rPr>
        <w:t> </w:t>
      </w:r>
      <w:r>
        <w:rPr>
          <w:sz w:val="20"/>
        </w:rPr>
        <w:t>plans.</w:t>
      </w:r>
    </w:p>
    <w:p>
      <w:pPr>
        <w:pStyle w:val="ListParagraph"/>
        <w:numPr>
          <w:ilvl w:val="0"/>
          <w:numId w:val="2"/>
        </w:numPr>
        <w:tabs>
          <w:tab w:pos="481" w:val="left" w:leader="none"/>
        </w:tabs>
        <w:spacing w:line="360" w:lineRule="auto" w:before="119" w:after="0"/>
        <w:ind w:left="480" w:right="116" w:hanging="360"/>
        <w:jc w:val="left"/>
        <w:rPr>
          <w:sz w:val="20"/>
        </w:rPr>
      </w:pPr>
      <w:r>
        <w:rPr>
          <w:sz w:val="20"/>
        </w:rPr>
        <w:t>The Working Group have invited TMS providers to speak at the Infrastructure Sub-group, with a key emphasis on gaining insight on any barriers they</w:t>
      </w:r>
      <w:r>
        <w:rPr>
          <w:spacing w:val="-9"/>
          <w:sz w:val="20"/>
        </w:rPr>
        <w:t> </w:t>
      </w:r>
      <w:r>
        <w:rPr>
          <w:sz w:val="20"/>
        </w:rPr>
        <w:t>face.</w:t>
      </w:r>
    </w:p>
    <w:p>
      <w:pPr>
        <w:pStyle w:val="Heading2"/>
        <w:spacing w:before="121"/>
        <w:jc w:val="left"/>
      </w:pPr>
      <w:r>
        <w:rPr/>
        <w:t>Term Rate Use Case Task Force</w:t>
      </w:r>
    </w:p>
    <w:p>
      <w:pPr>
        <w:pStyle w:val="BodyText"/>
        <w:spacing w:before="3"/>
        <w:ind w:left="0" w:firstLine="0"/>
        <w:rPr>
          <w:b/>
        </w:rPr>
      </w:pPr>
    </w:p>
    <w:p>
      <w:pPr>
        <w:pStyle w:val="ListParagraph"/>
        <w:numPr>
          <w:ilvl w:val="0"/>
          <w:numId w:val="2"/>
        </w:numPr>
        <w:tabs>
          <w:tab w:pos="481" w:val="left" w:leader="none"/>
        </w:tabs>
        <w:spacing w:line="360" w:lineRule="auto" w:before="1" w:after="0"/>
        <w:ind w:left="480" w:right="115" w:hanging="360"/>
        <w:jc w:val="both"/>
        <w:rPr>
          <w:sz w:val="20"/>
        </w:rPr>
      </w:pPr>
      <w:r>
        <w:rPr>
          <w:sz w:val="20"/>
        </w:rPr>
        <w:t>The Task Force presented initial findings from its work on appropriate use cases for term rates in sterling markets. This estimates that 90% of LIBOR lending in sterling by value could be moved to compounded</w:t>
      </w:r>
      <w:r>
        <w:rPr>
          <w:spacing w:val="-12"/>
          <w:sz w:val="20"/>
        </w:rPr>
        <w:t> </w:t>
      </w:r>
      <w:r>
        <w:rPr>
          <w:sz w:val="20"/>
        </w:rPr>
        <w:t>in</w:t>
      </w:r>
      <w:r>
        <w:rPr>
          <w:spacing w:val="-13"/>
          <w:sz w:val="20"/>
        </w:rPr>
        <w:t> </w:t>
      </w:r>
      <w:r>
        <w:rPr>
          <w:sz w:val="20"/>
        </w:rPr>
        <w:t>arrears.</w:t>
      </w:r>
      <w:r>
        <w:rPr>
          <w:spacing w:val="-15"/>
          <w:sz w:val="20"/>
        </w:rPr>
        <w:t> </w:t>
      </w:r>
      <w:r>
        <w:rPr>
          <w:sz w:val="20"/>
        </w:rPr>
        <w:t>This</w:t>
      </w:r>
      <w:r>
        <w:rPr>
          <w:spacing w:val="-14"/>
          <w:sz w:val="20"/>
        </w:rPr>
        <w:t> </w:t>
      </w:r>
      <w:r>
        <w:rPr>
          <w:sz w:val="20"/>
        </w:rPr>
        <w:t>portion</w:t>
      </w:r>
      <w:r>
        <w:rPr>
          <w:spacing w:val="-13"/>
          <w:sz w:val="20"/>
        </w:rPr>
        <w:t> </w:t>
      </w:r>
      <w:r>
        <w:rPr>
          <w:sz w:val="20"/>
        </w:rPr>
        <w:t>would</w:t>
      </w:r>
      <w:r>
        <w:rPr>
          <w:spacing w:val="-13"/>
          <w:sz w:val="20"/>
        </w:rPr>
        <w:t> </w:t>
      </w:r>
      <w:r>
        <w:rPr>
          <w:sz w:val="20"/>
        </w:rPr>
        <w:t>include</w:t>
      </w:r>
      <w:r>
        <w:rPr>
          <w:spacing w:val="-13"/>
          <w:sz w:val="20"/>
        </w:rPr>
        <w:t> </w:t>
      </w:r>
      <w:r>
        <w:rPr>
          <w:sz w:val="20"/>
        </w:rPr>
        <w:t>all</w:t>
      </w:r>
      <w:r>
        <w:rPr>
          <w:spacing w:val="-13"/>
          <w:sz w:val="20"/>
        </w:rPr>
        <w:t> </w:t>
      </w:r>
      <w:r>
        <w:rPr>
          <w:sz w:val="20"/>
        </w:rPr>
        <w:t>lending</w:t>
      </w:r>
      <w:r>
        <w:rPr>
          <w:spacing w:val="-11"/>
          <w:sz w:val="20"/>
        </w:rPr>
        <w:t> </w:t>
      </w:r>
      <w:r>
        <w:rPr>
          <w:sz w:val="20"/>
        </w:rPr>
        <w:t>to</w:t>
      </w:r>
      <w:r>
        <w:rPr>
          <w:spacing w:val="-15"/>
          <w:sz w:val="20"/>
        </w:rPr>
        <w:t> </w:t>
      </w:r>
      <w:r>
        <w:rPr>
          <w:sz w:val="20"/>
        </w:rPr>
        <w:t>mid-to-large</w:t>
      </w:r>
      <w:r>
        <w:rPr>
          <w:spacing w:val="-14"/>
          <w:sz w:val="20"/>
        </w:rPr>
        <w:t> </w:t>
      </w:r>
      <w:r>
        <w:rPr>
          <w:sz w:val="20"/>
        </w:rPr>
        <w:t>corporates</w:t>
      </w:r>
      <w:r>
        <w:rPr>
          <w:spacing w:val="-14"/>
          <w:sz w:val="20"/>
        </w:rPr>
        <w:t> </w:t>
      </w:r>
      <w:r>
        <w:rPr>
          <w:sz w:val="20"/>
        </w:rPr>
        <w:t>and</w:t>
      </w:r>
      <w:r>
        <w:rPr>
          <w:spacing w:val="-13"/>
          <w:sz w:val="20"/>
        </w:rPr>
        <w:t> </w:t>
      </w:r>
      <w:r>
        <w:rPr>
          <w:sz w:val="20"/>
        </w:rPr>
        <w:t>public- sector institutions. The remaining 10% by value, consisting of smaller corporates and retail clients, could use a range of other options. These included Bank Rate, a fixed rate or a SONIA term rate. A term rate was also thought to be a cost-efficient solution for legacy LIBOR loans with a term that extends shortly past end</w:t>
      </w:r>
      <w:r>
        <w:rPr>
          <w:spacing w:val="-3"/>
          <w:sz w:val="20"/>
        </w:rPr>
        <w:t> </w:t>
      </w:r>
      <w:r>
        <w:rPr>
          <w:sz w:val="20"/>
        </w:rPr>
        <w:t>2021.</w:t>
      </w:r>
    </w:p>
    <w:p>
      <w:pPr>
        <w:pStyle w:val="ListParagraph"/>
        <w:numPr>
          <w:ilvl w:val="0"/>
          <w:numId w:val="2"/>
        </w:numPr>
        <w:tabs>
          <w:tab w:pos="481" w:val="left" w:leader="none"/>
        </w:tabs>
        <w:spacing w:line="360" w:lineRule="auto" w:before="122" w:after="0"/>
        <w:ind w:left="480" w:right="117" w:hanging="360"/>
        <w:jc w:val="both"/>
        <w:rPr>
          <w:sz w:val="20"/>
        </w:rPr>
      </w:pPr>
      <w:r>
        <w:rPr>
          <w:sz w:val="20"/>
        </w:rPr>
        <w:t>To</w:t>
      </w:r>
      <w:r>
        <w:rPr>
          <w:spacing w:val="-8"/>
          <w:sz w:val="20"/>
        </w:rPr>
        <w:t> </w:t>
      </w:r>
      <w:r>
        <w:rPr>
          <w:sz w:val="20"/>
        </w:rPr>
        <w:t>support</w:t>
      </w:r>
      <w:r>
        <w:rPr>
          <w:spacing w:val="-8"/>
          <w:sz w:val="20"/>
        </w:rPr>
        <w:t> </w:t>
      </w:r>
      <w:r>
        <w:rPr>
          <w:sz w:val="20"/>
        </w:rPr>
        <w:t>the</w:t>
      </w:r>
      <w:r>
        <w:rPr>
          <w:spacing w:val="-11"/>
          <w:sz w:val="20"/>
        </w:rPr>
        <w:t> </w:t>
      </w:r>
      <w:r>
        <w:rPr>
          <w:sz w:val="20"/>
        </w:rPr>
        <w:t>Working</w:t>
      </w:r>
      <w:r>
        <w:rPr>
          <w:spacing w:val="-8"/>
          <w:sz w:val="20"/>
        </w:rPr>
        <w:t> </w:t>
      </w:r>
      <w:r>
        <w:rPr>
          <w:sz w:val="20"/>
        </w:rPr>
        <w:t>Group’s</w:t>
      </w:r>
      <w:r>
        <w:rPr>
          <w:spacing w:val="-7"/>
          <w:sz w:val="20"/>
        </w:rPr>
        <w:t> </w:t>
      </w:r>
      <w:r>
        <w:rPr>
          <w:sz w:val="20"/>
        </w:rPr>
        <w:t>target</w:t>
      </w:r>
      <w:r>
        <w:rPr>
          <w:spacing w:val="-6"/>
          <w:sz w:val="20"/>
        </w:rPr>
        <w:t> </w:t>
      </w:r>
      <w:r>
        <w:rPr>
          <w:sz w:val="20"/>
        </w:rPr>
        <w:t>to</w:t>
      </w:r>
      <w:r>
        <w:rPr>
          <w:spacing w:val="-6"/>
          <w:sz w:val="20"/>
        </w:rPr>
        <w:t> </w:t>
      </w:r>
      <w:r>
        <w:rPr>
          <w:sz w:val="20"/>
        </w:rPr>
        <w:t>cease</w:t>
      </w:r>
      <w:r>
        <w:rPr>
          <w:spacing w:val="-5"/>
          <w:sz w:val="20"/>
        </w:rPr>
        <w:t> </w:t>
      </w:r>
      <w:r>
        <w:rPr>
          <w:sz w:val="20"/>
        </w:rPr>
        <w:t>new</w:t>
      </w:r>
      <w:r>
        <w:rPr>
          <w:spacing w:val="-8"/>
          <w:sz w:val="20"/>
        </w:rPr>
        <w:t> </w:t>
      </w:r>
      <w:r>
        <w:rPr>
          <w:sz w:val="20"/>
        </w:rPr>
        <w:t>issuance</w:t>
      </w:r>
      <w:r>
        <w:rPr>
          <w:spacing w:val="-6"/>
          <w:sz w:val="20"/>
        </w:rPr>
        <w:t> </w:t>
      </w:r>
      <w:r>
        <w:rPr>
          <w:sz w:val="20"/>
        </w:rPr>
        <w:t>of</w:t>
      </w:r>
      <w:r>
        <w:rPr>
          <w:spacing w:val="-6"/>
          <w:sz w:val="20"/>
        </w:rPr>
        <w:t> </w:t>
      </w:r>
      <w:r>
        <w:rPr>
          <w:sz w:val="20"/>
        </w:rPr>
        <w:t>GBP</w:t>
      </w:r>
      <w:r>
        <w:rPr>
          <w:spacing w:val="-6"/>
          <w:sz w:val="20"/>
        </w:rPr>
        <w:t> </w:t>
      </w:r>
      <w:r>
        <w:rPr>
          <w:sz w:val="20"/>
        </w:rPr>
        <w:t>LIBOR-linked</w:t>
      </w:r>
      <w:r>
        <w:rPr>
          <w:spacing w:val="-8"/>
          <w:sz w:val="20"/>
        </w:rPr>
        <w:t> </w:t>
      </w:r>
      <w:r>
        <w:rPr>
          <w:sz w:val="20"/>
        </w:rPr>
        <w:t>cash</w:t>
      </w:r>
      <w:r>
        <w:rPr>
          <w:spacing w:val="-7"/>
          <w:sz w:val="20"/>
        </w:rPr>
        <w:t> </w:t>
      </w:r>
      <w:r>
        <w:rPr>
          <w:sz w:val="20"/>
        </w:rPr>
        <w:t>products by Q3 2020, a Loans Enabler Task Force would be set up to bring together communications, infrastructure and documentation expertise. It was noted that awareness of LIBOR transition remained low outside of large corporations. Significant effort would be needed to educate these users due to the large numbers of smaller borrowers.</w:t>
      </w:r>
    </w:p>
    <w:p>
      <w:pPr>
        <w:pStyle w:val="ListParagraph"/>
        <w:numPr>
          <w:ilvl w:val="0"/>
          <w:numId w:val="2"/>
        </w:numPr>
        <w:tabs>
          <w:tab w:pos="481" w:val="left" w:leader="none"/>
        </w:tabs>
        <w:spacing w:line="360" w:lineRule="auto" w:before="119" w:after="0"/>
        <w:ind w:left="480" w:right="119" w:hanging="360"/>
        <w:jc w:val="both"/>
        <w:rPr>
          <w:sz w:val="20"/>
        </w:rPr>
      </w:pPr>
      <w:r>
        <w:rPr>
          <w:sz w:val="20"/>
        </w:rPr>
        <w:t>Participants</w:t>
      </w:r>
      <w:r>
        <w:rPr>
          <w:spacing w:val="-12"/>
          <w:sz w:val="20"/>
        </w:rPr>
        <w:t> </w:t>
      </w:r>
      <w:r>
        <w:rPr>
          <w:sz w:val="20"/>
        </w:rPr>
        <w:t>also</w:t>
      </w:r>
      <w:r>
        <w:rPr>
          <w:spacing w:val="-9"/>
          <w:sz w:val="20"/>
        </w:rPr>
        <w:t> </w:t>
      </w:r>
      <w:r>
        <w:rPr>
          <w:sz w:val="20"/>
        </w:rPr>
        <w:t>noted</w:t>
      </w:r>
      <w:r>
        <w:rPr>
          <w:spacing w:val="-10"/>
          <w:sz w:val="20"/>
        </w:rPr>
        <w:t> </w:t>
      </w:r>
      <w:r>
        <w:rPr>
          <w:sz w:val="20"/>
        </w:rPr>
        <w:t>a</w:t>
      </w:r>
      <w:r>
        <w:rPr>
          <w:spacing w:val="-9"/>
          <w:sz w:val="20"/>
        </w:rPr>
        <w:t> </w:t>
      </w:r>
      <w:r>
        <w:rPr>
          <w:sz w:val="20"/>
        </w:rPr>
        <w:t>desire</w:t>
      </w:r>
      <w:r>
        <w:rPr>
          <w:spacing w:val="-13"/>
          <w:sz w:val="20"/>
        </w:rPr>
        <w:t> </w:t>
      </w:r>
      <w:r>
        <w:rPr>
          <w:sz w:val="20"/>
        </w:rPr>
        <w:t>for</w:t>
      </w:r>
      <w:r>
        <w:rPr>
          <w:spacing w:val="-11"/>
          <w:sz w:val="20"/>
        </w:rPr>
        <w:t> </w:t>
      </w:r>
      <w:r>
        <w:rPr>
          <w:sz w:val="20"/>
        </w:rPr>
        <w:t>clear,</w:t>
      </w:r>
      <w:r>
        <w:rPr>
          <w:spacing w:val="-9"/>
          <w:sz w:val="20"/>
        </w:rPr>
        <w:t> </w:t>
      </w:r>
      <w:r>
        <w:rPr>
          <w:sz w:val="20"/>
        </w:rPr>
        <w:t>free-to-use</w:t>
      </w:r>
      <w:r>
        <w:rPr>
          <w:spacing w:val="-13"/>
          <w:sz w:val="20"/>
        </w:rPr>
        <w:t> </w:t>
      </w:r>
      <w:r>
        <w:rPr>
          <w:sz w:val="20"/>
        </w:rPr>
        <w:t>calculators</w:t>
      </w:r>
      <w:r>
        <w:rPr>
          <w:spacing w:val="-10"/>
          <w:sz w:val="20"/>
        </w:rPr>
        <w:t> </w:t>
      </w:r>
      <w:r>
        <w:rPr>
          <w:sz w:val="20"/>
        </w:rPr>
        <w:t>to</w:t>
      </w:r>
      <w:r>
        <w:rPr>
          <w:spacing w:val="-12"/>
          <w:sz w:val="20"/>
        </w:rPr>
        <w:t> </w:t>
      </w:r>
      <w:r>
        <w:rPr>
          <w:sz w:val="20"/>
        </w:rPr>
        <w:t>support</w:t>
      </w:r>
      <w:r>
        <w:rPr>
          <w:spacing w:val="-10"/>
          <w:sz w:val="20"/>
        </w:rPr>
        <w:t> </w:t>
      </w:r>
      <w:r>
        <w:rPr>
          <w:sz w:val="20"/>
        </w:rPr>
        <w:t>end-user</w:t>
      </w:r>
      <w:r>
        <w:rPr>
          <w:spacing w:val="-11"/>
          <w:sz w:val="20"/>
        </w:rPr>
        <w:t> </w:t>
      </w:r>
      <w:r>
        <w:rPr>
          <w:sz w:val="20"/>
        </w:rPr>
        <w:t>understanding of compounded interest. Consistency of methodologies was important for clarity</w:t>
      </w:r>
      <w:r>
        <w:rPr>
          <w:spacing w:val="-6"/>
          <w:sz w:val="20"/>
        </w:rPr>
        <w:t> </w:t>
      </w:r>
      <w:r>
        <w:rPr>
          <w:sz w:val="20"/>
        </w:rPr>
        <w:t>here.</w:t>
      </w:r>
    </w:p>
    <w:p>
      <w:pPr>
        <w:pStyle w:val="Heading2"/>
        <w:spacing w:before="121"/>
      </w:pPr>
      <w:r>
        <w:rPr/>
        <w:t>Credit adjustment spread consultation paper for cash products</w:t>
      </w:r>
    </w:p>
    <w:p>
      <w:pPr>
        <w:pStyle w:val="BodyText"/>
        <w:spacing w:before="3"/>
        <w:ind w:left="0" w:firstLine="0"/>
        <w:rPr>
          <w:b/>
        </w:rPr>
      </w:pPr>
    </w:p>
    <w:p>
      <w:pPr>
        <w:pStyle w:val="ListParagraph"/>
        <w:numPr>
          <w:ilvl w:val="0"/>
          <w:numId w:val="2"/>
        </w:numPr>
        <w:tabs>
          <w:tab w:pos="481" w:val="left" w:leader="none"/>
        </w:tabs>
        <w:spacing w:line="360" w:lineRule="auto" w:before="0" w:after="0"/>
        <w:ind w:left="480" w:right="112" w:hanging="360"/>
        <w:jc w:val="both"/>
        <w:rPr>
          <w:sz w:val="20"/>
        </w:rPr>
      </w:pPr>
      <w:r>
        <w:rPr>
          <w:sz w:val="20"/>
        </w:rPr>
        <w:t>Members were updated on progress in developing the Working Group’s planned consultation on credit</w:t>
      </w:r>
      <w:r>
        <w:rPr>
          <w:spacing w:val="-12"/>
          <w:sz w:val="20"/>
        </w:rPr>
        <w:t> </w:t>
      </w:r>
      <w:r>
        <w:rPr>
          <w:sz w:val="20"/>
        </w:rPr>
        <w:t>spread</w:t>
      </w:r>
      <w:r>
        <w:rPr>
          <w:spacing w:val="-12"/>
          <w:sz w:val="20"/>
        </w:rPr>
        <w:t> </w:t>
      </w:r>
      <w:r>
        <w:rPr>
          <w:sz w:val="20"/>
        </w:rPr>
        <w:t>adjustments</w:t>
      </w:r>
      <w:r>
        <w:rPr>
          <w:spacing w:val="-11"/>
          <w:sz w:val="20"/>
        </w:rPr>
        <w:t> </w:t>
      </w:r>
      <w:r>
        <w:rPr>
          <w:sz w:val="20"/>
        </w:rPr>
        <w:t>for</w:t>
      </w:r>
      <w:r>
        <w:rPr>
          <w:spacing w:val="-11"/>
          <w:sz w:val="20"/>
        </w:rPr>
        <w:t> </w:t>
      </w:r>
      <w:r>
        <w:rPr>
          <w:sz w:val="20"/>
        </w:rPr>
        <w:t>use</w:t>
      </w:r>
      <w:r>
        <w:rPr>
          <w:spacing w:val="-12"/>
          <w:sz w:val="20"/>
        </w:rPr>
        <w:t> </w:t>
      </w:r>
      <w:r>
        <w:rPr>
          <w:sz w:val="20"/>
        </w:rPr>
        <w:t>in</w:t>
      </w:r>
      <w:r>
        <w:rPr>
          <w:spacing w:val="-12"/>
          <w:sz w:val="20"/>
        </w:rPr>
        <w:t> </w:t>
      </w:r>
      <w:r>
        <w:rPr>
          <w:sz w:val="20"/>
        </w:rPr>
        <w:t>fallbacks</w:t>
      </w:r>
      <w:r>
        <w:rPr>
          <w:spacing w:val="-10"/>
          <w:sz w:val="20"/>
        </w:rPr>
        <w:t> </w:t>
      </w:r>
      <w:r>
        <w:rPr>
          <w:sz w:val="20"/>
        </w:rPr>
        <w:t>for</w:t>
      </w:r>
      <w:r>
        <w:rPr>
          <w:spacing w:val="-11"/>
          <w:sz w:val="20"/>
        </w:rPr>
        <w:t> </w:t>
      </w:r>
      <w:r>
        <w:rPr>
          <w:sz w:val="20"/>
        </w:rPr>
        <w:t>GBP</w:t>
      </w:r>
      <w:r>
        <w:rPr>
          <w:spacing w:val="-12"/>
          <w:sz w:val="20"/>
        </w:rPr>
        <w:t> </w:t>
      </w:r>
      <w:r>
        <w:rPr>
          <w:sz w:val="20"/>
        </w:rPr>
        <w:t>cash</w:t>
      </w:r>
      <w:r>
        <w:rPr>
          <w:spacing w:val="-12"/>
          <w:sz w:val="20"/>
        </w:rPr>
        <w:t> </w:t>
      </w:r>
      <w:r>
        <w:rPr>
          <w:sz w:val="20"/>
        </w:rPr>
        <w:t>products.</w:t>
      </w:r>
      <w:r>
        <w:rPr>
          <w:spacing w:val="-6"/>
          <w:sz w:val="20"/>
        </w:rPr>
        <w:t> </w:t>
      </w:r>
      <w:r>
        <w:rPr>
          <w:sz w:val="20"/>
        </w:rPr>
        <w:t>The</w:t>
      </w:r>
      <w:r>
        <w:rPr>
          <w:spacing w:val="-12"/>
          <w:sz w:val="20"/>
        </w:rPr>
        <w:t> </w:t>
      </w:r>
      <w:r>
        <w:rPr>
          <w:sz w:val="20"/>
        </w:rPr>
        <w:t>scope</w:t>
      </w:r>
      <w:r>
        <w:rPr>
          <w:spacing w:val="-12"/>
          <w:sz w:val="20"/>
        </w:rPr>
        <w:t> </w:t>
      </w:r>
      <w:r>
        <w:rPr>
          <w:sz w:val="20"/>
        </w:rPr>
        <w:t>of</w:t>
      </w:r>
      <w:r>
        <w:rPr>
          <w:spacing w:val="-7"/>
          <w:sz w:val="20"/>
        </w:rPr>
        <w:t> </w:t>
      </w:r>
      <w:r>
        <w:rPr>
          <w:sz w:val="20"/>
        </w:rPr>
        <w:t>the</w:t>
      </w:r>
      <w:r>
        <w:rPr>
          <w:spacing w:val="-12"/>
          <w:sz w:val="20"/>
        </w:rPr>
        <w:t> </w:t>
      </w:r>
      <w:r>
        <w:rPr>
          <w:sz w:val="20"/>
        </w:rPr>
        <w:t>paper</w:t>
      </w:r>
      <w:r>
        <w:rPr>
          <w:spacing w:val="-8"/>
          <w:sz w:val="20"/>
        </w:rPr>
        <w:t> </w:t>
      </w:r>
      <w:r>
        <w:rPr>
          <w:sz w:val="20"/>
        </w:rPr>
        <w:t>would cover both cessation and pre-cessation triggers, and would explore whether the methodology agreed by ISDA for derivatives markets would be suitable for cash markets, or if alternatives were necessary. The paper remained on schedule for release by the end of the</w:t>
      </w:r>
      <w:r>
        <w:rPr>
          <w:spacing w:val="-10"/>
          <w:sz w:val="20"/>
        </w:rPr>
        <w:t> </w:t>
      </w:r>
      <w:r>
        <w:rPr>
          <w:sz w:val="20"/>
        </w:rPr>
        <w:t>year.</w:t>
      </w:r>
    </w:p>
    <w:p>
      <w:pPr>
        <w:pStyle w:val="ListParagraph"/>
        <w:numPr>
          <w:ilvl w:val="0"/>
          <w:numId w:val="2"/>
        </w:numPr>
        <w:tabs>
          <w:tab w:pos="481" w:val="left" w:leader="none"/>
        </w:tabs>
        <w:spacing w:line="360" w:lineRule="auto" w:before="121" w:after="0"/>
        <w:ind w:left="480" w:right="107" w:hanging="360"/>
        <w:jc w:val="both"/>
        <w:rPr>
          <w:sz w:val="20"/>
        </w:rPr>
      </w:pPr>
      <w:r>
        <w:rPr>
          <w:sz w:val="20"/>
        </w:rPr>
        <w:t>It was noted that the timeline for similar work from the Euro Working Group was longer, but it </w:t>
      </w:r>
      <w:r>
        <w:rPr>
          <w:spacing w:val="4"/>
          <w:sz w:val="20"/>
        </w:rPr>
        <w:t>may </w:t>
      </w:r>
      <w:r>
        <w:rPr>
          <w:sz w:val="20"/>
        </w:rPr>
        <w:t>later be able to build on the UK’s approach.</w:t>
      </w:r>
    </w:p>
    <w:p>
      <w:pPr>
        <w:pStyle w:val="Heading2"/>
        <w:spacing w:before="122"/>
      </w:pPr>
      <w:r>
        <w:rPr/>
        <w:t>Active transition of legacy stock - Cash Market Legacy Task Force</w:t>
      </w:r>
    </w:p>
    <w:p>
      <w:pPr>
        <w:pStyle w:val="BodyText"/>
        <w:spacing w:before="2"/>
        <w:ind w:left="0" w:firstLine="0"/>
        <w:rPr>
          <w:b/>
        </w:rPr>
      </w:pPr>
    </w:p>
    <w:p>
      <w:pPr>
        <w:pStyle w:val="ListParagraph"/>
        <w:numPr>
          <w:ilvl w:val="0"/>
          <w:numId w:val="2"/>
        </w:numPr>
        <w:tabs>
          <w:tab w:pos="481" w:val="left" w:leader="none"/>
        </w:tabs>
        <w:spacing w:line="352" w:lineRule="auto" w:before="0" w:after="0"/>
        <w:ind w:left="480" w:right="115" w:hanging="360"/>
        <w:jc w:val="both"/>
        <w:rPr>
          <w:rFonts w:ascii="Carlito"/>
          <w:sz w:val="22"/>
        </w:rPr>
      </w:pPr>
      <w:r>
        <w:rPr>
          <w:sz w:val="20"/>
        </w:rPr>
        <w:t>A</w:t>
      </w:r>
      <w:r>
        <w:rPr>
          <w:spacing w:val="-5"/>
          <w:sz w:val="20"/>
        </w:rPr>
        <w:t> </w:t>
      </w:r>
      <w:r>
        <w:rPr>
          <w:sz w:val="20"/>
        </w:rPr>
        <w:t>key</w:t>
      </w:r>
      <w:r>
        <w:rPr>
          <w:spacing w:val="-5"/>
          <w:sz w:val="20"/>
        </w:rPr>
        <w:t> </w:t>
      </w:r>
      <w:r>
        <w:rPr>
          <w:sz w:val="20"/>
        </w:rPr>
        <w:t>priority</w:t>
      </w:r>
      <w:r>
        <w:rPr>
          <w:spacing w:val="-7"/>
          <w:sz w:val="20"/>
        </w:rPr>
        <w:t> </w:t>
      </w:r>
      <w:r>
        <w:rPr>
          <w:sz w:val="20"/>
        </w:rPr>
        <w:t>for</w:t>
      </w:r>
      <w:r>
        <w:rPr>
          <w:spacing w:val="-1"/>
          <w:sz w:val="20"/>
        </w:rPr>
        <w:t> </w:t>
      </w:r>
      <w:r>
        <w:rPr>
          <w:sz w:val="20"/>
        </w:rPr>
        <w:t>the</w:t>
      </w:r>
      <w:r>
        <w:rPr>
          <w:spacing w:val="-7"/>
          <w:sz w:val="20"/>
        </w:rPr>
        <w:t> </w:t>
      </w:r>
      <w:r>
        <w:rPr>
          <w:sz w:val="20"/>
        </w:rPr>
        <w:t>Working</w:t>
      </w:r>
      <w:r>
        <w:rPr>
          <w:spacing w:val="-5"/>
          <w:sz w:val="20"/>
        </w:rPr>
        <w:t> </w:t>
      </w:r>
      <w:r>
        <w:rPr>
          <w:sz w:val="20"/>
        </w:rPr>
        <w:t>Group was to</w:t>
      </w:r>
      <w:r>
        <w:rPr>
          <w:spacing w:val="-2"/>
          <w:sz w:val="20"/>
        </w:rPr>
        <w:t> </w:t>
      </w:r>
      <w:r>
        <w:rPr>
          <w:sz w:val="20"/>
        </w:rPr>
        <w:t>provide</w:t>
      </w:r>
      <w:r>
        <w:rPr>
          <w:spacing w:val="-5"/>
          <w:sz w:val="20"/>
        </w:rPr>
        <w:t> </w:t>
      </w:r>
      <w:r>
        <w:rPr>
          <w:sz w:val="20"/>
        </w:rPr>
        <w:t>frameworks</w:t>
      </w:r>
      <w:r>
        <w:rPr>
          <w:spacing w:val="-3"/>
          <w:sz w:val="20"/>
        </w:rPr>
        <w:t> </w:t>
      </w:r>
      <w:r>
        <w:rPr>
          <w:sz w:val="20"/>
        </w:rPr>
        <w:t>and</w:t>
      </w:r>
      <w:r>
        <w:rPr>
          <w:spacing w:val="-1"/>
          <w:sz w:val="20"/>
        </w:rPr>
        <w:t> </w:t>
      </w:r>
      <w:r>
        <w:rPr>
          <w:sz w:val="20"/>
        </w:rPr>
        <w:t>information</w:t>
      </w:r>
      <w:r>
        <w:rPr>
          <w:spacing w:val="-5"/>
          <w:sz w:val="20"/>
        </w:rPr>
        <w:t> </w:t>
      </w:r>
      <w:r>
        <w:rPr>
          <w:sz w:val="20"/>
        </w:rPr>
        <w:t>to</w:t>
      </w:r>
      <w:r>
        <w:rPr>
          <w:spacing w:val="-2"/>
          <w:sz w:val="20"/>
        </w:rPr>
        <w:t> </w:t>
      </w:r>
      <w:r>
        <w:rPr>
          <w:sz w:val="20"/>
        </w:rPr>
        <w:t>help</w:t>
      </w:r>
      <w:r>
        <w:rPr>
          <w:spacing w:val="-2"/>
          <w:sz w:val="20"/>
        </w:rPr>
        <w:t> </w:t>
      </w:r>
      <w:r>
        <w:rPr>
          <w:sz w:val="20"/>
        </w:rPr>
        <w:t>enable</w:t>
      </w:r>
      <w:r>
        <w:rPr>
          <w:spacing w:val="-4"/>
          <w:sz w:val="20"/>
        </w:rPr>
        <w:t> </w:t>
      </w:r>
      <w:r>
        <w:rPr>
          <w:sz w:val="20"/>
        </w:rPr>
        <w:t>the transition of legacy cash products, including through a planned working paper in this area. A new taskforce would be formed to undertake this work, to be chaired by Alexandre Papadacci (AXA Insurance). The Terms of Reference and membership for this Task Force would be developed in the coming weeks. Expressions of interest to join the group were invited, seeking expertise</w:t>
      </w:r>
      <w:r>
        <w:rPr>
          <w:spacing w:val="-20"/>
          <w:sz w:val="20"/>
        </w:rPr>
        <w:t> </w:t>
      </w:r>
      <w:r>
        <w:rPr>
          <w:sz w:val="20"/>
        </w:rPr>
        <w:t>across</w:t>
      </w:r>
    </w:p>
    <w:p>
      <w:pPr>
        <w:pStyle w:val="BodyText"/>
        <w:spacing w:before="1"/>
        <w:ind w:firstLine="0"/>
        <w:jc w:val="both"/>
      </w:pPr>
      <w:r>
        <w:rPr/>
        <w:t>a range of markets including both bonds and loans.</w:t>
      </w:r>
    </w:p>
    <w:p>
      <w:pPr>
        <w:pStyle w:val="BodyText"/>
        <w:spacing w:before="6"/>
        <w:ind w:left="0" w:firstLine="0"/>
      </w:pPr>
    </w:p>
    <w:p>
      <w:pPr>
        <w:pStyle w:val="Heading2"/>
        <w:jc w:val="left"/>
      </w:pPr>
      <w:r>
        <w:rPr/>
        <w:t>Identifying issues around the tough legacy - Tough Legacy Task Force</w:t>
      </w:r>
    </w:p>
    <w:p>
      <w:pPr>
        <w:spacing w:after="0"/>
        <w:jc w:val="left"/>
        <w:sectPr>
          <w:pgSz w:w="11910" w:h="16840"/>
          <w:pgMar w:top="1340" w:bottom="280" w:left="1320" w:right="1320"/>
        </w:sectPr>
      </w:pPr>
    </w:p>
    <w:p>
      <w:pPr>
        <w:pStyle w:val="ListParagraph"/>
        <w:numPr>
          <w:ilvl w:val="0"/>
          <w:numId w:val="2"/>
        </w:numPr>
        <w:tabs>
          <w:tab w:pos="481" w:val="left" w:leader="none"/>
        </w:tabs>
        <w:spacing w:line="360" w:lineRule="auto" w:before="81" w:after="0"/>
        <w:ind w:left="480" w:right="113" w:hanging="360"/>
        <w:jc w:val="both"/>
        <w:rPr>
          <w:sz w:val="20"/>
        </w:rPr>
      </w:pPr>
      <w:r>
        <w:rPr>
          <w:sz w:val="20"/>
        </w:rPr>
        <w:t>The Task Force Chair, Richard Fox (FCA), reminded members who wished to join the new Task Force</w:t>
      </w:r>
      <w:r>
        <w:rPr>
          <w:spacing w:val="-15"/>
          <w:sz w:val="20"/>
        </w:rPr>
        <w:t> </w:t>
      </w:r>
      <w:r>
        <w:rPr>
          <w:sz w:val="20"/>
        </w:rPr>
        <w:t>to</w:t>
      </w:r>
      <w:r>
        <w:rPr>
          <w:spacing w:val="-13"/>
          <w:sz w:val="20"/>
        </w:rPr>
        <w:t> </w:t>
      </w:r>
      <w:r>
        <w:rPr>
          <w:sz w:val="20"/>
        </w:rPr>
        <w:t>inform</w:t>
      </w:r>
      <w:r>
        <w:rPr>
          <w:spacing w:val="-10"/>
          <w:sz w:val="20"/>
        </w:rPr>
        <w:t> </w:t>
      </w:r>
      <w:r>
        <w:rPr>
          <w:sz w:val="20"/>
        </w:rPr>
        <w:t>the</w:t>
      </w:r>
      <w:r>
        <w:rPr>
          <w:spacing w:val="-15"/>
          <w:sz w:val="20"/>
        </w:rPr>
        <w:t> </w:t>
      </w:r>
      <w:r>
        <w:rPr>
          <w:sz w:val="20"/>
        </w:rPr>
        <w:t>RFR</w:t>
      </w:r>
      <w:r>
        <w:rPr>
          <w:spacing w:val="-12"/>
          <w:sz w:val="20"/>
        </w:rPr>
        <w:t> </w:t>
      </w:r>
      <w:r>
        <w:rPr>
          <w:sz w:val="20"/>
        </w:rPr>
        <w:t>Secretariat.</w:t>
      </w:r>
      <w:r>
        <w:rPr>
          <w:spacing w:val="-12"/>
          <w:sz w:val="20"/>
        </w:rPr>
        <w:t> </w:t>
      </w:r>
      <w:r>
        <w:rPr>
          <w:sz w:val="20"/>
        </w:rPr>
        <w:t>This</w:t>
      </w:r>
      <w:r>
        <w:rPr>
          <w:spacing w:val="-13"/>
          <w:sz w:val="20"/>
        </w:rPr>
        <w:t> </w:t>
      </w:r>
      <w:r>
        <w:rPr>
          <w:sz w:val="20"/>
        </w:rPr>
        <w:t>Task</w:t>
      </w:r>
      <w:r>
        <w:rPr>
          <w:spacing w:val="-11"/>
          <w:sz w:val="20"/>
        </w:rPr>
        <w:t> </w:t>
      </w:r>
      <w:r>
        <w:rPr>
          <w:sz w:val="20"/>
        </w:rPr>
        <w:t>Force</w:t>
      </w:r>
      <w:r>
        <w:rPr>
          <w:spacing w:val="-14"/>
          <w:sz w:val="20"/>
        </w:rPr>
        <w:t> </w:t>
      </w:r>
      <w:r>
        <w:rPr>
          <w:sz w:val="20"/>
        </w:rPr>
        <w:t>will</w:t>
      </w:r>
      <w:r>
        <w:rPr>
          <w:spacing w:val="-16"/>
          <w:sz w:val="20"/>
        </w:rPr>
        <w:t> </w:t>
      </w:r>
      <w:r>
        <w:rPr>
          <w:sz w:val="20"/>
        </w:rPr>
        <w:t>evolve</w:t>
      </w:r>
      <w:r>
        <w:rPr>
          <w:spacing w:val="-15"/>
          <w:sz w:val="20"/>
        </w:rPr>
        <w:t> </w:t>
      </w:r>
      <w:r>
        <w:rPr>
          <w:sz w:val="20"/>
        </w:rPr>
        <w:t>from</w:t>
      </w:r>
      <w:r>
        <w:rPr>
          <w:spacing w:val="-11"/>
          <w:sz w:val="20"/>
        </w:rPr>
        <w:t> </w:t>
      </w:r>
      <w:r>
        <w:rPr>
          <w:sz w:val="20"/>
        </w:rPr>
        <w:t>the</w:t>
      </w:r>
      <w:r>
        <w:rPr>
          <w:spacing w:val="-15"/>
          <w:sz w:val="20"/>
        </w:rPr>
        <w:t> </w:t>
      </w:r>
      <w:r>
        <w:rPr>
          <w:sz w:val="20"/>
        </w:rPr>
        <w:t>Regulatory</w:t>
      </w:r>
      <w:r>
        <w:rPr>
          <w:spacing w:val="-16"/>
          <w:sz w:val="20"/>
        </w:rPr>
        <w:t> </w:t>
      </w:r>
      <w:r>
        <w:rPr>
          <w:sz w:val="20"/>
        </w:rPr>
        <w:t>Dependencies Task Force to focus on identifying issues around those contracts that cannot transition via market based solutions. A call with members and a meeting will go ahead by January to scope</w:t>
      </w:r>
      <w:r>
        <w:rPr>
          <w:spacing w:val="-38"/>
          <w:sz w:val="20"/>
        </w:rPr>
        <w:t> </w:t>
      </w:r>
      <w:r>
        <w:rPr>
          <w:sz w:val="20"/>
        </w:rPr>
        <w:t>objectives. Observations from existing Task Force participants would be collated to form the initial basis of a report.</w:t>
      </w:r>
    </w:p>
    <w:p>
      <w:pPr>
        <w:pStyle w:val="ListParagraph"/>
        <w:numPr>
          <w:ilvl w:val="0"/>
          <w:numId w:val="2"/>
        </w:numPr>
        <w:tabs>
          <w:tab w:pos="481" w:val="left" w:leader="none"/>
        </w:tabs>
        <w:spacing w:line="360" w:lineRule="auto" w:before="119" w:after="0"/>
        <w:ind w:left="480" w:right="115" w:hanging="360"/>
        <w:jc w:val="both"/>
        <w:rPr>
          <w:sz w:val="20"/>
        </w:rPr>
      </w:pPr>
      <w:r>
        <w:rPr>
          <w:sz w:val="20"/>
        </w:rPr>
        <w:t>The FCA emphasised that the intention of this group was to provide a venue for input from market participants, responding to a call from Andrew Bailey for increased public debate in this area, but that market participants should not rely on the availability of an official sector safety</w:t>
      </w:r>
      <w:r>
        <w:rPr>
          <w:spacing w:val="-23"/>
          <w:sz w:val="20"/>
        </w:rPr>
        <w:t> </w:t>
      </w:r>
      <w:r>
        <w:rPr>
          <w:spacing w:val="2"/>
          <w:sz w:val="20"/>
        </w:rPr>
        <w:t>net.</w:t>
      </w:r>
    </w:p>
    <w:p>
      <w:pPr>
        <w:pStyle w:val="Heading2"/>
        <w:spacing w:before="122"/>
      </w:pPr>
      <w:r>
        <w:rPr/>
        <w:t>Communications &amp; Outreach Sub-Group</w:t>
      </w:r>
    </w:p>
    <w:p>
      <w:pPr>
        <w:pStyle w:val="BodyText"/>
        <w:spacing w:before="3"/>
        <w:ind w:left="0" w:firstLine="0"/>
        <w:rPr>
          <w:b/>
        </w:rPr>
      </w:pPr>
    </w:p>
    <w:p>
      <w:pPr>
        <w:pStyle w:val="ListParagraph"/>
        <w:numPr>
          <w:ilvl w:val="0"/>
          <w:numId w:val="2"/>
        </w:numPr>
        <w:tabs>
          <w:tab w:pos="481" w:val="left" w:leader="none"/>
        </w:tabs>
        <w:spacing w:line="360" w:lineRule="auto" w:before="0" w:after="0"/>
        <w:ind w:left="480" w:right="117" w:hanging="360"/>
        <w:jc w:val="both"/>
        <w:rPr>
          <w:sz w:val="20"/>
        </w:rPr>
      </w:pPr>
      <w:r>
        <w:rPr>
          <w:sz w:val="20"/>
        </w:rPr>
        <w:t>The Communications and Outreach Sub-Group proposed a list of objectives to support the RFR Working Group, and a steering group made up of communications experts. A draft factsheet had been produced for publication by the Working Group to raise awareness on LIBOR transition, aiming to reach a broad audience with information on what LIBOR transition means for</w:t>
      </w:r>
      <w:r>
        <w:rPr>
          <w:spacing w:val="-7"/>
          <w:sz w:val="20"/>
        </w:rPr>
        <w:t> </w:t>
      </w:r>
      <w:r>
        <w:rPr>
          <w:sz w:val="20"/>
        </w:rPr>
        <w:t>them.</w:t>
      </w:r>
    </w:p>
    <w:p>
      <w:pPr>
        <w:pStyle w:val="ListParagraph"/>
        <w:numPr>
          <w:ilvl w:val="0"/>
          <w:numId w:val="2"/>
        </w:numPr>
        <w:tabs>
          <w:tab w:pos="481" w:val="left" w:leader="none"/>
        </w:tabs>
        <w:spacing w:line="360" w:lineRule="auto" w:before="121" w:after="0"/>
        <w:ind w:left="480" w:right="116" w:hanging="360"/>
        <w:jc w:val="both"/>
        <w:rPr>
          <w:sz w:val="20"/>
        </w:rPr>
      </w:pPr>
      <w:r>
        <w:rPr>
          <w:sz w:val="20"/>
        </w:rPr>
        <w:t>Further means for outreach to smaller end users were discussed, including hosting an event with trade</w:t>
      </w:r>
      <w:r>
        <w:rPr>
          <w:spacing w:val="-8"/>
          <w:sz w:val="20"/>
        </w:rPr>
        <w:t> </w:t>
      </w:r>
      <w:r>
        <w:rPr>
          <w:sz w:val="20"/>
        </w:rPr>
        <w:t>associations</w:t>
      </w:r>
      <w:r>
        <w:rPr>
          <w:spacing w:val="-7"/>
          <w:sz w:val="20"/>
        </w:rPr>
        <w:t> </w:t>
      </w:r>
      <w:r>
        <w:rPr>
          <w:sz w:val="20"/>
        </w:rPr>
        <w:t>of</w:t>
      </w:r>
      <w:r>
        <w:rPr>
          <w:spacing w:val="-8"/>
          <w:sz w:val="20"/>
        </w:rPr>
        <w:t> </w:t>
      </w:r>
      <w:r>
        <w:rPr>
          <w:sz w:val="20"/>
        </w:rPr>
        <w:t>lawyers,</w:t>
      </w:r>
      <w:r>
        <w:rPr>
          <w:spacing w:val="-8"/>
          <w:sz w:val="20"/>
        </w:rPr>
        <w:t> </w:t>
      </w:r>
      <w:r>
        <w:rPr>
          <w:sz w:val="20"/>
        </w:rPr>
        <w:t>banks,</w:t>
      </w:r>
      <w:r>
        <w:rPr>
          <w:spacing w:val="-8"/>
          <w:sz w:val="20"/>
        </w:rPr>
        <w:t> </w:t>
      </w:r>
      <w:r>
        <w:rPr>
          <w:sz w:val="20"/>
        </w:rPr>
        <w:t>accountants</w:t>
      </w:r>
      <w:r>
        <w:rPr>
          <w:spacing w:val="-6"/>
          <w:sz w:val="20"/>
        </w:rPr>
        <w:t> </w:t>
      </w:r>
      <w:r>
        <w:rPr>
          <w:sz w:val="20"/>
        </w:rPr>
        <w:t>and</w:t>
      </w:r>
      <w:r>
        <w:rPr>
          <w:spacing w:val="-7"/>
          <w:sz w:val="20"/>
        </w:rPr>
        <w:t> </w:t>
      </w:r>
      <w:r>
        <w:rPr>
          <w:sz w:val="20"/>
        </w:rPr>
        <w:t>independent</w:t>
      </w:r>
      <w:r>
        <w:rPr>
          <w:spacing w:val="-7"/>
          <w:sz w:val="20"/>
        </w:rPr>
        <w:t> </w:t>
      </w:r>
      <w:r>
        <w:rPr>
          <w:sz w:val="20"/>
        </w:rPr>
        <w:t>financial</w:t>
      </w:r>
      <w:r>
        <w:rPr>
          <w:spacing w:val="-8"/>
          <w:sz w:val="20"/>
        </w:rPr>
        <w:t> </w:t>
      </w:r>
      <w:r>
        <w:rPr>
          <w:sz w:val="20"/>
        </w:rPr>
        <w:t>advisors.</w:t>
      </w:r>
      <w:r>
        <w:rPr>
          <w:spacing w:val="-9"/>
          <w:sz w:val="20"/>
        </w:rPr>
        <w:t> </w:t>
      </w:r>
      <w:r>
        <w:rPr>
          <w:sz w:val="20"/>
        </w:rPr>
        <w:t>A</w:t>
      </w:r>
      <w:r>
        <w:rPr>
          <w:spacing w:val="-7"/>
          <w:sz w:val="20"/>
        </w:rPr>
        <w:t> </w:t>
      </w:r>
      <w:r>
        <w:rPr>
          <w:sz w:val="20"/>
        </w:rPr>
        <w:t>budget</w:t>
      </w:r>
      <w:r>
        <w:rPr>
          <w:spacing w:val="-10"/>
          <w:sz w:val="20"/>
        </w:rPr>
        <w:t> </w:t>
      </w:r>
      <w:r>
        <w:rPr>
          <w:sz w:val="20"/>
        </w:rPr>
        <w:t>for a targeted communications campaign for end-users and small-to-medium firms (SMEs) was also proposed, including use of social media. Members shared initial views on funding models for such an</w:t>
      </w:r>
      <w:r>
        <w:rPr>
          <w:spacing w:val="-2"/>
          <w:sz w:val="20"/>
        </w:rPr>
        <w:t> </w:t>
      </w:r>
      <w:r>
        <w:rPr>
          <w:sz w:val="20"/>
        </w:rPr>
        <w:t>approach.</w:t>
      </w:r>
    </w:p>
    <w:p>
      <w:pPr>
        <w:pStyle w:val="Heading2"/>
        <w:spacing w:before="121"/>
      </w:pPr>
      <w:r>
        <w:rPr/>
        <w:t>Regulatory Dependencies Task Force Update</w:t>
      </w:r>
    </w:p>
    <w:p>
      <w:pPr>
        <w:pStyle w:val="BodyText"/>
        <w:spacing w:before="3"/>
        <w:ind w:left="0" w:firstLine="0"/>
        <w:rPr>
          <w:b/>
        </w:rPr>
      </w:pPr>
    </w:p>
    <w:p>
      <w:pPr>
        <w:pStyle w:val="ListParagraph"/>
        <w:numPr>
          <w:ilvl w:val="0"/>
          <w:numId w:val="2"/>
        </w:numPr>
        <w:tabs>
          <w:tab w:pos="481" w:val="left" w:leader="none"/>
        </w:tabs>
        <w:spacing w:line="360" w:lineRule="auto" w:before="0" w:after="0"/>
        <w:ind w:left="480" w:right="117" w:hanging="360"/>
        <w:jc w:val="both"/>
        <w:rPr>
          <w:sz w:val="20"/>
        </w:rPr>
      </w:pPr>
      <w:r>
        <w:rPr>
          <w:sz w:val="20"/>
        </w:rPr>
        <w:t>Members’</w:t>
      </w:r>
      <w:r>
        <w:rPr>
          <w:spacing w:val="-14"/>
          <w:sz w:val="20"/>
        </w:rPr>
        <w:t> </w:t>
      </w:r>
      <w:r>
        <w:rPr>
          <w:sz w:val="20"/>
        </w:rPr>
        <w:t>views</w:t>
      </w:r>
      <w:r>
        <w:rPr>
          <w:spacing w:val="-8"/>
          <w:sz w:val="20"/>
        </w:rPr>
        <w:t> </w:t>
      </w:r>
      <w:r>
        <w:rPr>
          <w:sz w:val="20"/>
        </w:rPr>
        <w:t>were</w:t>
      </w:r>
      <w:r>
        <w:rPr>
          <w:spacing w:val="-13"/>
          <w:sz w:val="20"/>
        </w:rPr>
        <w:t> </w:t>
      </w:r>
      <w:r>
        <w:rPr>
          <w:sz w:val="20"/>
        </w:rPr>
        <w:t>sought</w:t>
      </w:r>
      <w:r>
        <w:rPr>
          <w:spacing w:val="-12"/>
          <w:sz w:val="20"/>
        </w:rPr>
        <w:t> </w:t>
      </w:r>
      <w:r>
        <w:rPr>
          <w:sz w:val="20"/>
        </w:rPr>
        <w:t>on</w:t>
      </w:r>
      <w:r>
        <w:rPr>
          <w:spacing w:val="-13"/>
          <w:sz w:val="20"/>
        </w:rPr>
        <w:t> </w:t>
      </w:r>
      <w:r>
        <w:rPr>
          <w:sz w:val="20"/>
        </w:rPr>
        <w:t>a</w:t>
      </w:r>
      <w:r>
        <w:rPr>
          <w:spacing w:val="-10"/>
          <w:sz w:val="20"/>
        </w:rPr>
        <w:t> </w:t>
      </w:r>
      <w:r>
        <w:rPr>
          <w:sz w:val="20"/>
        </w:rPr>
        <w:t>draft</w:t>
      </w:r>
      <w:r>
        <w:rPr>
          <w:spacing w:val="-10"/>
          <w:sz w:val="20"/>
        </w:rPr>
        <w:t> </w:t>
      </w:r>
      <w:r>
        <w:rPr>
          <w:sz w:val="20"/>
        </w:rPr>
        <w:t>questions</w:t>
      </w:r>
      <w:r>
        <w:rPr>
          <w:spacing w:val="-10"/>
          <w:sz w:val="20"/>
        </w:rPr>
        <w:t> </w:t>
      </w:r>
      <w:r>
        <w:rPr>
          <w:sz w:val="20"/>
        </w:rPr>
        <w:t>and</w:t>
      </w:r>
      <w:r>
        <w:rPr>
          <w:spacing w:val="-10"/>
          <w:sz w:val="20"/>
        </w:rPr>
        <w:t> </w:t>
      </w:r>
      <w:r>
        <w:rPr>
          <w:sz w:val="20"/>
        </w:rPr>
        <w:t>answers</w:t>
      </w:r>
      <w:r>
        <w:rPr>
          <w:spacing w:val="-9"/>
          <w:sz w:val="20"/>
        </w:rPr>
        <w:t> </w:t>
      </w:r>
      <w:r>
        <w:rPr>
          <w:sz w:val="20"/>
        </w:rPr>
        <w:t>document</w:t>
      </w:r>
      <w:r>
        <w:rPr>
          <w:spacing w:val="-11"/>
          <w:sz w:val="20"/>
        </w:rPr>
        <w:t> </w:t>
      </w:r>
      <w:r>
        <w:rPr>
          <w:sz w:val="20"/>
        </w:rPr>
        <w:t>from</w:t>
      </w:r>
      <w:r>
        <w:rPr>
          <w:spacing w:val="-8"/>
          <w:sz w:val="20"/>
        </w:rPr>
        <w:t> </w:t>
      </w:r>
      <w:r>
        <w:rPr>
          <w:sz w:val="20"/>
        </w:rPr>
        <w:t>the</w:t>
      </w:r>
      <w:r>
        <w:rPr>
          <w:spacing w:val="-12"/>
          <w:sz w:val="20"/>
        </w:rPr>
        <w:t> </w:t>
      </w:r>
      <w:r>
        <w:rPr>
          <w:sz w:val="20"/>
        </w:rPr>
        <w:t>FCA</w:t>
      </w:r>
      <w:r>
        <w:rPr>
          <w:spacing w:val="-10"/>
          <w:sz w:val="20"/>
        </w:rPr>
        <w:t> </w:t>
      </w:r>
      <w:r>
        <w:rPr>
          <w:sz w:val="20"/>
        </w:rPr>
        <w:t>addressing some of the core concerns that businesses may have in respect of conduct risk, for publication on the FCA</w:t>
      </w:r>
      <w:r>
        <w:rPr>
          <w:spacing w:val="-1"/>
          <w:sz w:val="20"/>
        </w:rPr>
        <w:t> </w:t>
      </w:r>
      <w:r>
        <w:rPr>
          <w:sz w:val="20"/>
        </w:rPr>
        <w:t>website.</w:t>
      </w:r>
    </w:p>
    <w:p>
      <w:pPr>
        <w:pStyle w:val="Heading2"/>
        <w:spacing w:before="122"/>
      </w:pPr>
      <w:r>
        <w:rPr/>
        <w:t>Any Other Business</w:t>
      </w:r>
    </w:p>
    <w:p>
      <w:pPr>
        <w:pStyle w:val="BodyText"/>
        <w:spacing w:before="3"/>
        <w:ind w:left="0" w:firstLine="0"/>
        <w:rPr>
          <w:b/>
        </w:rPr>
      </w:pPr>
    </w:p>
    <w:p>
      <w:pPr>
        <w:pStyle w:val="ListParagraph"/>
        <w:numPr>
          <w:ilvl w:val="0"/>
          <w:numId w:val="2"/>
        </w:numPr>
        <w:tabs>
          <w:tab w:pos="481" w:val="left" w:leader="none"/>
        </w:tabs>
        <w:spacing w:line="360" w:lineRule="auto" w:before="1" w:after="0"/>
        <w:ind w:left="480" w:right="113" w:hanging="360"/>
        <w:jc w:val="both"/>
        <w:rPr>
          <w:sz w:val="20"/>
        </w:rPr>
      </w:pPr>
      <w:r>
        <w:rPr>
          <w:sz w:val="20"/>
        </w:rPr>
        <w:t>The FCA reminded members of its position on margin requirements. As discussed in the February 2018</w:t>
      </w:r>
      <w:r>
        <w:rPr>
          <w:spacing w:val="-3"/>
          <w:sz w:val="20"/>
        </w:rPr>
        <w:t> </w:t>
      </w:r>
      <w:r>
        <w:rPr>
          <w:sz w:val="20"/>
        </w:rPr>
        <w:t>meeting,</w:t>
      </w:r>
      <w:r>
        <w:rPr>
          <w:spacing w:val="-2"/>
          <w:sz w:val="20"/>
        </w:rPr>
        <w:t> </w:t>
      </w:r>
      <w:r>
        <w:rPr>
          <w:sz w:val="20"/>
        </w:rPr>
        <w:t>the</w:t>
      </w:r>
      <w:r>
        <w:rPr>
          <w:spacing w:val="-6"/>
          <w:sz w:val="20"/>
        </w:rPr>
        <w:t> </w:t>
      </w:r>
      <w:r>
        <w:rPr>
          <w:sz w:val="20"/>
        </w:rPr>
        <w:t>FCA’s</w:t>
      </w:r>
      <w:r>
        <w:rPr>
          <w:spacing w:val="-1"/>
          <w:sz w:val="20"/>
        </w:rPr>
        <w:t> </w:t>
      </w:r>
      <w:r>
        <w:rPr>
          <w:sz w:val="20"/>
        </w:rPr>
        <w:t>view</w:t>
      </w:r>
      <w:r>
        <w:rPr>
          <w:spacing w:val="-4"/>
          <w:sz w:val="20"/>
        </w:rPr>
        <w:t> </w:t>
      </w:r>
      <w:r>
        <w:rPr>
          <w:sz w:val="20"/>
        </w:rPr>
        <w:t>was</w:t>
      </w:r>
      <w:r>
        <w:rPr>
          <w:spacing w:val="-5"/>
          <w:sz w:val="20"/>
        </w:rPr>
        <w:t> </w:t>
      </w:r>
      <w:r>
        <w:rPr>
          <w:sz w:val="20"/>
        </w:rPr>
        <w:t>that</w:t>
      </w:r>
      <w:r>
        <w:rPr>
          <w:spacing w:val="-1"/>
          <w:sz w:val="20"/>
        </w:rPr>
        <w:t> </w:t>
      </w:r>
      <w:r>
        <w:rPr>
          <w:sz w:val="20"/>
        </w:rPr>
        <w:t>amending</w:t>
      </w:r>
      <w:r>
        <w:rPr>
          <w:spacing w:val="-4"/>
          <w:sz w:val="20"/>
        </w:rPr>
        <w:t> </w:t>
      </w:r>
      <w:r>
        <w:rPr>
          <w:sz w:val="20"/>
        </w:rPr>
        <w:t>a</w:t>
      </w:r>
      <w:r>
        <w:rPr>
          <w:spacing w:val="-5"/>
          <w:sz w:val="20"/>
        </w:rPr>
        <w:t> </w:t>
      </w:r>
      <w:r>
        <w:rPr>
          <w:sz w:val="20"/>
        </w:rPr>
        <w:t>reference</w:t>
      </w:r>
      <w:r>
        <w:rPr>
          <w:spacing w:val="-5"/>
          <w:sz w:val="20"/>
        </w:rPr>
        <w:t> </w:t>
      </w:r>
      <w:r>
        <w:rPr>
          <w:sz w:val="20"/>
        </w:rPr>
        <w:t>rate</w:t>
      </w:r>
      <w:r>
        <w:rPr>
          <w:spacing w:val="-3"/>
          <w:sz w:val="20"/>
        </w:rPr>
        <w:t> </w:t>
      </w:r>
      <w:r>
        <w:rPr>
          <w:sz w:val="20"/>
        </w:rPr>
        <w:t>or</w:t>
      </w:r>
      <w:r>
        <w:rPr>
          <w:spacing w:val="-4"/>
          <w:sz w:val="20"/>
        </w:rPr>
        <w:t> </w:t>
      </w:r>
      <w:r>
        <w:rPr>
          <w:sz w:val="20"/>
        </w:rPr>
        <w:t>adding</w:t>
      </w:r>
      <w:r>
        <w:rPr>
          <w:spacing w:val="-4"/>
          <w:sz w:val="20"/>
        </w:rPr>
        <w:t> </w:t>
      </w:r>
      <w:r>
        <w:rPr>
          <w:sz w:val="20"/>
        </w:rPr>
        <w:t>a</w:t>
      </w:r>
      <w:r>
        <w:rPr>
          <w:spacing w:val="-5"/>
          <w:sz w:val="20"/>
        </w:rPr>
        <w:t> </w:t>
      </w:r>
      <w:r>
        <w:rPr>
          <w:sz w:val="20"/>
        </w:rPr>
        <w:t>fall-back</w:t>
      </w:r>
      <w:r>
        <w:rPr>
          <w:spacing w:val="-1"/>
          <w:sz w:val="20"/>
        </w:rPr>
        <w:t> </w:t>
      </w:r>
      <w:r>
        <w:rPr>
          <w:sz w:val="20"/>
        </w:rPr>
        <w:t>rate</w:t>
      </w:r>
      <w:r>
        <w:rPr>
          <w:spacing w:val="-3"/>
          <w:sz w:val="20"/>
        </w:rPr>
        <w:t> </w:t>
      </w:r>
      <w:r>
        <w:rPr>
          <w:sz w:val="20"/>
        </w:rPr>
        <w:t>would not trigger the application of margin requirements, where this amend relates to the treatment of legacy</w:t>
      </w:r>
      <w:r>
        <w:rPr>
          <w:spacing w:val="-9"/>
          <w:sz w:val="20"/>
        </w:rPr>
        <w:t> </w:t>
      </w:r>
      <w:r>
        <w:rPr>
          <w:sz w:val="20"/>
        </w:rPr>
        <w:t>LIBOR</w:t>
      </w:r>
      <w:r>
        <w:rPr>
          <w:spacing w:val="-5"/>
          <w:sz w:val="20"/>
        </w:rPr>
        <w:t> </w:t>
      </w:r>
      <w:r>
        <w:rPr>
          <w:sz w:val="20"/>
        </w:rPr>
        <w:t>trades.</w:t>
      </w:r>
      <w:r>
        <w:rPr>
          <w:spacing w:val="-6"/>
          <w:sz w:val="20"/>
        </w:rPr>
        <w:t> </w:t>
      </w:r>
      <w:r>
        <w:rPr>
          <w:sz w:val="20"/>
        </w:rPr>
        <w:t>This</w:t>
      </w:r>
      <w:r>
        <w:rPr>
          <w:spacing w:val="-3"/>
          <w:sz w:val="20"/>
        </w:rPr>
        <w:t> </w:t>
      </w:r>
      <w:r>
        <w:rPr>
          <w:sz w:val="20"/>
        </w:rPr>
        <w:t>position</w:t>
      </w:r>
      <w:r>
        <w:rPr>
          <w:spacing w:val="-4"/>
          <w:sz w:val="20"/>
        </w:rPr>
        <w:t> </w:t>
      </w:r>
      <w:r>
        <w:rPr>
          <w:sz w:val="20"/>
        </w:rPr>
        <w:t>was</w:t>
      </w:r>
      <w:r>
        <w:rPr>
          <w:spacing w:val="-5"/>
          <w:sz w:val="20"/>
        </w:rPr>
        <w:t> </w:t>
      </w:r>
      <w:r>
        <w:rPr>
          <w:sz w:val="20"/>
        </w:rPr>
        <w:t>extended</w:t>
      </w:r>
      <w:r>
        <w:rPr>
          <w:spacing w:val="-6"/>
          <w:sz w:val="20"/>
        </w:rPr>
        <w:t> </w:t>
      </w:r>
      <w:r>
        <w:rPr>
          <w:sz w:val="20"/>
        </w:rPr>
        <w:t>to</w:t>
      </w:r>
      <w:r>
        <w:rPr>
          <w:spacing w:val="-7"/>
          <w:sz w:val="20"/>
        </w:rPr>
        <w:t> </w:t>
      </w:r>
      <w:r>
        <w:rPr>
          <w:sz w:val="20"/>
        </w:rPr>
        <w:t>the</w:t>
      </w:r>
      <w:r>
        <w:rPr>
          <w:spacing w:val="-8"/>
          <w:sz w:val="20"/>
        </w:rPr>
        <w:t> </w:t>
      </w:r>
      <w:r>
        <w:rPr>
          <w:sz w:val="20"/>
        </w:rPr>
        <w:t>EMIR</w:t>
      </w:r>
      <w:r>
        <w:rPr>
          <w:spacing w:val="-8"/>
          <w:sz w:val="20"/>
        </w:rPr>
        <w:t> </w:t>
      </w:r>
      <w:r>
        <w:rPr>
          <w:sz w:val="20"/>
        </w:rPr>
        <w:t>clearing</w:t>
      </w:r>
      <w:r>
        <w:rPr>
          <w:spacing w:val="-5"/>
          <w:sz w:val="20"/>
        </w:rPr>
        <w:t> </w:t>
      </w:r>
      <w:r>
        <w:rPr>
          <w:sz w:val="20"/>
        </w:rPr>
        <w:t>requirements.</w:t>
      </w:r>
      <w:r>
        <w:rPr>
          <w:spacing w:val="-8"/>
          <w:sz w:val="20"/>
        </w:rPr>
        <w:t> </w:t>
      </w:r>
      <w:r>
        <w:rPr>
          <w:sz w:val="20"/>
        </w:rPr>
        <w:t>This</w:t>
      </w:r>
      <w:r>
        <w:rPr>
          <w:spacing w:val="-7"/>
          <w:sz w:val="20"/>
        </w:rPr>
        <w:t> </w:t>
      </w:r>
      <w:r>
        <w:rPr>
          <w:sz w:val="20"/>
        </w:rPr>
        <w:t>view</w:t>
      </w:r>
      <w:r>
        <w:rPr>
          <w:spacing w:val="-6"/>
          <w:sz w:val="20"/>
        </w:rPr>
        <w:t> </w:t>
      </w:r>
      <w:r>
        <w:rPr>
          <w:spacing w:val="2"/>
          <w:sz w:val="20"/>
        </w:rPr>
        <w:t>did </w:t>
      </w:r>
      <w:r>
        <w:rPr>
          <w:sz w:val="20"/>
        </w:rPr>
        <w:t>not extend where a new transaction occurs; for example, due to compression activity. As other regulatory</w:t>
      </w:r>
      <w:r>
        <w:rPr>
          <w:spacing w:val="-9"/>
          <w:sz w:val="20"/>
        </w:rPr>
        <w:t> </w:t>
      </w:r>
      <w:r>
        <w:rPr>
          <w:sz w:val="20"/>
        </w:rPr>
        <w:t>bodies</w:t>
      </w:r>
      <w:r>
        <w:rPr>
          <w:spacing w:val="-4"/>
          <w:sz w:val="20"/>
        </w:rPr>
        <w:t> </w:t>
      </w:r>
      <w:r>
        <w:rPr>
          <w:sz w:val="20"/>
        </w:rPr>
        <w:t>may</w:t>
      </w:r>
      <w:r>
        <w:rPr>
          <w:spacing w:val="-10"/>
          <w:sz w:val="20"/>
        </w:rPr>
        <w:t> </w:t>
      </w:r>
      <w:r>
        <w:rPr>
          <w:sz w:val="20"/>
        </w:rPr>
        <w:t>take</w:t>
      </w:r>
      <w:r>
        <w:rPr>
          <w:spacing w:val="-5"/>
          <w:sz w:val="20"/>
        </w:rPr>
        <w:t> </w:t>
      </w:r>
      <w:r>
        <w:rPr>
          <w:sz w:val="20"/>
        </w:rPr>
        <w:t>a</w:t>
      </w:r>
      <w:r>
        <w:rPr>
          <w:spacing w:val="-5"/>
          <w:sz w:val="20"/>
        </w:rPr>
        <w:t> </w:t>
      </w:r>
      <w:r>
        <w:rPr>
          <w:sz w:val="20"/>
        </w:rPr>
        <w:t>different</w:t>
      </w:r>
      <w:r>
        <w:rPr>
          <w:spacing w:val="-5"/>
          <w:sz w:val="20"/>
        </w:rPr>
        <w:t> </w:t>
      </w:r>
      <w:r>
        <w:rPr>
          <w:sz w:val="20"/>
        </w:rPr>
        <w:t>view, firms</w:t>
      </w:r>
      <w:r>
        <w:rPr>
          <w:spacing w:val="-3"/>
          <w:sz w:val="20"/>
        </w:rPr>
        <w:t> </w:t>
      </w:r>
      <w:r>
        <w:rPr>
          <w:sz w:val="20"/>
        </w:rPr>
        <w:t>seeking</w:t>
      </w:r>
      <w:r>
        <w:rPr>
          <w:spacing w:val="-5"/>
          <w:sz w:val="20"/>
        </w:rPr>
        <w:t> </w:t>
      </w:r>
      <w:r>
        <w:rPr>
          <w:sz w:val="20"/>
        </w:rPr>
        <w:t>to</w:t>
      </w:r>
      <w:r>
        <w:rPr>
          <w:spacing w:val="-5"/>
          <w:sz w:val="20"/>
        </w:rPr>
        <w:t> </w:t>
      </w:r>
      <w:r>
        <w:rPr>
          <w:sz w:val="20"/>
        </w:rPr>
        <w:t>make</w:t>
      </w:r>
      <w:r>
        <w:rPr>
          <w:spacing w:val="-5"/>
          <w:sz w:val="20"/>
        </w:rPr>
        <w:t> </w:t>
      </w:r>
      <w:r>
        <w:rPr>
          <w:sz w:val="20"/>
        </w:rPr>
        <w:t>these</w:t>
      </w:r>
      <w:r>
        <w:rPr>
          <w:spacing w:val="-5"/>
          <w:sz w:val="20"/>
        </w:rPr>
        <w:t> </w:t>
      </w:r>
      <w:r>
        <w:rPr>
          <w:sz w:val="20"/>
        </w:rPr>
        <w:t>amends</w:t>
      </w:r>
      <w:r>
        <w:rPr>
          <w:spacing w:val="-4"/>
          <w:sz w:val="20"/>
        </w:rPr>
        <w:t> </w:t>
      </w:r>
      <w:r>
        <w:rPr>
          <w:sz w:val="20"/>
        </w:rPr>
        <w:t>should</w:t>
      </w:r>
      <w:r>
        <w:rPr>
          <w:spacing w:val="-6"/>
          <w:sz w:val="20"/>
        </w:rPr>
        <w:t> </w:t>
      </w:r>
      <w:r>
        <w:rPr>
          <w:sz w:val="20"/>
        </w:rPr>
        <w:t>approach their relevant supervisor for further assurance if</w:t>
      </w:r>
      <w:r>
        <w:rPr>
          <w:spacing w:val="-3"/>
          <w:sz w:val="20"/>
        </w:rPr>
        <w:t> </w:t>
      </w:r>
      <w:r>
        <w:rPr>
          <w:sz w:val="20"/>
        </w:rPr>
        <w:t>necessary.</w:t>
      </w:r>
    </w:p>
    <w:p>
      <w:pPr>
        <w:pStyle w:val="ListParagraph"/>
        <w:numPr>
          <w:ilvl w:val="0"/>
          <w:numId w:val="2"/>
        </w:numPr>
        <w:tabs>
          <w:tab w:pos="481" w:val="left" w:leader="none"/>
        </w:tabs>
        <w:spacing w:line="360" w:lineRule="auto" w:before="120" w:after="0"/>
        <w:ind w:left="480" w:right="118" w:hanging="360"/>
        <w:jc w:val="both"/>
        <w:rPr>
          <w:sz w:val="20"/>
        </w:rPr>
      </w:pPr>
      <w:r>
        <w:rPr>
          <w:sz w:val="20"/>
        </w:rPr>
        <w:t>The Bank of England took this opportunity to say work is underway for international consensus on BASEL rules and will look to provide a public update for the</w:t>
      </w:r>
      <w:r>
        <w:rPr>
          <w:spacing w:val="-1"/>
          <w:sz w:val="20"/>
        </w:rPr>
        <w:t> </w:t>
      </w:r>
      <w:r>
        <w:rPr>
          <w:sz w:val="20"/>
        </w:rPr>
        <w:t>market.</w:t>
      </w:r>
    </w:p>
    <w:p>
      <w:pPr>
        <w:spacing w:after="0" w:line="360" w:lineRule="auto"/>
        <w:jc w:val="both"/>
        <w:rPr>
          <w:sz w:val="20"/>
        </w:rPr>
        <w:sectPr>
          <w:pgSz w:w="11910" w:h="16840"/>
          <w:pgMar w:top="1340" w:bottom="280" w:left="1320" w:right="1320"/>
        </w:sectPr>
      </w:pPr>
    </w:p>
    <w:p>
      <w:pPr>
        <w:spacing w:before="41"/>
        <w:ind w:left="120" w:right="0" w:firstLine="0"/>
        <w:jc w:val="left"/>
        <w:rPr>
          <w:rFonts w:ascii="Carlito"/>
          <w:b/>
          <w:sz w:val="22"/>
        </w:rPr>
      </w:pPr>
      <w:r>
        <w:rPr>
          <w:rFonts w:ascii="Carlito"/>
          <w:b/>
          <w:sz w:val="22"/>
        </w:rPr>
        <w:t>Private sector attendees</w:t>
      </w:r>
    </w:p>
    <w:p>
      <w:pPr>
        <w:pStyle w:val="BodyText"/>
        <w:spacing w:before="8"/>
        <w:ind w:left="0" w:firstLine="0"/>
        <w:rPr>
          <w:rFonts w:ascii="Carlito"/>
          <w:b/>
          <w:sz w:val="19"/>
        </w:rPr>
      </w:pPr>
    </w:p>
    <w:p>
      <w:pPr>
        <w:tabs>
          <w:tab w:pos="3000" w:val="left" w:leader="none"/>
        </w:tabs>
        <w:spacing w:before="0"/>
        <w:ind w:left="120" w:right="0" w:firstLine="0"/>
        <w:jc w:val="left"/>
        <w:rPr>
          <w:rFonts w:ascii="Carlito"/>
          <w:b/>
          <w:sz w:val="22"/>
        </w:rPr>
      </w:pPr>
      <w:r>
        <w:rPr>
          <w:rFonts w:ascii="Carlito"/>
          <w:b/>
          <w:sz w:val="22"/>
        </w:rPr>
        <w:t>Tushar</w:t>
      </w:r>
      <w:r>
        <w:rPr>
          <w:rFonts w:ascii="Carlito"/>
          <w:b/>
          <w:spacing w:val="-2"/>
          <w:sz w:val="22"/>
        </w:rPr>
        <w:t> </w:t>
      </w:r>
      <w:r>
        <w:rPr>
          <w:rFonts w:ascii="Carlito"/>
          <w:b/>
          <w:sz w:val="22"/>
        </w:rPr>
        <w:t>Morzaria</w:t>
        <w:tab/>
        <w:t>Barclays (Chair)</w:t>
      </w:r>
    </w:p>
    <w:p>
      <w:pPr>
        <w:tabs>
          <w:tab w:pos="3000" w:val="left" w:leader="none"/>
        </w:tabs>
        <w:spacing w:before="1"/>
        <w:ind w:left="120" w:right="4134" w:firstLine="0"/>
        <w:jc w:val="left"/>
        <w:rPr>
          <w:rFonts w:ascii="Carlito" w:hAnsi="Carlito"/>
          <w:b/>
          <w:sz w:val="22"/>
        </w:rPr>
      </w:pPr>
      <w:r>
        <w:rPr>
          <w:rFonts w:ascii="Carlito" w:hAnsi="Carlito"/>
          <w:b/>
          <w:sz w:val="22"/>
        </w:rPr>
        <w:t>Paul</w:t>
      </w:r>
      <w:r>
        <w:rPr>
          <w:rFonts w:ascii="Carlito" w:hAnsi="Carlito"/>
          <w:b/>
          <w:spacing w:val="-2"/>
          <w:sz w:val="22"/>
        </w:rPr>
        <w:t> </w:t>
      </w:r>
      <w:r>
        <w:rPr>
          <w:rFonts w:ascii="Carlito" w:hAnsi="Carlito"/>
          <w:b/>
          <w:sz w:val="22"/>
        </w:rPr>
        <w:t>Mansour</w:t>
        <w:tab/>
        <w:t>Barclays (Chair’s office) Andreas</w:t>
      </w:r>
      <w:r>
        <w:rPr>
          <w:rFonts w:ascii="Carlito" w:hAnsi="Carlito"/>
          <w:b/>
          <w:spacing w:val="-3"/>
          <w:sz w:val="22"/>
        </w:rPr>
        <w:t> </w:t>
      </w:r>
      <w:r>
        <w:rPr>
          <w:rFonts w:ascii="Carlito" w:hAnsi="Carlito"/>
          <w:b/>
          <w:sz w:val="22"/>
        </w:rPr>
        <w:t>Giannopoulos</w:t>
        <w:tab/>
        <w:t>Barclays (Chair’s office) Alexandre</w:t>
      </w:r>
      <w:r>
        <w:rPr>
          <w:rFonts w:ascii="Carlito" w:hAnsi="Carlito"/>
          <w:b/>
          <w:spacing w:val="-3"/>
          <w:sz w:val="22"/>
        </w:rPr>
        <w:t> </w:t>
      </w:r>
      <w:r>
        <w:rPr>
          <w:rFonts w:ascii="Carlito" w:hAnsi="Carlito"/>
          <w:b/>
          <w:sz w:val="22"/>
        </w:rPr>
        <w:t>Pappadacci</w:t>
        <w:tab/>
        <w:t>AXA (Vice-Chair) Frances</w:t>
      </w:r>
      <w:r>
        <w:rPr>
          <w:rFonts w:ascii="Carlito" w:hAnsi="Carlito"/>
          <w:b/>
          <w:spacing w:val="-1"/>
          <w:sz w:val="22"/>
        </w:rPr>
        <w:t> </w:t>
      </w:r>
      <w:r>
        <w:rPr>
          <w:rFonts w:ascii="Carlito" w:hAnsi="Carlito"/>
          <w:b/>
          <w:sz w:val="22"/>
        </w:rPr>
        <w:t>Hinden</w:t>
        <w:tab/>
        <w:t>Shell</w:t>
      </w:r>
      <w:r>
        <w:rPr>
          <w:rFonts w:ascii="Carlito" w:hAnsi="Carlito"/>
          <w:b/>
          <w:spacing w:val="-1"/>
          <w:sz w:val="22"/>
        </w:rPr>
        <w:t> </w:t>
      </w:r>
      <w:r>
        <w:rPr>
          <w:rFonts w:ascii="Carlito" w:hAnsi="Carlito"/>
          <w:b/>
          <w:sz w:val="22"/>
        </w:rPr>
        <w:t>(Vice-Chair)</w:t>
      </w:r>
    </w:p>
    <w:p>
      <w:pPr>
        <w:tabs>
          <w:tab w:pos="3000" w:val="left" w:leader="none"/>
        </w:tabs>
        <w:spacing w:line="267" w:lineRule="exact" w:before="0"/>
        <w:ind w:left="120" w:right="0" w:firstLine="0"/>
        <w:jc w:val="left"/>
        <w:rPr>
          <w:rFonts w:ascii="Carlito"/>
          <w:b/>
          <w:sz w:val="22"/>
        </w:rPr>
      </w:pPr>
      <w:r>
        <w:rPr>
          <w:rFonts w:ascii="Carlito"/>
          <w:b/>
          <w:sz w:val="22"/>
        </w:rPr>
        <w:t>Greg</w:t>
      </w:r>
      <w:r>
        <w:rPr>
          <w:rFonts w:ascii="Carlito"/>
          <w:b/>
          <w:spacing w:val="-3"/>
          <w:sz w:val="22"/>
        </w:rPr>
        <w:t> </w:t>
      </w:r>
      <w:r>
        <w:rPr>
          <w:rFonts w:ascii="Carlito"/>
          <w:b/>
          <w:sz w:val="22"/>
        </w:rPr>
        <w:t>Olsen</w:t>
        <w:tab/>
        <w:t>Clifford Chance (Legal</w:t>
      </w:r>
      <w:r>
        <w:rPr>
          <w:rFonts w:ascii="Carlito"/>
          <w:b/>
          <w:spacing w:val="-2"/>
          <w:sz w:val="22"/>
        </w:rPr>
        <w:t> </w:t>
      </w:r>
      <w:r>
        <w:rPr>
          <w:rFonts w:ascii="Carlito"/>
          <w:b/>
          <w:sz w:val="22"/>
        </w:rPr>
        <w:t>Counsel)</w:t>
      </w:r>
    </w:p>
    <w:p>
      <w:pPr>
        <w:tabs>
          <w:tab w:pos="3000" w:val="left" w:leader="none"/>
        </w:tabs>
        <w:spacing w:before="0"/>
        <w:ind w:left="120" w:right="0" w:firstLine="0"/>
        <w:jc w:val="left"/>
        <w:rPr>
          <w:rFonts w:ascii="Carlito"/>
          <w:b/>
          <w:sz w:val="22"/>
        </w:rPr>
      </w:pPr>
      <w:r>
        <w:rPr>
          <w:rFonts w:ascii="Carlito"/>
          <w:b/>
          <w:sz w:val="22"/>
        </w:rPr>
        <w:t>Simon</w:t>
      </w:r>
      <w:r>
        <w:rPr>
          <w:rFonts w:ascii="Carlito"/>
          <w:b/>
          <w:spacing w:val="-3"/>
          <w:sz w:val="22"/>
        </w:rPr>
        <w:t> </w:t>
      </w:r>
      <w:r>
        <w:rPr>
          <w:rFonts w:ascii="Carlito"/>
          <w:b/>
          <w:sz w:val="22"/>
        </w:rPr>
        <w:t>Bowmer</w:t>
        <w:tab/>
        <w:t>Bank of</w:t>
      </w:r>
      <w:r>
        <w:rPr>
          <w:rFonts w:ascii="Carlito"/>
          <w:b/>
          <w:spacing w:val="-1"/>
          <w:sz w:val="22"/>
        </w:rPr>
        <w:t> </w:t>
      </w:r>
      <w:r>
        <w:rPr>
          <w:rFonts w:ascii="Carlito"/>
          <w:b/>
          <w:sz w:val="22"/>
        </w:rPr>
        <w:t>America</w:t>
      </w:r>
    </w:p>
    <w:p>
      <w:pPr>
        <w:tabs>
          <w:tab w:pos="3000" w:val="left" w:leader="none"/>
        </w:tabs>
        <w:spacing w:before="0"/>
        <w:ind w:left="120" w:right="0" w:firstLine="0"/>
        <w:jc w:val="left"/>
        <w:rPr>
          <w:rFonts w:ascii="Carlito"/>
          <w:b/>
          <w:sz w:val="22"/>
        </w:rPr>
      </w:pPr>
      <w:r>
        <w:rPr>
          <w:rFonts w:ascii="Carlito"/>
          <w:b/>
          <w:sz w:val="22"/>
        </w:rPr>
        <w:t>Doug</w:t>
      </w:r>
      <w:r>
        <w:rPr>
          <w:rFonts w:ascii="Carlito"/>
          <w:b/>
          <w:spacing w:val="-1"/>
          <w:sz w:val="22"/>
        </w:rPr>
        <w:t> </w:t>
      </w:r>
      <w:r>
        <w:rPr>
          <w:rFonts w:ascii="Carlito"/>
          <w:b/>
          <w:sz w:val="22"/>
        </w:rPr>
        <w:t>Laurie</w:t>
        <w:tab/>
        <w:t>Barclays</w:t>
      </w:r>
    </w:p>
    <w:p>
      <w:pPr>
        <w:tabs>
          <w:tab w:pos="3000" w:val="left" w:leader="none"/>
        </w:tabs>
        <w:spacing w:before="0"/>
        <w:ind w:left="120" w:right="0" w:firstLine="0"/>
        <w:jc w:val="left"/>
        <w:rPr>
          <w:rFonts w:ascii="Carlito"/>
          <w:b/>
          <w:sz w:val="22"/>
        </w:rPr>
      </w:pPr>
      <w:r>
        <w:rPr>
          <w:rFonts w:ascii="Carlito"/>
          <w:b/>
          <w:sz w:val="22"/>
        </w:rPr>
        <w:t>Tejonidhi</w:t>
      </w:r>
      <w:r>
        <w:rPr>
          <w:rFonts w:ascii="Carlito"/>
          <w:b/>
          <w:spacing w:val="-2"/>
          <w:sz w:val="22"/>
        </w:rPr>
        <w:t> </w:t>
      </w:r>
      <w:r>
        <w:rPr>
          <w:rFonts w:ascii="Carlito"/>
          <w:b/>
          <w:sz w:val="22"/>
        </w:rPr>
        <w:t>Kashyap</w:t>
        <w:tab/>
        <w:t>Barclays</w:t>
      </w:r>
    </w:p>
    <w:p>
      <w:pPr>
        <w:tabs>
          <w:tab w:pos="3000" w:val="left" w:leader="none"/>
        </w:tabs>
        <w:spacing w:before="1"/>
        <w:ind w:left="120" w:right="0" w:firstLine="0"/>
        <w:jc w:val="left"/>
        <w:rPr>
          <w:rFonts w:ascii="Carlito"/>
          <w:b/>
          <w:sz w:val="22"/>
        </w:rPr>
      </w:pPr>
      <w:r>
        <w:rPr>
          <w:rFonts w:ascii="Carlito"/>
          <w:b/>
          <w:sz w:val="22"/>
        </w:rPr>
        <w:t>Ryan</w:t>
      </w:r>
      <w:r>
        <w:rPr>
          <w:rFonts w:ascii="Carlito"/>
          <w:b/>
          <w:spacing w:val="-2"/>
          <w:sz w:val="22"/>
        </w:rPr>
        <w:t> </w:t>
      </w:r>
      <w:r>
        <w:rPr>
          <w:rFonts w:ascii="Carlito"/>
          <w:b/>
          <w:sz w:val="22"/>
        </w:rPr>
        <w:t>O Keeffe</w:t>
        <w:tab/>
        <w:t>BlackRock</w:t>
      </w:r>
    </w:p>
    <w:p>
      <w:pPr>
        <w:tabs>
          <w:tab w:pos="3000" w:val="left" w:leader="none"/>
        </w:tabs>
        <w:spacing w:before="0"/>
        <w:ind w:left="120" w:right="0" w:firstLine="0"/>
        <w:jc w:val="left"/>
        <w:rPr>
          <w:rFonts w:ascii="Carlito"/>
          <w:b/>
          <w:sz w:val="22"/>
        </w:rPr>
      </w:pPr>
      <w:r>
        <w:rPr>
          <w:rFonts w:ascii="Carlito"/>
          <w:b/>
          <w:sz w:val="22"/>
        </w:rPr>
        <w:t>Timothy</w:t>
      </w:r>
      <w:r>
        <w:rPr>
          <w:rFonts w:ascii="Carlito"/>
          <w:b/>
          <w:spacing w:val="-4"/>
          <w:sz w:val="22"/>
        </w:rPr>
        <w:t> </w:t>
      </w:r>
      <w:r>
        <w:rPr>
          <w:rFonts w:ascii="Carlito"/>
          <w:b/>
          <w:sz w:val="22"/>
        </w:rPr>
        <w:t>Tomlin</w:t>
      </w:r>
      <w:r>
        <w:rPr>
          <w:rFonts w:ascii="Carlito"/>
          <w:b/>
          <w:spacing w:val="-3"/>
          <w:sz w:val="22"/>
        </w:rPr>
        <w:t> </w:t>
      </w:r>
      <w:r>
        <w:rPr>
          <w:rFonts w:ascii="Carlito"/>
          <w:b/>
          <w:sz w:val="22"/>
        </w:rPr>
        <w:t>Reeves</w:t>
        <w:tab/>
        <w:t>Citadel</w:t>
      </w:r>
    </w:p>
    <w:p>
      <w:pPr>
        <w:tabs>
          <w:tab w:pos="3000" w:val="left" w:leader="none"/>
        </w:tabs>
        <w:spacing w:before="0"/>
        <w:ind w:left="120" w:right="0" w:firstLine="0"/>
        <w:jc w:val="left"/>
        <w:rPr>
          <w:rFonts w:ascii="Carlito"/>
          <w:b/>
          <w:sz w:val="22"/>
        </w:rPr>
      </w:pPr>
      <w:r>
        <w:rPr>
          <w:rFonts w:ascii="Carlito"/>
          <w:b/>
          <w:sz w:val="22"/>
        </w:rPr>
        <w:t>Michael</w:t>
      </w:r>
      <w:r>
        <w:rPr>
          <w:rFonts w:ascii="Carlito"/>
          <w:b/>
          <w:spacing w:val="-3"/>
          <w:sz w:val="22"/>
        </w:rPr>
        <w:t> </w:t>
      </w:r>
      <w:r>
        <w:rPr>
          <w:rFonts w:ascii="Carlito"/>
          <w:b/>
          <w:sz w:val="22"/>
        </w:rPr>
        <w:t>Barron</w:t>
        <w:tab/>
        <w:t>Deutsche</w:t>
      </w:r>
      <w:r>
        <w:rPr>
          <w:rFonts w:ascii="Carlito"/>
          <w:b/>
          <w:spacing w:val="-3"/>
          <w:sz w:val="22"/>
        </w:rPr>
        <w:t> </w:t>
      </w:r>
      <w:r>
        <w:rPr>
          <w:rFonts w:ascii="Carlito"/>
          <w:b/>
          <w:sz w:val="22"/>
        </w:rPr>
        <w:t>Bank</w:t>
      </w:r>
    </w:p>
    <w:p>
      <w:pPr>
        <w:tabs>
          <w:tab w:pos="3000" w:val="left" w:leader="none"/>
        </w:tabs>
        <w:spacing w:before="0"/>
        <w:ind w:left="120" w:right="1448" w:firstLine="0"/>
        <w:jc w:val="left"/>
        <w:rPr>
          <w:rFonts w:ascii="Carlito"/>
          <w:b/>
          <w:sz w:val="22"/>
        </w:rPr>
      </w:pPr>
      <w:r>
        <w:rPr>
          <w:rFonts w:ascii="Carlito"/>
          <w:b/>
          <w:sz w:val="22"/>
        </w:rPr>
        <w:t>Axel</w:t>
      </w:r>
      <w:r>
        <w:rPr>
          <w:rFonts w:ascii="Carlito"/>
          <w:b/>
          <w:spacing w:val="-2"/>
          <w:sz w:val="22"/>
        </w:rPr>
        <w:t> </w:t>
      </w:r>
      <w:r>
        <w:rPr>
          <w:rFonts w:ascii="Carlito"/>
          <w:b/>
          <w:sz w:val="22"/>
        </w:rPr>
        <w:t>van</w:t>
      </w:r>
      <w:r>
        <w:rPr>
          <w:rFonts w:ascii="Carlito"/>
          <w:b/>
          <w:spacing w:val="-1"/>
          <w:sz w:val="22"/>
        </w:rPr>
        <w:t> </w:t>
      </w:r>
      <w:r>
        <w:rPr>
          <w:rFonts w:ascii="Carlito"/>
          <w:b/>
          <w:sz w:val="22"/>
        </w:rPr>
        <w:t>Nederveen</w:t>
        <w:tab/>
        <w:t>European Bank for Reconstruction and Development Sarah</w:t>
      </w:r>
      <w:r>
        <w:rPr>
          <w:rFonts w:ascii="Carlito"/>
          <w:b/>
          <w:spacing w:val="-3"/>
          <w:sz w:val="22"/>
        </w:rPr>
        <w:t> </w:t>
      </w:r>
      <w:r>
        <w:rPr>
          <w:rFonts w:ascii="Carlito"/>
          <w:b/>
          <w:sz w:val="22"/>
        </w:rPr>
        <w:t>Jane</w:t>
      </w:r>
      <w:r>
        <w:rPr>
          <w:rFonts w:ascii="Carlito"/>
          <w:b/>
          <w:spacing w:val="-2"/>
          <w:sz w:val="22"/>
        </w:rPr>
        <w:t> </w:t>
      </w:r>
      <w:r>
        <w:rPr>
          <w:rFonts w:ascii="Carlito"/>
          <w:b/>
          <w:sz w:val="22"/>
        </w:rPr>
        <w:t>Hall</w:t>
        <w:tab/>
        <w:t>GlaxoSmithKline</w:t>
      </w:r>
    </w:p>
    <w:p>
      <w:pPr>
        <w:tabs>
          <w:tab w:pos="3000" w:val="left" w:leader="none"/>
        </w:tabs>
        <w:spacing w:line="267" w:lineRule="exact" w:before="0"/>
        <w:ind w:left="120" w:right="0" w:firstLine="0"/>
        <w:jc w:val="left"/>
        <w:rPr>
          <w:rFonts w:ascii="Carlito"/>
          <w:b/>
          <w:sz w:val="22"/>
        </w:rPr>
      </w:pPr>
      <w:r>
        <w:rPr>
          <w:rFonts w:ascii="Carlito"/>
          <w:b/>
          <w:sz w:val="22"/>
        </w:rPr>
        <w:t>Chirag</w:t>
      </w:r>
      <w:r>
        <w:rPr>
          <w:rFonts w:ascii="Carlito"/>
          <w:b/>
          <w:spacing w:val="-3"/>
          <w:sz w:val="22"/>
        </w:rPr>
        <w:t> </w:t>
      </w:r>
      <w:r>
        <w:rPr>
          <w:rFonts w:ascii="Carlito"/>
          <w:b/>
          <w:sz w:val="22"/>
        </w:rPr>
        <w:t>Dave</w:t>
        <w:tab/>
        <w:t>Goldman</w:t>
      </w:r>
      <w:r>
        <w:rPr>
          <w:rFonts w:ascii="Carlito"/>
          <w:b/>
          <w:spacing w:val="-2"/>
          <w:sz w:val="22"/>
        </w:rPr>
        <w:t> </w:t>
      </w:r>
      <w:r>
        <w:rPr>
          <w:rFonts w:ascii="Carlito"/>
          <w:b/>
          <w:sz w:val="22"/>
        </w:rPr>
        <w:t>Sachs</w:t>
      </w:r>
    </w:p>
    <w:p>
      <w:pPr>
        <w:tabs>
          <w:tab w:pos="3000" w:val="left" w:leader="none"/>
        </w:tabs>
        <w:spacing w:before="1"/>
        <w:ind w:left="120" w:right="0" w:firstLine="0"/>
        <w:jc w:val="left"/>
        <w:rPr>
          <w:rFonts w:ascii="Carlito"/>
          <w:b/>
          <w:sz w:val="22"/>
        </w:rPr>
      </w:pPr>
      <w:r>
        <w:rPr>
          <w:rFonts w:ascii="Carlito"/>
          <w:b/>
          <w:sz w:val="22"/>
        </w:rPr>
        <w:t>Sander</w:t>
      </w:r>
      <w:r>
        <w:rPr>
          <w:rFonts w:ascii="Carlito"/>
          <w:b/>
          <w:spacing w:val="-2"/>
          <w:sz w:val="22"/>
        </w:rPr>
        <w:t> </w:t>
      </w:r>
      <w:r>
        <w:rPr>
          <w:rFonts w:ascii="Carlito"/>
          <w:b/>
          <w:sz w:val="22"/>
        </w:rPr>
        <w:t>Slotema</w:t>
        <w:tab/>
        <w:t>HSBC</w:t>
      </w:r>
    </w:p>
    <w:p>
      <w:pPr>
        <w:tabs>
          <w:tab w:pos="3000" w:val="left" w:leader="none"/>
        </w:tabs>
        <w:spacing w:before="0"/>
        <w:ind w:left="120" w:right="0" w:firstLine="0"/>
        <w:jc w:val="left"/>
        <w:rPr>
          <w:rFonts w:ascii="Carlito"/>
          <w:b/>
          <w:sz w:val="22"/>
        </w:rPr>
      </w:pPr>
      <w:r>
        <w:rPr>
          <w:rFonts w:ascii="Carlito"/>
          <w:b/>
          <w:sz w:val="22"/>
        </w:rPr>
        <w:t>Chris</w:t>
      </w:r>
      <w:r>
        <w:rPr>
          <w:rFonts w:ascii="Carlito"/>
          <w:b/>
          <w:spacing w:val="-2"/>
          <w:sz w:val="22"/>
        </w:rPr>
        <w:t> </w:t>
      </w:r>
      <w:r>
        <w:rPr>
          <w:rFonts w:ascii="Carlito"/>
          <w:b/>
          <w:sz w:val="22"/>
        </w:rPr>
        <w:t>Rhodes</w:t>
        <w:tab/>
        <w:t>ICE</w:t>
      </w:r>
      <w:r>
        <w:rPr>
          <w:rFonts w:ascii="Carlito"/>
          <w:b/>
          <w:spacing w:val="-2"/>
          <w:sz w:val="22"/>
        </w:rPr>
        <w:t> </w:t>
      </w:r>
      <w:r>
        <w:rPr>
          <w:rFonts w:ascii="Carlito"/>
          <w:b/>
          <w:sz w:val="22"/>
        </w:rPr>
        <w:t>Group</w:t>
      </w:r>
    </w:p>
    <w:p>
      <w:pPr>
        <w:tabs>
          <w:tab w:pos="3000" w:val="left" w:leader="none"/>
        </w:tabs>
        <w:spacing w:before="0"/>
        <w:ind w:left="120" w:right="0" w:firstLine="0"/>
        <w:jc w:val="left"/>
        <w:rPr>
          <w:rFonts w:ascii="Carlito"/>
          <w:b/>
          <w:sz w:val="22"/>
        </w:rPr>
      </w:pPr>
      <w:r>
        <w:rPr>
          <w:rFonts w:ascii="Carlito"/>
          <w:b/>
          <w:sz w:val="22"/>
        </w:rPr>
        <w:t>Paul</w:t>
      </w:r>
      <w:r>
        <w:rPr>
          <w:rFonts w:ascii="Carlito"/>
          <w:b/>
          <w:spacing w:val="-1"/>
          <w:sz w:val="22"/>
        </w:rPr>
        <w:t> </w:t>
      </w:r>
      <w:r>
        <w:rPr>
          <w:rFonts w:ascii="Carlito"/>
          <w:b/>
          <w:sz w:val="22"/>
        </w:rPr>
        <w:t>Richards</w:t>
        <w:tab/>
        <w:t>ICMA</w:t>
      </w:r>
    </w:p>
    <w:p>
      <w:pPr>
        <w:tabs>
          <w:tab w:pos="3000" w:val="left" w:leader="none"/>
        </w:tabs>
        <w:spacing w:before="0"/>
        <w:ind w:left="120" w:right="0" w:firstLine="0"/>
        <w:jc w:val="left"/>
        <w:rPr>
          <w:rFonts w:ascii="Carlito"/>
          <w:b/>
          <w:sz w:val="22"/>
        </w:rPr>
      </w:pPr>
      <w:r>
        <w:rPr>
          <w:rFonts w:ascii="Carlito"/>
          <w:b/>
          <w:sz w:val="22"/>
        </w:rPr>
        <w:t>Robert</w:t>
      </w:r>
      <w:r>
        <w:rPr>
          <w:rFonts w:ascii="Carlito"/>
          <w:b/>
          <w:spacing w:val="-1"/>
          <w:sz w:val="22"/>
        </w:rPr>
        <w:t> </w:t>
      </w:r>
      <w:r>
        <w:rPr>
          <w:rFonts w:ascii="Carlito"/>
          <w:b/>
          <w:sz w:val="22"/>
        </w:rPr>
        <w:t>Gall</w:t>
        <w:tab/>
        <w:t>Insight</w:t>
      </w:r>
      <w:r>
        <w:rPr>
          <w:rFonts w:ascii="Carlito"/>
          <w:b/>
          <w:spacing w:val="-2"/>
          <w:sz w:val="22"/>
        </w:rPr>
        <w:t> </w:t>
      </w:r>
      <w:r>
        <w:rPr>
          <w:rFonts w:ascii="Carlito"/>
          <w:b/>
          <w:sz w:val="22"/>
        </w:rPr>
        <w:t>Investment</w:t>
      </w:r>
    </w:p>
    <w:p>
      <w:pPr>
        <w:tabs>
          <w:tab w:pos="3000" w:val="left" w:leader="none"/>
        </w:tabs>
        <w:spacing w:before="1"/>
        <w:ind w:left="120" w:right="0" w:firstLine="0"/>
        <w:jc w:val="left"/>
        <w:rPr>
          <w:rFonts w:ascii="Carlito"/>
          <w:b/>
          <w:sz w:val="22"/>
        </w:rPr>
      </w:pPr>
      <w:r>
        <w:rPr>
          <w:rFonts w:ascii="Carlito"/>
          <w:b/>
          <w:sz w:val="22"/>
        </w:rPr>
        <w:t>Galina</w:t>
      </w:r>
      <w:r>
        <w:rPr>
          <w:rFonts w:ascii="Carlito"/>
          <w:b/>
          <w:spacing w:val="-3"/>
          <w:sz w:val="22"/>
        </w:rPr>
        <w:t> </w:t>
      </w:r>
      <w:r>
        <w:rPr>
          <w:rFonts w:ascii="Carlito"/>
          <w:b/>
          <w:sz w:val="22"/>
        </w:rPr>
        <w:t>Dmitrova</w:t>
        <w:tab/>
        <w:t>Investment</w:t>
      </w:r>
      <w:r>
        <w:rPr>
          <w:rFonts w:ascii="Carlito"/>
          <w:b/>
          <w:spacing w:val="-2"/>
          <w:sz w:val="22"/>
        </w:rPr>
        <w:t> </w:t>
      </w:r>
      <w:r>
        <w:rPr>
          <w:rFonts w:ascii="Carlito"/>
          <w:b/>
          <w:sz w:val="22"/>
        </w:rPr>
        <w:t>Association</w:t>
      </w:r>
    </w:p>
    <w:p>
      <w:pPr>
        <w:tabs>
          <w:tab w:pos="3000" w:val="left" w:leader="none"/>
        </w:tabs>
        <w:spacing w:before="0"/>
        <w:ind w:left="120" w:right="0" w:firstLine="0"/>
        <w:jc w:val="left"/>
        <w:rPr>
          <w:rFonts w:ascii="Carlito"/>
          <w:b/>
          <w:sz w:val="22"/>
        </w:rPr>
      </w:pPr>
      <w:r>
        <w:rPr>
          <w:rFonts w:ascii="Carlito"/>
          <w:b/>
          <w:sz w:val="22"/>
        </w:rPr>
        <w:t>Rick</w:t>
      </w:r>
      <w:r>
        <w:rPr>
          <w:rFonts w:ascii="Carlito"/>
          <w:b/>
          <w:spacing w:val="-2"/>
          <w:sz w:val="22"/>
        </w:rPr>
        <w:t> </w:t>
      </w:r>
      <w:r>
        <w:rPr>
          <w:rFonts w:ascii="Carlito"/>
          <w:b/>
          <w:sz w:val="22"/>
        </w:rPr>
        <w:t>Sandilands</w:t>
        <w:tab/>
        <w:t>ISDA</w:t>
      </w:r>
    </w:p>
    <w:p>
      <w:pPr>
        <w:tabs>
          <w:tab w:pos="3000" w:val="left" w:leader="none"/>
        </w:tabs>
        <w:spacing w:before="0"/>
        <w:ind w:left="120" w:right="0" w:firstLine="0"/>
        <w:jc w:val="left"/>
        <w:rPr>
          <w:rFonts w:ascii="Carlito"/>
          <w:b/>
          <w:sz w:val="22"/>
        </w:rPr>
      </w:pPr>
      <w:r>
        <w:rPr>
          <w:rFonts w:ascii="Carlito"/>
          <w:b/>
          <w:sz w:val="22"/>
        </w:rPr>
        <w:t>Phil</w:t>
      </w:r>
      <w:r>
        <w:rPr>
          <w:rFonts w:ascii="Carlito"/>
          <w:b/>
          <w:spacing w:val="-2"/>
          <w:sz w:val="22"/>
        </w:rPr>
        <w:t> </w:t>
      </w:r>
      <w:r>
        <w:rPr>
          <w:rFonts w:ascii="Carlito"/>
          <w:b/>
          <w:sz w:val="22"/>
        </w:rPr>
        <w:t>Whitehurst</w:t>
        <w:tab/>
        <w:t>LCH</w:t>
      </w:r>
    </w:p>
    <w:p>
      <w:pPr>
        <w:tabs>
          <w:tab w:pos="3000" w:val="left" w:leader="none"/>
        </w:tabs>
        <w:spacing w:before="0"/>
        <w:ind w:left="120" w:right="0" w:firstLine="0"/>
        <w:jc w:val="left"/>
        <w:rPr>
          <w:rFonts w:ascii="Carlito"/>
          <w:b/>
          <w:sz w:val="22"/>
        </w:rPr>
      </w:pPr>
      <w:r>
        <w:rPr>
          <w:rFonts w:ascii="Carlito"/>
          <w:b/>
          <w:sz w:val="22"/>
        </w:rPr>
        <w:t>Guy</w:t>
      </w:r>
      <w:r>
        <w:rPr>
          <w:rFonts w:ascii="Carlito"/>
          <w:b/>
          <w:spacing w:val="-2"/>
          <w:sz w:val="22"/>
        </w:rPr>
        <w:t> </w:t>
      </w:r>
      <w:r>
        <w:rPr>
          <w:rFonts w:ascii="Carlito"/>
          <w:b/>
          <w:sz w:val="22"/>
        </w:rPr>
        <w:t>Whitby</w:t>
      </w:r>
      <w:r>
        <w:rPr>
          <w:rFonts w:ascii="Carlito"/>
          <w:b/>
          <w:spacing w:val="-1"/>
          <w:sz w:val="22"/>
        </w:rPr>
        <w:t> </w:t>
      </w:r>
      <w:r>
        <w:rPr>
          <w:rFonts w:ascii="Carlito"/>
          <w:b/>
          <w:sz w:val="22"/>
        </w:rPr>
        <w:t>Smith</w:t>
        <w:tab/>
        <w:t>Legal and</w:t>
      </w:r>
      <w:r>
        <w:rPr>
          <w:rFonts w:ascii="Carlito"/>
          <w:b/>
          <w:spacing w:val="-1"/>
          <w:sz w:val="22"/>
        </w:rPr>
        <w:t> </w:t>
      </w:r>
      <w:r>
        <w:rPr>
          <w:rFonts w:ascii="Carlito"/>
          <w:b/>
          <w:sz w:val="22"/>
        </w:rPr>
        <w:t>General</w:t>
      </w:r>
    </w:p>
    <w:p>
      <w:pPr>
        <w:tabs>
          <w:tab w:pos="3000" w:val="left" w:leader="none"/>
        </w:tabs>
        <w:spacing w:line="267" w:lineRule="exact" w:before="1"/>
        <w:ind w:left="120" w:right="0" w:firstLine="0"/>
        <w:jc w:val="left"/>
        <w:rPr>
          <w:rFonts w:ascii="Carlito"/>
          <w:b/>
          <w:sz w:val="22"/>
        </w:rPr>
      </w:pPr>
      <w:r>
        <w:rPr>
          <w:rFonts w:ascii="Carlito"/>
          <w:b/>
          <w:sz w:val="22"/>
        </w:rPr>
        <w:t>Clare</w:t>
      </w:r>
      <w:r>
        <w:rPr>
          <w:rFonts w:ascii="Carlito"/>
          <w:b/>
          <w:spacing w:val="-2"/>
          <w:sz w:val="22"/>
        </w:rPr>
        <w:t> </w:t>
      </w:r>
      <w:r>
        <w:rPr>
          <w:rFonts w:ascii="Carlito"/>
          <w:b/>
          <w:sz w:val="22"/>
        </w:rPr>
        <w:t>Dawson</w:t>
        <w:tab/>
        <w:t>Loan Market</w:t>
      </w:r>
      <w:r>
        <w:rPr>
          <w:rFonts w:ascii="Carlito"/>
          <w:b/>
          <w:spacing w:val="-2"/>
          <w:sz w:val="22"/>
        </w:rPr>
        <w:t> </w:t>
      </w:r>
      <w:r>
        <w:rPr>
          <w:rFonts w:ascii="Carlito"/>
          <w:b/>
          <w:sz w:val="22"/>
        </w:rPr>
        <w:t>Association</w:t>
      </w:r>
    </w:p>
    <w:p>
      <w:pPr>
        <w:tabs>
          <w:tab w:pos="3000" w:val="left" w:leader="none"/>
        </w:tabs>
        <w:spacing w:line="267" w:lineRule="exact" w:before="0"/>
        <w:ind w:left="120" w:right="0" w:firstLine="0"/>
        <w:jc w:val="left"/>
        <w:rPr>
          <w:rFonts w:ascii="Carlito"/>
          <w:b/>
          <w:sz w:val="22"/>
        </w:rPr>
      </w:pPr>
      <w:r>
        <w:rPr>
          <w:rFonts w:ascii="Carlito"/>
          <w:b/>
          <w:sz w:val="22"/>
        </w:rPr>
        <w:t>Siobhan</w:t>
      </w:r>
      <w:r>
        <w:rPr>
          <w:rFonts w:ascii="Carlito"/>
          <w:b/>
          <w:spacing w:val="-3"/>
          <w:sz w:val="22"/>
        </w:rPr>
        <w:t> </w:t>
      </w:r>
      <w:r>
        <w:rPr>
          <w:rFonts w:ascii="Carlito"/>
          <w:b/>
          <w:sz w:val="22"/>
        </w:rPr>
        <w:t>Clarke</w:t>
        <w:tab/>
        <w:t>M&amp;G</w:t>
      </w:r>
    </w:p>
    <w:p>
      <w:pPr>
        <w:tabs>
          <w:tab w:pos="3000" w:val="left" w:leader="none"/>
        </w:tabs>
        <w:spacing w:before="0"/>
        <w:ind w:left="120" w:right="0" w:firstLine="0"/>
        <w:jc w:val="left"/>
        <w:rPr>
          <w:rFonts w:ascii="Carlito"/>
          <w:b/>
          <w:sz w:val="22"/>
        </w:rPr>
      </w:pPr>
      <w:r>
        <w:rPr>
          <w:rFonts w:ascii="Carlito"/>
          <w:b/>
          <w:sz w:val="22"/>
        </w:rPr>
        <w:t>David</w:t>
      </w:r>
      <w:r>
        <w:rPr>
          <w:rFonts w:ascii="Carlito"/>
          <w:b/>
          <w:spacing w:val="-4"/>
          <w:sz w:val="22"/>
        </w:rPr>
        <w:t> </w:t>
      </w:r>
      <w:r>
        <w:rPr>
          <w:rFonts w:ascii="Carlito"/>
          <w:b/>
          <w:sz w:val="22"/>
        </w:rPr>
        <w:t>Covey</w:t>
        <w:tab/>
        <w:t>M&amp;G</w:t>
      </w:r>
      <w:r>
        <w:rPr>
          <w:rFonts w:ascii="Carlito"/>
          <w:b/>
          <w:spacing w:val="-1"/>
          <w:sz w:val="22"/>
        </w:rPr>
        <w:t> </w:t>
      </w:r>
      <w:r>
        <w:rPr>
          <w:rFonts w:ascii="Carlito"/>
          <w:b/>
          <w:sz w:val="22"/>
        </w:rPr>
        <w:t>Investments</w:t>
      </w:r>
    </w:p>
    <w:p>
      <w:pPr>
        <w:tabs>
          <w:tab w:pos="3000" w:val="left" w:leader="none"/>
        </w:tabs>
        <w:spacing w:before="0"/>
        <w:ind w:left="120" w:right="0" w:firstLine="0"/>
        <w:jc w:val="left"/>
        <w:rPr>
          <w:rFonts w:ascii="Carlito"/>
          <w:b/>
          <w:sz w:val="22"/>
        </w:rPr>
      </w:pPr>
      <w:r>
        <w:rPr>
          <w:rFonts w:ascii="Carlito"/>
          <w:b/>
          <w:sz w:val="22"/>
        </w:rPr>
        <w:t>Richard</w:t>
      </w:r>
      <w:r>
        <w:rPr>
          <w:rFonts w:ascii="Carlito"/>
          <w:b/>
          <w:spacing w:val="-2"/>
          <w:sz w:val="22"/>
        </w:rPr>
        <w:t> </w:t>
      </w:r>
      <w:r>
        <w:rPr>
          <w:rFonts w:ascii="Carlito"/>
          <w:b/>
          <w:sz w:val="22"/>
        </w:rPr>
        <w:t>Merret</w:t>
        <w:tab/>
        <w:t>Nationwide Building</w:t>
      </w:r>
      <w:r>
        <w:rPr>
          <w:rFonts w:ascii="Carlito"/>
          <w:b/>
          <w:spacing w:val="-1"/>
          <w:sz w:val="22"/>
        </w:rPr>
        <w:t> </w:t>
      </w:r>
      <w:r>
        <w:rPr>
          <w:rFonts w:ascii="Carlito"/>
          <w:b/>
          <w:sz w:val="22"/>
        </w:rPr>
        <w:t>Society</w:t>
      </w:r>
    </w:p>
    <w:p>
      <w:pPr>
        <w:tabs>
          <w:tab w:pos="3000" w:val="left" w:leader="none"/>
        </w:tabs>
        <w:spacing w:before="0"/>
        <w:ind w:left="120" w:right="0" w:firstLine="0"/>
        <w:jc w:val="left"/>
        <w:rPr>
          <w:rFonts w:ascii="Carlito"/>
          <w:b/>
          <w:sz w:val="22"/>
        </w:rPr>
      </w:pPr>
      <w:r>
        <w:rPr>
          <w:rFonts w:ascii="Carlito"/>
          <w:b/>
          <w:sz w:val="22"/>
        </w:rPr>
        <w:t>Oliver</w:t>
      </w:r>
      <w:r>
        <w:rPr>
          <w:rFonts w:ascii="Carlito"/>
          <w:b/>
          <w:spacing w:val="-4"/>
          <w:sz w:val="22"/>
        </w:rPr>
        <w:t> </w:t>
      </w:r>
      <w:r>
        <w:rPr>
          <w:rFonts w:ascii="Carlito"/>
          <w:b/>
          <w:sz w:val="22"/>
        </w:rPr>
        <w:t>Cooke</w:t>
        <w:tab/>
        <w:t>Natwest Markets</w:t>
      </w:r>
    </w:p>
    <w:p>
      <w:pPr>
        <w:tabs>
          <w:tab w:pos="3000" w:val="left" w:leader="none"/>
        </w:tabs>
        <w:spacing w:before="1"/>
        <w:ind w:left="120" w:right="0" w:firstLine="0"/>
        <w:jc w:val="left"/>
        <w:rPr>
          <w:rFonts w:ascii="Carlito"/>
          <w:b/>
          <w:sz w:val="22"/>
        </w:rPr>
      </w:pPr>
      <w:r>
        <w:rPr>
          <w:rFonts w:ascii="Carlito"/>
          <w:b/>
          <w:sz w:val="22"/>
        </w:rPr>
        <w:t>Kieran</w:t>
      </w:r>
      <w:r>
        <w:rPr>
          <w:rFonts w:ascii="Carlito"/>
          <w:b/>
          <w:spacing w:val="-3"/>
          <w:sz w:val="22"/>
        </w:rPr>
        <w:t> </w:t>
      </w:r>
      <w:r>
        <w:rPr>
          <w:rFonts w:ascii="Carlito"/>
          <w:b/>
          <w:sz w:val="22"/>
        </w:rPr>
        <w:t>Higgins</w:t>
        <w:tab/>
        <w:t>Royal Bank of</w:t>
      </w:r>
      <w:r>
        <w:rPr>
          <w:rFonts w:ascii="Carlito"/>
          <w:b/>
          <w:spacing w:val="-3"/>
          <w:sz w:val="22"/>
        </w:rPr>
        <w:t> </w:t>
      </w:r>
      <w:r>
        <w:rPr>
          <w:rFonts w:ascii="Carlito"/>
          <w:b/>
          <w:sz w:val="22"/>
        </w:rPr>
        <w:t>Scotland</w:t>
      </w:r>
    </w:p>
    <w:p>
      <w:pPr>
        <w:tabs>
          <w:tab w:pos="3000" w:val="left" w:leader="none"/>
        </w:tabs>
        <w:spacing w:line="516" w:lineRule="auto" w:before="0"/>
        <w:ind w:left="120" w:right="5245" w:firstLine="0"/>
        <w:jc w:val="left"/>
        <w:rPr>
          <w:rFonts w:ascii="Carlito"/>
          <w:b/>
          <w:sz w:val="22"/>
        </w:rPr>
      </w:pPr>
      <w:r>
        <w:rPr>
          <w:rFonts w:ascii="Carlito"/>
          <w:b/>
          <w:sz w:val="22"/>
        </w:rPr>
        <w:t>Ronald</w:t>
      </w:r>
      <w:r>
        <w:rPr>
          <w:rFonts w:ascii="Carlito"/>
          <w:b/>
          <w:spacing w:val="-2"/>
          <w:sz w:val="22"/>
        </w:rPr>
        <w:t> </w:t>
      </w:r>
      <w:r>
        <w:rPr>
          <w:rFonts w:ascii="Carlito"/>
          <w:b/>
          <w:sz w:val="22"/>
        </w:rPr>
        <w:t>Kent</w:t>
        <w:tab/>
        <w:t>UK </w:t>
      </w:r>
      <w:r>
        <w:rPr>
          <w:rFonts w:ascii="Carlito"/>
          <w:b/>
          <w:spacing w:val="-4"/>
          <w:sz w:val="22"/>
        </w:rPr>
        <w:t>Finance </w:t>
      </w:r>
      <w:r>
        <w:rPr>
          <w:rFonts w:ascii="Carlito"/>
          <w:b/>
          <w:sz w:val="22"/>
        </w:rPr>
        <w:t>Official sector</w:t>
      </w:r>
      <w:r>
        <w:rPr>
          <w:rFonts w:ascii="Carlito"/>
          <w:b/>
          <w:spacing w:val="-5"/>
          <w:sz w:val="22"/>
        </w:rPr>
        <w:t> </w:t>
      </w:r>
      <w:r>
        <w:rPr>
          <w:rFonts w:ascii="Carlito"/>
          <w:b/>
          <w:sz w:val="22"/>
        </w:rPr>
        <w:t>attendees</w:t>
      </w:r>
    </w:p>
    <w:p>
      <w:pPr>
        <w:tabs>
          <w:tab w:pos="3000" w:val="left" w:leader="none"/>
        </w:tabs>
        <w:spacing w:line="201" w:lineRule="exact" w:before="0"/>
        <w:ind w:left="120" w:right="0" w:firstLine="0"/>
        <w:jc w:val="left"/>
        <w:rPr>
          <w:rFonts w:ascii="Carlito"/>
          <w:b/>
          <w:sz w:val="22"/>
        </w:rPr>
      </w:pPr>
      <w:r>
        <w:rPr>
          <w:rFonts w:ascii="Carlito"/>
          <w:b/>
          <w:sz w:val="22"/>
        </w:rPr>
        <w:t>Alastair</w:t>
      </w:r>
      <w:r>
        <w:rPr>
          <w:rFonts w:ascii="Carlito"/>
          <w:b/>
          <w:spacing w:val="-2"/>
          <w:sz w:val="22"/>
        </w:rPr>
        <w:t> </w:t>
      </w:r>
      <w:r>
        <w:rPr>
          <w:rFonts w:ascii="Carlito"/>
          <w:b/>
          <w:sz w:val="22"/>
        </w:rPr>
        <w:t>Hughes</w:t>
        <w:tab/>
        <w:t>Bank of</w:t>
      </w:r>
      <w:r>
        <w:rPr>
          <w:rFonts w:ascii="Carlito"/>
          <w:b/>
          <w:spacing w:val="-6"/>
          <w:sz w:val="22"/>
        </w:rPr>
        <w:t> </w:t>
      </w:r>
      <w:r>
        <w:rPr>
          <w:rFonts w:ascii="Carlito"/>
          <w:b/>
          <w:sz w:val="22"/>
        </w:rPr>
        <w:t>England</w:t>
      </w:r>
    </w:p>
    <w:p>
      <w:pPr>
        <w:tabs>
          <w:tab w:pos="3000" w:val="left" w:leader="none"/>
        </w:tabs>
        <w:spacing w:before="39"/>
        <w:ind w:left="120" w:right="0" w:firstLine="0"/>
        <w:jc w:val="left"/>
        <w:rPr>
          <w:rFonts w:ascii="Carlito"/>
          <w:b/>
          <w:sz w:val="22"/>
        </w:rPr>
      </w:pPr>
      <w:r>
        <w:rPr>
          <w:rFonts w:ascii="Carlito"/>
          <w:b/>
          <w:sz w:val="22"/>
        </w:rPr>
        <w:t>Wayne</w:t>
      </w:r>
      <w:r>
        <w:rPr>
          <w:rFonts w:ascii="Carlito"/>
          <w:b/>
          <w:spacing w:val="-2"/>
          <w:sz w:val="22"/>
        </w:rPr>
        <w:t> </w:t>
      </w:r>
      <w:r>
        <w:rPr>
          <w:rFonts w:ascii="Carlito"/>
          <w:b/>
          <w:sz w:val="22"/>
        </w:rPr>
        <w:t>Leslie</w:t>
        <w:tab/>
        <w:t>Bank of</w:t>
      </w:r>
      <w:r>
        <w:rPr>
          <w:rFonts w:ascii="Carlito"/>
          <w:b/>
          <w:spacing w:val="-6"/>
          <w:sz w:val="22"/>
        </w:rPr>
        <w:t> </w:t>
      </w:r>
      <w:r>
        <w:rPr>
          <w:rFonts w:ascii="Carlito"/>
          <w:b/>
          <w:sz w:val="22"/>
        </w:rPr>
        <w:t>England</w:t>
      </w:r>
    </w:p>
    <w:p>
      <w:pPr>
        <w:tabs>
          <w:tab w:pos="3000" w:val="left" w:leader="none"/>
        </w:tabs>
        <w:spacing w:before="41"/>
        <w:ind w:left="120" w:right="0" w:firstLine="0"/>
        <w:jc w:val="left"/>
        <w:rPr>
          <w:rFonts w:ascii="Carlito"/>
          <w:b/>
          <w:sz w:val="22"/>
        </w:rPr>
      </w:pPr>
      <w:r>
        <w:rPr>
          <w:rFonts w:ascii="Carlito"/>
          <w:b/>
          <w:sz w:val="22"/>
        </w:rPr>
        <w:t>Jugvinder</w:t>
      </w:r>
      <w:r>
        <w:rPr>
          <w:rFonts w:ascii="Carlito"/>
          <w:b/>
          <w:spacing w:val="-2"/>
          <w:sz w:val="22"/>
        </w:rPr>
        <w:t> </w:t>
      </w:r>
      <w:r>
        <w:rPr>
          <w:rFonts w:ascii="Carlito"/>
          <w:b/>
          <w:sz w:val="22"/>
        </w:rPr>
        <w:t>Singh</w:t>
        <w:tab/>
        <w:t>Bank of</w:t>
      </w:r>
      <w:r>
        <w:rPr>
          <w:rFonts w:ascii="Carlito"/>
          <w:b/>
          <w:spacing w:val="-6"/>
          <w:sz w:val="22"/>
        </w:rPr>
        <w:t> </w:t>
      </w:r>
      <w:r>
        <w:rPr>
          <w:rFonts w:ascii="Carlito"/>
          <w:b/>
          <w:sz w:val="22"/>
        </w:rPr>
        <w:t>England</w:t>
      </w:r>
    </w:p>
    <w:p>
      <w:pPr>
        <w:tabs>
          <w:tab w:pos="3000" w:val="left" w:leader="none"/>
        </w:tabs>
        <w:spacing w:before="41"/>
        <w:ind w:left="120" w:right="0" w:firstLine="0"/>
        <w:jc w:val="left"/>
        <w:rPr>
          <w:rFonts w:ascii="Carlito"/>
          <w:b/>
          <w:sz w:val="22"/>
        </w:rPr>
      </w:pPr>
      <w:r>
        <w:rPr>
          <w:rFonts w:ascii="Carlito"/>
          <w:b/>
          <w:sz w:val="22"/>
        </w:rPr>
        <w:t>Stefania</w:t>
      </w:r>
      <w:r>
        <w:rPr>
          <w:rFonts w:ascii="Carlito"/>
          <w:b/>
          <w:spacing w:val="-2"/>
          <w:sz w:val="22"/>
        </w:rPr>
        <w:t> </w:t>
      </w:r>
      <w:r>
        <w:rPr>
          <w:rFonts w:ascii="Carlito"/>
          <w:b/>
          <w:sz w:val="22"/>
        </w:rPr>
        <w:t>Spiga</w:t>
        <w:tab/>
        <w:t>Bank of</w:t>
      </w:r>
      <w:r>
        <w:rPr>
          <w:rFonts w:ascii="Carlito"/>
          <w:b/>
          <w:spacing w:val="-6"/>
          <w:sz w:val="22"/>
        </w:rPr>
        <w:t> </w:t>
      </w:r>
      <w:r>
        <w:rPr>
          <w:rFonts w:ascii="Carlito"/>
          <w:b/>
          <w:sz w:val="22"/>
        </w:rPr>
        <w:t>England</w:t>
      </w:r>
    </w:p>
    <w:p>
      <w:pPr>
        <w:tabs>
          <w:tab w:pos="3000" w:val="left" w:leader="none"/>
        </w:tabs>
        <w:spacing w:before="39"/>
        <w:ind w:left="120" w:right="0" w:firstLine="0"/>
        <w:jc w:val="left"/>
        <w:rPr>
          <w:rFonts w:ascii="Carlito"/>
          <w:b/>
          <w:sz w:val="22"/>
        </w:rPr>
      </w:pPr>
      <w:r>
        <w:rPr>
          <w:rFonts w:ascii="Carlito"/>
          <w:b/>
          <w:sz w:val="22"/>
        </w:rPr>
        <w:t>Peter</w:t>
      </w:r>
      <w:r>
        <w:rPr>
          <w:rFonts w:ascii="Carlito"/>
          <w:b/>
          <w:spacing w:val="-2"/>
          <w:sz w:val="22"/>
        </w:rPr>
        <w:t> </w:t>
      </w:r>
      <w:r>
        <w:rPr>
          <w:rFonts w:ascii="Carlito"/>
          <w:b/>
          <w:sz w:val="22"/>
        </w:rPr>
        <w:t>Balint</w:t>
        <w:tab/>
        <w:t>Bank of</w:t>
      </w:r>
      <w:r>
        <w:rPr>
          <w:rFonts w:ascii="Carlito"/>
          <w:b/>
          <w:spacing w:val="-6"/>
          <w:sz w:val="22"/>
        </w:rPr>
        <w:t> </w:t>
      </w:r>
      <w:r>
        <w:rPr>
          <w:rFonts w:ascii="Carlito"/>
          <w:b/>
          <w:sz w:val="22"/>
        </w:rPr>
        <w:t>England</w:t>
      </w:r>
    </w:p>
    <w:p>
      <w:pPr>
        <w:tabs>
          <w:tab w:pos="3000" w:val="left" w:leader="none"/>
        </w:tabs>
        <w:spacing w:before="41"/>
        <w:ind w:left="120" w:right="0" w:firstLine="0"/>
        <w:jc w:val="left"/>
        <w:rPr>
          <w:rFonts w:ascii="Carlito"/>
          <w:b/>
          <w:sz w:val="22"/>
        </w:rPr>
      </w:pPr>
      <w:r>
        <w:rPr>
          <w:rFonts w:ascii="Carlito"/>
          <w:b/>
          <w:sz w:val="22"/>
        </w:rPr>
        <w:t>Leman</w:t>
      </w:r>
      <w:r>
        <w:rPr>
          <w:rFonts w:ascii="Carlito"/>
          <w:b/>
          <w:spacing w:val="-2"/>
          <w:sz w:val="22"/>
        </w:rPr>
        <w:t> </w:t>
      </w:r>
      <w:r>
        <w:rPr>
          <w:rFonts w:ascii="Carlito"/>
          <w:b/>
          <w:sz w:val="22"/>
        </w:rPr>
        <w:t>Menguturk</w:t>
        <w:tab/>
        <w:t>Bank of</w:t>
      </w:r>
      <w:r>
        <w:rPr>
          <w:rFonts w:ascii="Carlito"/>
          <w:b/>
          <w:spacing w:val="-6"/>
          <w:sz w:val="22"/>
        </w:rPr>
        <w:t> </w:t>
      </w:r>
      <w:r>
        <w:rPr>
          <w:rFonts w:ascii="Carlito"/>
          <w:b/>
          <w:sz w:val="22"/>
        </w:rPr>
        <w:t>England</w:t>
      </w:r>
    </w:p>
    <w:p>
      <w:pPr>
        <w:pStyle w:val="BodyText"/>
        <w:spacing w:before="8"/>
        <w:ind w:left="0" w:firstLine="0"/>
        <w:rPr>
          <w:rFonts w:ascii="Carlito"/>
          <w:b/>
          <w:sz w:val="19"/>
        </w:rPr>
      </w:pPr>
    </w:p>
    <w:p>
      <w:pPr>
        <w:tabs>
          <w:tab w:pos="3000" w:val="left" w:leader="none"/>
        </w:tabs>
        <w:spacing w:line="278" w:lineRule="auto" w:before="0"/>
        <w:ind w:left="120" w:right="3721" w:firstLine="0"/>
        <w:jc w:val="left"/>
        <w:rPr>
          <w:rFonts w:ascii="Carlito"/>
          <w:b/>
          <w:sz w:val="22"/>
        </w:rPr>
      </w:pPr>
      <w:r>
        <w:rPr>
          <w:rFonts w:ascii="Carlito"/>
          <w:b/>
          <w:sz w:val="22"/>
        </w:rPr>
        <w:t>Edwin</w:t>
      </w:r>
      <w:r>
        <w:rPr>
          <w:rFonts w:ascii="Carlito"/>
          <w:b/>
          <w:spacing w:val="-2"/>
          <w:sz w:val="22"/>
        </w:rPr>
        <w:t> </w:t>
      </w:r>
      <w:r>
        <w:rPr>
          <w:rFonts w:ascii="Carlito"/>
          <w:b/>
          <w:sz w:val="22"/>
        </w:rPr>
        <w:t>Schooling</w:t>
      </w:r>
      <w:r>
        <w:rPr>
          <w:rFonts w:ascii="Carlito"/>
          <w:b/>
          <w:spacing w:val="-3"/>
          <w:sz w:val="22"/>
        </w:rPr>
        <w:t> </w:t>
      </w:r>
      <w:r>
        <w:rPr>
          <w:rFonts w:ascii="Carlito"/>
          <w:b/>
          <w:sz w:val="22"/>
        </w:rPr>
        <w:t>Latter</w:t>
        <w:tab/>
        <w:t>Financial Conduct Authority Richard</w:t>
      </w:r>
      <w:r>
        <w:rPr>
          <w:rFonts w:ascii="Carlito"/>
          <w:b/>
          <w:spacing w:val="-2"/>
          <w:sz w:val="22"/>
        </w:rPr>
        <w:t> </w:t>
      </w:r>
      <w:r>
        <w:rPr>
          <w:rFonts w:ascii="Carlito"/>
          <w:b/>
          <w:sz w:val="22"/>
        </w:rPr>
        <w:t>Fox</w:t>
        <w:tab/>
        <w:t>Financial Conduct</w:t>
      </w:r>
      <w:r>
        <w:rPr>
          <w:rFonts w:ascii="Carlito"/>
          <w:b/>
          <w:spacing w:val="-10"/>
          <w:sz w:val="22"/>
        </w:rPr>
        <w:t> </w:t>
      </w:r>
      <w:r>
        <w:rPr>
          <w:rFonts w:ascii="Carlito"/>
          <w:b/>
          <w:sz w:val="22"/>
        </w:rPr>
        <w:t>Authority</w:t>
      </w:r>
    </w:p>
    <w:p>
      <w:pPr>
        <w:tabs>
          <w:tab w:pos="3000" w:val="left" w:leader="none"/>
        </w:tabs>
        <w:spacing w:line="263" w:lineRule="exact" w:before="0"/>
        <w:ind w:left="120" w:right="0" w:firstLine="0"/>
        <w:jc w:val="left"/>
        <w:rPr>
          <w:rFonts w:ascii="Carlito"/>
          <w:b/>
          <w:sz w:val="22"/>
        </w:rPr>
      </w:pPr>
      <w:r>
        <w:rPr>
          <w:rFonts w:ascii="Carlito"/>
          <w:b/>
          <w:sz w:val="22"/>
        </w:rPr>
        <w:t>Anne-Laure</w:t>
      </w:r>
      <w:r>
        <w:rPr>
          <w:rFonts w:ascii="Carlito"/>
          <w:b/>
          <w:spacing w:val="-3"/>
          <w:sz w:val="22"/>
        </w:rPr>
        <w:t> </w:t>
      </w:r>
      <w:r>
        <w:rPr>
          <w:rFonts w:ascii="Carlito"/>
          <w:b/>
          <w:sz w:val="22"/>
        </w:rPr>
        <w:t>Condat</w:t>
        <w:tab/>
        <w:t>Financial Conduct</w:t>
      </w:r>
      <w:r>
        <w:rPr>
          <w:rFonts w:ascii="Carlito"/>
          <w:b/>
          <w:spacing w:val="-10"/>
          <w:sz w:val="22"/>
        </w:rPr>
        <w:t> </w:t>
      </w:r>
      <w:r>
        <w:rPr>
          <w:rFonts w:ascii="Carlito"/>
          <w:b/>
          <w:sz w:val="22"/>
        </w:rPr>
        <w:t>Authority</w:t>
      </w:r>
    </w:p>
    <w:p>
      <w:pPr>
        <w:tabs>
          <w:tab w:pos="3000" w:val="left" w:leader="none"/>
        </w:tabs>
        <w:spacing w:before="41"/>
        <w:ind w:left="120" w:right="0" w:firstLine="0"/>
        <w:jc w:val="left"/>
        <w:rPr>
          <w:rFonts w:ascii="Carlito"/>
          <w:b/>
          <w:sz w:val="22"/>
        </w:rPr>
      </w:pPr>
      <w:r>
        <w:rPr>
          <w:rFonts w:ascii="Carlito"/>
          <w:b/>
          <w:sz w:val="22"/>
        </w:rPr>
        <w:t>Toby</w:t>
      </w:r>
      <w:r>
        <w:rPr>
          <w:rFonts w:ascii="Carlito"/>
          <w:b/>
          <w:spacing w:val="-2"/>
          <w:sz w:val="22"/>
        </w:rPr>
        <w:t> </w:t>
      </w:r>
      <w:r>
        <w:rPr>
          <w:rFonts w:ascii="Carlito"/>
          <w:b/>
          <w:sz w:val="22"/>
        </w:rPr>
        <w:t>Williams</w:t>
        <w:tab/>
        <w:t>Financial Conduct</w:t>
      </w:r>
      <w:r>
        <w:rPr>
          <w:rFonts w:ascii="Carlito"/>
          <w:b/>
          <w:spacing w:val="-9"/>
          <w:sz w:val="22"/>
        </w:rPr>
        <w:t> </w:t>
      </w:r>
      <w:r>
        <w:rPr>
          <w:rFonts w:ascii="Carlito"/>
          <w:b/>
          <w:sz w:val="22"/>
        </w:rPr>
        <w:t>Authority</w:t>
      </w:r>
    </w:p>
    <w:p>
      <w:pPr>
        <w:tabs>
          <w:tab w:pos="3000" w:val="left" w:leader="none"/>
        </w:tabs>
        <w:spacing w:before="41"/>
        <w:ind w:left="120" w:right="0" w:firstLine="0"/>
        <w:jc w:val="left"/>
        <w:rPr>
          <w:rFonts w:ascii="Carlito"/>
          <w:b/>
          <w:sz w:val="22"/>
        </w:rPr>
      </w:pPr>
      <w:r>
        <w:rPr>
          <w:rFonts w:ascii="Carlito"/>
          <w:b/>
          <w:sz w:val="22"/>
        </w:rPr>
        <w:t>Devid</w:t>
      </w:r>
      <w:r>
        <w:rPr>
          <w:rFonts w:ascii="Carlito"/>
          <w:b/>
          <w:spacing w:val="-3"/>
          <w:sz w:val="22"/>
        </w:rPr>
        <w:t> </w:t>
      </w:r>
      <w:r>
        <w:rPr>
          <w:rFonts w:ascii="Carlito"/>
          <w:b/>
          <w:sz w:val="22"/>
        </w:rPr>
        <w:t>Mazzonetto</w:t>
        <w:tab/>
        <w:t>Financial Conduct</w:t>
      </w:r>
      <w:r>
        <w:rPr>
          <w:rFonts w:ascii="Carlito"/>
          <w:b/>
          <w:spacing w:val="-10"/>
          <w:sz w:val="22"/>
        </w:rPr>
        <w:t> </w:t>
      </w:r>
      <w:r>
        <w:rPr>
          <w:rFonts w:ascii="Carlito"/>
          <w:b/>
          <w:sz w:val="22"/>
        </w:rPr>
        <w:t>Authority</w:t>
      </w:r>
    </w:p>
    <w:p>
      <w:pPr>
        <w:tabs>
          <w:tab w:pos="3000" w:val="left" w:leader="none"/>
        </w:tabs>
        <w:spacing w:before="39"/>
        <w:ind w:left="120" w:right="0" w:firstLine="0"/>
        <w:jc w:val="left"/>
        <w:rPr>
          <w:rFonts w:ascii="Carlito"/>
          <w:b/>
          <w:sz w:val="22"/>
        </w:rPr>
      </w:pPr>
      <w:r>
        <w:rPr>
          <w:rFonts w:ascii="Carlito"/>
          <w:b/>
          <w:sz w:val="22"/>
        </w:rPr>
        <w:t>David</w:t>
      </w:r>
      <w:r>
        <w:rPr>
          <w:rFonts w:ascii="Carlito"/>
          <w:b/>
          <w:spacing w:val="-3"/>
          <w:sz w:val="22"/>
        </w:rPr>
        <w:t> </w:t>
      </w:r>
      <w:r>
        <w:rPr>
          <w:rFonts w:ascii="Carlito"/>
          <w:b/>
          <w:sz w:val="22"/>
        </w:rPr>
        <w:t>Kempthorne</w:t>
        <w:tab/>
        <w:t>Financial Conduct</w:t>
      </w:r>
      <w:r>
        <w:rPr>
          <w:rFonts w:ascii="Carlito"/>
          <w:b/>
          <w:spacing w:val="-10"/>
          <w:sz w:val="22"/>
        </w:rPr>
        <w:t> </w:t>
      </w:r>
      <w:r>
        <w:rPr>
          <w:rFonts w:ascii="Carlito"/>
          <w:b/>
          <w:sz w:val="22"/>
        </w:rPr>
        <w:t>Authority</w:t>
      </w:r>
    </w:p>
    <w:p>
      <w:pPr>
        <w:tabs>
          <w:tab w:pos="3000" w:val="left" w:leader="none"/>
        </w:tabs>
        <w:spacing w:before="41"/>
        <w:ind w:left="120" w:right="0" w:firstLine="0"/>
        <w:jc w:val="left"/>
        <w:rPr>
          <w:rFonts w:ascii="Carlito"/>
          <w:b/>
          <w:sz w:val="22"/>
        </w:rPr>
      </w:pPr>
      <w:r>
        <w:rPr>
          <w:rFonts w:ascii="Carlito"/>
          <w:b/>
          <w:sz w:val="22"/>
        </w:rPr>
        <w:t>Will</w:t>
      </w:r>
      <w:r>
        <w:rPr>
          <w:rFonts w:ascii="Carlito"/>
          <w:b/>
          <w:spacing w:val="-3"/>
          <w:sz w:val="22"/>
        </w:rPr>
        <w:t> </w:t>
      </w:r>
      <w:r>
        <w:rPr>
          <w:rFonts w:ascii="Carlito"/>
          <w:b/>
          <w:sz w:val="22"/>
        </w:rPr>
        <w:t>Davies</w:t>
        <w:tab/>
        <w:t>Financial Conduct</w:t>
      </w:r>
      <w:r>
        <w:rPr>
          <w:rFonts w:ascii="Carlito"/>
          <w:b/>
          <w:spacing w:val="-10"/>
          <w:sz w:val="22"/>
        </w:rPr>
        <w:t> </w:t>
      </w:r>
      <w:r>
        <w:rPr>
          <w:rFonts w:ascii="Carlito"/>
          <w:b/>
          <w:sz w:val="22"/>
        </w:rPr>
        <w:t>Authority</w:t>
      </w:r>
    </w:p>
    <w:sectPr>
      <w:pgSz w:w="11910" w:h="16840"/>
      <w:pgMar w:top="138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0" w:hanging="360"/>
        <w:jc w:val="left"/>
      </w:pPr>
      <w:rPr>
        <w:rFonts w:hint="default"/>
        <w:spacing w:val="-1"/>
        <w:w w:val="99"/>
        <w:lang w:val="en-US" w:eastAsia="en-US" w:bidi="ar-SA"/>
      </w:rPr>
    </w:lvl>
    <w:lvl w:ilvl="1">
      <w:start w:val="0"/>
      <w:numFmt w:val="bullet"/>
      <w:lvlText w:val="•"/>
      <w:lvlJc w:val="left"/>
      <w:pPr>
        <w:ind w:left="1358" w:hanging="360"/>
      </w:pPr>
      <w:rPr>
        <w:rFonts w:hint="default"/>
        <w:lang w:val="en-US" w:eastAsia="en-US" w:bidi="ar-SA"/>
      </w:rPr>
    </w:lvl>
    <w:lvl w:ilvl="2">
      <w:start w:val="0"/>
      <w:numFmt w:val="bullet"/>
      <w:lvlText w:val="•"/>
      <w:lvlJc w:val="left"/>
      <w:pPr>
        <w:ind w:left="2237" w:hanging="360"/>
      </w:pPr>
      <w:rPr>
        <w:rFonts w:hint="default"/>
        <w:lang w:val="en-US" w:eastAsia="en-US" w:bidi="ar-SA"/>
      </w:rPr>
    </w:lvl>
    <w:lvl w:ilvl="3">
      <w:start w:val="0"/>
      <w:numFmt w:val="bullet"/>
      <w:lvlText w:val="•"/>
      <w:lvlJc w:val="left"/>
      <w:pPr>
        <w:ind w:left="3115" w:hanging="360"/>
      </w:pPr>
      <w:rPr>
        <w:rFonts w:hint="default"/>
        <w:lang w:val="en-US" w:eastAsia="en-US" w:bidi="ar-SA"/>
      </w:rPr>
    </w:lvl>
    <w:lvl w:ilvl="4">
      <w:start w:val="0"/>
      <w:numFmt w:val="bullet"/>
      <w:lvlText w:val="•"/>
      <w:lvlJc w:val="left"/>
      <w:pPr>
        <w:ind w:left="3994"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1" w:hanging="360"/>
      </w:pPr>
      <w:rPr>
        <w:rFonts w:hint="default"/>
        <w:lang w:val="en-US" w:eastAsia="en-US" w:bidi="ar-SA"/>
      </w:rPr>
    </w:lvl>
    <w:lvl w:ilvl="7">
      <w:start w:val="0"/>
      <w:numFmt w:val="bullet"/>
      <w:lvlText w:val="•"/>
      <w:lvlJc w:val="left"/>
      <w:pPr>
        <w:ind w:left="6630" w:hanging="360"/>
      </w:pPr>
      <w:rPr>
        <w:rFonts w:hint="default"/>
        <w:lang w:val="en-US" w:eastAsia="en-US" w:bidi="ar-SA"/>
      </w:rPr>
    </w:lvl>
    <w:lvl w:ilvl="8">
      <w:start w:val="0"/>
      <w:numFmt w:val="bullet"/>
      <w:lvlText w:val="•"/>
      <w:lvlJc w:val="left"/>
      <w:pPr>
        <w:ind w:left="7509" w:hanging="360"/>
      </w:pPr>
      <w:rPr>
        <w:rFonts w:hint="default"/>
        <w:lang w:val="en-US" w:eastAsia="en-US" w:bidi="ar-SA"/>
      </w:rPr>
    </w:lvl>
  </w:abstractNum>
  <w:abstractNum w:abstractNumId="0">
    <w:multiLevelType w:val="hybridMultilevel"/>
    <w:lvl w:ilvl="0">
      <w:start w:val="1"/>
      <w:numFmt w:val="decimal"/>
      <w:lvlText w:val="%1."/>
      <w:lvlJc w:val="left"/>
      <w:pPr>
        <w:ind w:left="840" w:hanging="36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1560" w:hanging="360"/>
        <w:jc w:val="left"/>
      </w:pPr>
      <w:rPr>
        <w:rFonts w:hint="default" w:ascii="Arial" w:hAnsi="Arial" w:eastAsia="Arial" w:cs="Arial"/>
        <w:spacing w:val="-1"/>
        <w:w w:val="99"/>
        <w:sz w:val="20"/>
        <w:szCs w:val="20"/>
        <w:lang w:val="en-US" w:eastAsia="en-US" w:bidi="ar-SA"/>
      </w:rPr>
    </w:lvl>
    <w:lvl w:ilvl="2">
      <w:start w:val="1"/>
      <w:numFmt w:val="lowerRoman"/>
      <w:lvlText w:val="%3."/>
      <w:lvlJc w:val="left"/>
      <w:pPr>
        <w:ind w:left="2281" w:hanging="282"/>
        <w:jc w:val="left"/>
      </w:pPr>
      <w:rPr>
        <w:rFonts w:hint="default" w:ascii="Arial" w:hAnsi="Arial" w:eastAsia="Arial" w:cs="Arial"/>
        <w:spacing w:val="-2"/>
        <w:w w:val="99"/>
        <w:sz w:val="20"/>
        <w:szCs w:val="20"/>
        <w:lang w:val="en-US" w:eastAsia="en-US" w:bidi="ar-SA"/>
      </w:rPr>
    </w:lvl>
    <w:lvl w:ilvl="3">
      <w:start w:val="0"/>
      <w:numFmt w:val="bullet"/>
      <w:lvlText w:val="•"/>
      <w:lvlJc w:val="left"/>
      <w:pPr>
        <w:ind w:left="3153" w:hanging="282"/>
      </w:pPr>
      <w:rPr>
        <w:rFonts w:hint="default"/>
        <w:lang w:val="en-US" w:eastAsia="en-US" w:bidi="ar-SA"/>
      </w:rPr>
    </w:lvl>
    <w:lvl w:ilvl="4">
      <w:start w:val="0"/>
      <w:numFmt w:val="bullet"/>
      <w:lvlText w:val="•"/>
      <w:lvlJc w:val="left"/>
      <w:pPr>
        <w:ind w:left="4026" w:hanging="282"/>
      </w:pPr>
      <w:rPr>
        <w:rFonts w:hint="default"/>
        <w:lang w:val="en-US" w:eastAsia="en-US" w:bidi="ar-SA"/>
      </w:rPr>
    </w:lvl>
    <w:lvl w:ilvl="5">
      <w:start w:val="0"/>
      <w:numFmt w:val="bullet"/>
      <w:lvlText w:val="•"/>
      <w:lvlJc w:val="left"/>
      <w:pPr>
        <w:ind w:left="4899" w:hanging="282"/>
      </w:pPr>
      <w:rPr>
        <w:rFonts w:hint="default"/>
        <w:lang w:val="en-US" w:eastAsia="en-US" w:bidi="ar-SA"/>
      </w:rPr>
    </w:lvl>
    <w:lvl w:ilvl="6">
      <w:start w:val="0"/>
      <w:numFmt w:val="bullet"/>
      <w:lvlText w:val="•"/>
      <w:lvlJc w:val="left"/>
      <w:pPr>
        <w:ind w:left="5773" w:hanging="282"/>
      </w:pPr>
      <w:rPr>
        <w:rFonts w:hint="default"/>
        <w:lang w:val="en-US" w:eastAsia="en-US" w:bidi="ar-SA"/>
      </w:rPr>
    </w:lvl>
    <w:lvl w:ilvl="7">
      <w:start w:val="0"/>
      <w:numFmt w:val="bullet"/>
      <w:lvlText w:val="•"/>
      <w:lvlJc w:val="left"/>
      <w:pPr>
        <w:ind w:left="6646" w:hanging="282"/>
      </w:pPr>
      <w:rPr>
        <w:rFonts w:hint="default"/>
        <w:lang w:val="en-US" w:eastAsia="en-US" w:bidi="ar-SA"/>
      </w:rPr>
    </w:lvl>
    <w:lvl w:ilvl="8">
      <w:start w:val="0"/>
      <w:numFmt w:val="bullet"/>
      <w:lvlText w:val="•"/>
      <w:lvlJc w:val="left"/>
      <w:pPr>
        <w:ind w:left="7519" w:hanging="28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34"/>
      <w:ind w:left="480" w:hanging="361"/>
    </w:pPr>
    <w:rPr>
      <w:rFonts w:ascii="Arial" w:hAnsi="Arial" w:eastAsia="Arial" w:cs="Arial"/>
      <w:sz w:val="20"/>
      <w:szCs w:val="20"/>
      <w:lang w:val="en-US" w:eastAsia="en-US" w:bidi="ar-SA"/>
    </w:rPr>
  </w:style>
  <w:style w:styleId="Heading1" w:type="paragraph">
    <w:name w:val="Heading 1"/>
    <w:basedOn w:val="Normal"/>
    <w:uiPriority w:val="1"/>
    <w:qFormat/>
    <w:pPr>
      <w:spacing w:before="6"/>
      <w:ind w:left="278"/>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120"/>
      <w:jc w:val="both"/>
      <w:outlineLvl w:val="2"/>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34"/>
      <w:ind w:left="480"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The Working Group on Sterling Risk-Free Reference Rates</dc:title>
  <dcterms:created xsi:type="dcterms:W3CDTF">2020-06-02T14:23:19Z</dcterms:created>
  <dcterms:modified xsi:type="dcterms:W3CDTF">2020-06-02T14:23:19Z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LastSaved">
    <vt:filetime>2020-06-02T00:00:00Z</vt:filetime>
  </property>
</Properties>
</file>