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4" w:lineRule="auto" w:before="70"/>
        <w:ind w:left="960" w:right="877"/>
        <w:jc w:val="center"/>
      </w:pPr>
      <w:r>
        <w:rPr/>
        <w:t>Minutes of the Meeting of the Working Group on Sterling Risk-Free Reference Rates Friday 6 October 2017</w:t>
      </w:r>
    </w:p>
    <w:p>
      <w:pPr>
        <w:spacing w:line="229" w:lineRule="exact" w:before="0"/>
        <w:ind w:left="958" w:right="877" w:firstLine="0"/>
        <w:jc w:val="center"/>
        <w:rPr>
          <w:b/>
          <w:sz w:val="20"/>
        </w:rPr>
      </w:pPr>
      <w:r>
        <w:rPr>
          <w:b/>
          <w:sz w:val="20"/>
        </w:rPr>
        <w:t>Barclays offices – 5 North Colonnade</w:t>
      </w:r>
    </w:p>
    <w:p>
      <w:pPr>
        <w:pStyle w:val="BodyText"/>
        <w:spacing w:before="11"/>
        <w:rPr>
          <w:b/>
          <w:sz w:val="30"/>
        </w:rPr>
      </w:pPr>
    </w:p>
    <w:p>
      <w:pPr>
        <w:spacing w:before="0"/>
        <w:ind w:left="197"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4" w:val="left" w:leader="none"/>
          <w:tab w:pos="625" w:val="left" w:leader="none"/>
        </w:tabs>
        <w:spacing w:line="360" w:lineRule="auto" w:before="0" w:after="0"/>
        <w:ind w:left="197" w:right="452" w:firstLine="0"/>
        <w:jc w:val="left"/>
        <w:rPr>
          <w:sz w:val="20"/>
        </w:rPr>
      </w:pPr>
      <w:r>
        <w:rPr>
          <w:sz w:val="20"/>
        </w:rPr>
        <w:t>The Chair reminded all members of the Group of their responsibilities in relation to compliance</w:t>
      </w:r>
      <w:r>
        <w:rPr>
          <w:spacing w:val="-34"/>
          <w:sz w:val="20"/>
        </w:rPr>
        <w:t> </w:t>
      </w:r>
      <w:r>
        <w:rPr>
          <w:sz w:val="20"/>
        </w:rPr>
        <w:t>with competition law and the importance of taking their own independent competition law</w:t>
      </w:r>
      <w:r>
        <w:rPr>
          <w:spacing w:val="-17"/>
          <w:sz w:val="20"/>
        </w:rPr>
        <w:t> </w:t>
      </w:r>
      <w:r>
        <w:rPr>
          <w:sz w:val="20"/>
        </w:rPr>
        <w:t>advice.</w:t>
      </w:r>
    </w:p>
    <w:p>
      <w:pPr>
        <w:pStyle w:val="Heading1"/>
        <w:spacing w:before="116"/>
      </w:pPr>
      <w:r>
        <w:rPr/>
        <w:t>Minutes of previous meeting</w:t>
      </w:r>
    </w:p>
    <w:p>
      <w:pPr>
        <w:pStyle w:val="BodyText"/>
        <w:spacing w:before="8"/>
        <w:rPr>
          <w:b/>
        </w:rPr>
      </w:pPr>
    </w:p>
    <w:p>
      <w:pPr>
        <w:pStyle w:val="ListParagraph"/>
        <w:numPr>
          <w:ilvl w:val="0"/>
          <w:numId w:val="1"/>
        </w:numPr>
        <w:tabs>
          <w:tab w:pos="624" w:val="left" w:leader="none"/>
          <w:tab w:pos="625" w:val="left" w:leader="none"/>
        </w:tabs>
        <w:spacing w:line="240" w:lineRule="auto" w:before="0" w:after="0"/>
        <w:ind w:left="624" w:right="0" w:hanging="428"/>
        <w:jc w:val="left"/>
        <w:rPr>
          <w:sz w:val="20"/>
        </w:rPr>
      </w:pPr>
      <w:r>
        <w:rPr>
          <w:sz w:val="20"/>
        </w:rPr>
        <w:t>The minutes of the previous meeting on 18 August were</w:t>
      </w:r>
      <w:r>
        <w:rPr>
          <w:spacing w:val="-1"/>
          <w:sz w:val="20"/>
        </w:rPr>
        <w:t> </w:t>
      </w:r>
      <w:r>
        <w:rPr>
          <w:sz w:val="20"/>
        </w:rPr>
        <w:t>approved.</w:t>
      </w:r>
    </w:p>
    <w:p>
      <w:pPr>
        <w:pStyle w:val="BodyText"/>
        <w:spacing w:before="3"/>
      </w:pPr>
    </w:p>
    <w:p>
      <w:pPr>
        <w:pStyle w:val="Heading1"/>
        <w:spacing w:before="1"/>
      </w:pPr>
      <w:r>
        <w:rPr/>
        <w:t>White Paper responses</w:t>
      </w:r>
    </w:p>
    <w:p>
      <w:pPr>
        <w:pStyle w:val="BodyText"/>
        <w:spacing w:before="7"/>
        <w:rPr>
          <w:b/>
        </w:rPr>
      </w:pPr>
    </w:p>
    <w:p>
      <w:pPr>
        <w:pStyle w:val="ListParagraph"/>
        <w:numPr>
          <w:ilvl w:val="0"/>
          <w:numId w:val="1"/>
        </w:numPr>
        <w:tabs>
          <w:tab w:pos="624" w:val="left" w:leader="none"/>
          <w:tab w:pos="625" w:val="left" w:leader="none"/>
        </w:tabs>
        <w:spacing w:line="360" w:lineRule="auto" w:before="1" w:after="0"/>
        <w:ind w:left="197" w:right="203" w:firstLine="0"/>
        <w:jc w:val="left"/>
        <w:rPr>
          <w:sz w:val="20"/>
        </w:rPr>
      </w:pPr>
      <w:r>
        <w:rPr>
          <w:sz w:val="20"/>
        </w:rPr>
        <w:t>Since the previous meeting, the deadline had passed for interested parties to submit responses to</w:t>
      </w:r>
      <w:r>
        <w:rPr>
          <w:spacing w:val="-27"/>
          <w:sz w:val="20"/>
        </w:rPr>
        <w:t> </w:t>
      </w:r>
      <w:r>
        <w:rPr>
          <w:sz w:val="20"/>
        </w:rPr>
        <w:t>the Group’s White Paper on ‘SONIA as the RFR and approaches to adoption’.</w:t>
      </w:r>
      <w:r>
        <w:rPr>
          <w:sz w:val="20"/>
          <w:vertAlign w:val="superscript"/>
        </w:rPr>
        <w:t>1</w:t>
      </w:r>
      <w:r>
        <w:rPr>
          <w:sz w:val="20"/>
          <w:vertAlign w:val="baseline"/>
        </w:rPr>
        <w:t> The Group had received 32 responses as at the time of the meeting from a broad range of market participants, including 8 from institutions that are members of the Working</w:t>
      </w:r>
      <w:r>
        <w:rPr>
          <w:spacing w:val="-8"/>
          <w:sz w:val="20"/>
          <w:vertAlign w:val="baseline"/>
        </w:rPr>
        <w:t> </w:t>
      </w:r>
      <w:r>
        <w:rPr>
          <w:sz w:val="20"/>
          <w:vertAlign w:val="baseline"/>
        </w:rPr>
        <w:t>Group.</w:t>
      </w:r>
    </w:p>
    <w:p>
      <w:pPr>
        <w:pStyle w:val="ListParagraph"/>
        <w:numPr>
          <w:ilvl w:val="0"/>
          <w:numId w:val="1"/>
        </w:numPr>
        <w:tabs>
          <w:tab w:pos="624" w:val="left" w:leader="none"/>
          <w:tab w:pos="625" w:val="left" w:leader="none"/>
        </w:tabs>
        <w:spacing w:line="360" w:lineRule="auto" w:before="120" w:after="0"/>
        <w:ind w:left="197" w:right="531" w:firstLine="0"/>
        <w:jc w:val="left"/>
        <w:rPr>
          <w:sz w:val="20"/>
        </w:rPr>
      </w:pPr>
      <w:r>
        <w:rPr>
          <w:sz w:val="20"/>
        </w:rPr>
        <w:t>A significant majority of respondents supported reformed SONIA as the RFR. The Group has concluded therefore that there is broad market-wide support for its choice of RFR and will proceed</w:t>
      </w:r>
      <w:r>
        <w:rPr>
          <w:spacing w:val="-28"/>
          <w:sz w:val="20"/>
        </w:rPr>
        <w:t> </w:t>
      </w:r>
      <w:r>
        <w:rPr>
          <w:sz w:val="20"/>
        </w:rPr>
        <w:t>with considering how best to promote adoption of reformed SONIA as the Sterling</w:t>
      </w:r>
      <w:r>
        <w:rPr>
          <w:spacing w:val="-1"/>
          <w:sz w:val="20"/>
        </w:rPr>
        <w:t> </w:t>
      </w:r>
      <w:r>
        <w:rPr>
          <w:sz w:val="20"/>
        </w:rPr>
        <w:t>RFR.</w:t>
      </w:r>
    </w:p>
    <w:p>
      <w:pPr>
        <w:pStyle w:val="ListParagraph"/>
        <w:numPr>
          <w:ilvl w:val="0"/>
          <w:numId w:val="1"/>
        </w:numPr>
        <w:tabs>
          <w:tab w:pos="624" w:val="left" w:leader="none"/>
          <w:tab w:pos="625" w:val="left" w:leader="none"/>
        </w:tabs>
        <w:spacing w:line="360" w:lineRule="auto" w:before="120" w:after="0"/>
        <w:ind w:left="197" w:right="466" w:firstLine="0"/>
        <w:jc w:val="left"/>
        <w:rPr>
          <w:sz w:val="20"/>
        </w:rPr>
      </w:pPr>
      <w:r>
        <w:rPr>
          <w:sz w:val="20"/>
        </w:rPr>
        <w:t>There were other areas of consensus, for example support for extending the maximum maturity for cleared sterling OIS products beyond the existing 31 years; the need for adoption to be as broad as possible; and the merits of exploring conversion of legacy LIBOR portfolios to</w:t>
      </w:r>
      <w:r>
        <w:rPr>
          <w:spacing w:val="-12"/>
          <w:sz w:val="20"/>
        </w:rPr>
        <w:t> </w:t>
      </w:r>
      <w:r>
        <w:rPr>
          <w:sz w:val="20"/>
        </w:rPr>
        <w:t>SONIA.</w:t>
      </w:r>
    </w:p>
    <w:p>
      <w:pPr>
        <w:pStyle w:val="ListParagraph"/>
        <w:numPr>
          <w:ilvl w:val="0"/>
          <w:numId w:val="1"/>
        </w:numPr>
        <w:tabs>
          <w:tab w:pos="624" w:val="left" w:leader="none"/>
          <w:tab w:pos="625" w:val="left" w:leader="none"/>
        </w:tabs>
        <w:spacing w:line="360" w:lineRule="auto" w:before="119" w:after="0"/>
        <w:ind w:left="197" w:right="211" w:firstLine="0"/>
        <w:jc w:val="left"/>
        <w:rPr>
          <w:sz w:val="20"/>
        </w:rPr>
      </w:pPr>
      <w:r>
        <w:rPr>
          <w:sz w:val="20"/>
        </w:rPr>
        <w:t>There were other areas where respondents were divided including on whether term SONIA reference rates were necessary to facilitate adoption. Some respondents said that term SONIA rates were essential to enable smoother transition and resolve operational challenges with using compounded SONIA. However, other respondents noted that use of SONIA was preferable given its strong base of</w:t>
      </w:r>
      <w:r>
        <w:rPr>
          <w:spacing w:val="-27"/>
          <w:sz w:val="20"/>
        </w:rPr>
        <w:t> </w:t>
      </w:r>
      <w:r>
        <w:rPr>
          <w:sz w:val="20"/>
        </w:rPr>
        <w:t>transactions.</w:t>
      </w:r>
    </w:p>
    <w:p>
      <w:pPr>
        <w:pStyle w:val="ListParagraph"/>
        <w:numPr>
          <w:ilvl w:val="0"/>
          <w:numId w:val="1"/>
        </w:numPr>
        <w:tabs>
          <w:tab w:pos="624" w:val="left" w:leader="none"/>
          <w:tab w:pos="625" w:val="left" w:leader="none"/>
        </w:tabs>
        <w:spacing w:line="360" w:lineRule="auto" w:before="121" w:after="0"/>
        <w:ind w:left="197" w:right="349" w:firstLine="0"/>
        <w:jc w:val="left"/>
        <w:rPr>
          <w:sz w:val="20"/>
        </w:rPr>
      </w:pPr>
      <w:r>
        <w:rPr>
          <w:sz w:val="20"/>
        </w:rPr>
        <w:t>The Group agreed that it would be important to consider the impact of the White Paper responses</w:t>
      </w:r>
      <w:r>
        <w:rPr>
          <w:spacing w:val="-31"/>
          <w:sz w:val="20"/>
        </w:rPr>
        <w:t> </w:t>
      </w:r>
      <w:r>
        <w:rPr>
          <w:sz w:val="20"/>
        </w:rPr>
        <w:t>in its future work.</w:t>
      </w:r>
      <w:r>
        <w:rPr>
          <w:sz w:val="20"/>
          <w:vertAlign w:val="superscript"/>
        </w:rPr>
        <w:t>2</w:t>
      </w:r>
    </w:p>
    <w:p>
      <w:pPr>
        <w:pStyle w:val="Heading1"/>
        <w:spacing w:before="116"/>
      </w:pPr>
      <w:r>
        <w:rPr/>
        <w:t>Sub-groups update</w:t>
      </w:r>
    </w:p>
    <w:p>
      <w:pPr>
        <w:pStyle w:val="BodyText"/>
        <w:spacing w:before="6"/>
        <w:rPr>
          <w:b/>
        </w:rPr>
      </w:pPr>
    </w:p>
    <w:p>
      <w:pPr>
        <w:spacing w:before="0"/>
        <w:ind w:left="197" w:right="0" w:firstLine="0"/>
        <w:jc w:val="left"/>
        <w:rPr>
          <w:i/>
          <w:sz w:val="20"/>
        </w:rPr>
      </w:pPr>
      <w:r>
        <w:rPr>
          <w:i/>
          <w:sz w:val="20"/>
        </w:rPr>
        <w:t>Term SONIA reference rates sub-group</w:t>
      </w:r>
    </w:p>
    <w:p>
      <w:pPr>
        <w:pStyle w:val="BodyText"/>
        <w:spacing w:before="8"/>
        <w:rPr>
          <w:i/>
        </w:rPr>
      </w:pPr>
    </w:p>
    <w:p>
      <w:pPr>
        <w:pStyle w:val="ListParagraph"/>
        <w:numPr>
          <w:ilvl w:val="0"/>
          <w:numId w:val="1"/>
        </w:numPr>
        <w:tabs>
          <w:tab w:pos="624" w:val="left" w:leader="none"/>
          <w:tab w:pos="625" w:val="left" w:leader="none"/>
        </w:tabs>
        <w:spacing w:line="360" w:lineRule="auto" w:before="0" w:after="0"/>
        <w:ind w:left="197" w:right="250" w:firstLine="0"/>
        <w:jc w:val="left"/>
        <w:rPr>
          <w:sz w:val="20"/>
        </w:rPr>
      </w:pPr>
      <w:r>
        <w:rPr>
          <w:sz w:val="20"/>
        </w:rPr>
        <w:t>The responses to the White Paper highlighted differing views with regards to the desirability of developing term SONIA reference rates, and how these would be constructed. The Group agreed that it should prioritise working on this issue, with a view to issuing a single recommendation consolidating members’ views</w:t>
      </w:r>
      <w:r>
        <w:rPr>
          <w:rFonts w:ascii="Calibri" w:hAnsi="Calibri"/>
          <w:sz w:val="22"/>
        </w:rPr>
        <w:t>. </w:t>
      </w:r>
      <w:r>
        <w:rPr>
          <w:sz w:val="20"/>
        </w:rPr>
        <w:t>The Chair requested that the sub-group on term reference rates, recently established at the previous meeting, consider the issue with a view to putting forward a proposal to the wider Group by the end of the year. The Bank of England agreed to provide secretarial support for the sub-group. The Chair urged members to feed in their views on this subject to this sub-group, and it was noted that the sub group should seek broad input from market participants beyond members of the</w:t>
      </w:r>
      <w:r>
        <w:rPr>
          <w:spacing w:val="-1"/>
          <w:sz w:val="20"/>
        </w:rPr>
        <w:t> </w:t>
      </w:r>
      <w:r>
        <w:rPr>
          <w:sz w:val="20"/>
        </w:rPr>
        <w:t>Group.</w:t>
      </w:r>
    </w:p>
    <w:p>
      <w:pPr>
        <w:pStyle w:val="BodyText"/>
        <w:rPr>
          <w:sz w:val="26"/>
        </w:rPr>
      </w:pPr>
      <w:r>
        <w:rPr/>
        <w:pict>
          <v:shape style="position:absolute;margin-left:63.863998pt;margin-top:17.335213pt;width:144.050pt;height:.1pt;mso-position-horizontal-relative:page;mso-position-vertical-relative:paragraph;z-index:-251658240;mso-wrap-distance-left:0;mso-wrap-distance-right:0" coordorigin="1277,347" coordsize="2881,0" path="m1277,347l4158,347e" filled="false" stroked="true" strokeweight=".71997pt" strokecolor="#000000">
            <v:path arrowok="t"/>
            <v:stroke dashstyle="solid"/>
            <w10:wrap type="topAndBottom"/>
          </v:shape>
        </w:pict>
      </w:r>
    </w:p>
    <w:p>
      <w:pPr>
        <w:spacing w:line="253" w:lineRule="exact" w:before="39"/>
        <w:ind w:left="197" w:right="0" w:firstLine="0"/>
        <w:jc w:val="left"/>
        <w:rPr>
          <w:sz w:val="18"/>
        </w:rPr>
      </w:pPr>
      <w:r>
        <w:rPr>
          <w:rFonts w:ascii="Calibri"/>
          <w:position w:val="10"/>
          <w:sz w:val="13"/>
        </w:rPr>
        <w:t>1 </w:t>
      </w:r>
      <w:hyperlink r:id="rId5">
        <w:r>
          <w:rPr>
            <w:color w:val="0000FF"/>
            <w:sz w:val="18"/>
            <w:u w:val="single" w:color="0000FF"/>
          </w:rPr>
          <w:t>http://www.bankofengland.co.uk/markets/Documents/sterlingoperations/rfr/rfrwgwhitepaper0617.pdf</w:t>
        </w:r>
      </w:hyperlink>
    </w:p>
    <w:p>
      <w:pPr>
        <w:pStyle w:val="BodyText"/>
        <w:spacing w:line="238" w:lineRule="exact" w:before="25"/>
        <w:ind w:left="197" w:right="703"/>
      </w:pPr>
      <w:r>
        <w:rPr>
          <w:rFonts w:ascii="Calibri"/>
          <w:position w:val="10"/>
          <w:sz w:val="13"/>
        </w:rPr>
        <w:t>2 </w:t>
      </w:r>
      <w:r>
        <w:rPr/>
        <w:t>A separate document can be found summarising responses to the White Paper at the following link: </w:t>
      </w:r>
      <w:hyperlink r:id="rId6">
        <w:r>
          <w:rPr>
            <w:color w:val="0000FF"/>
            <w:u w:val="single" w:color="0000FF"/>
          </w:rPr>
          <w:t>http://www.bankofengland.co.uk/markets/Documents/sterlingoperations/rfr/whitepaper.pdf</w:t>
        </w:r>
      </w:hyperlink>
    </w:p>
    <w:p>
      <w:pPr>
        <w:spacing w:after="0" w:line="238" w:lineRule="exact"/>
        <w:sectPr>
          <w:type w:val="continuous"/>
          <w:pgSz w:w="11910" w:h="16840"/>
          <w:pgMar w:top="900" w:bottom="280" w:left="1080" w:right="1020"/>
        </w:sectPr>
      </w:pPr>
    </w:p>
    <w:p>
      <w:pPr>
        <w:spacing w:before="70"/>
        <w:ind w:left="197" w:right="0" w:firstLine="0"/>
        <w:jc w:val="left"/>
        <w:rPr>
          <w:i/>
          <w:sz w:val="20"/>
        </w:rPr>
      </w:pPr>
      <w:r>
        <w:rPr>
          <w:i/>
          <w:sz w:val="20"/>
        </w:rPr>
        <w:t>Futures sub-group</w:t>
      </w:r>
    </w:p>
    <w:p>
      <w:pPr>
        <w:pStyle w:val="BodyText"/>
        <w:spacing w:before="5"/>
        <w:rPr>
          <w:i/>
        </w:rPr>
      </w:pPr>
    </w:p>
    <w:p>
      <w:pPr>
        <w:pStyle w:val="ListParagraph"/>
        <w:numPr>
          <w:ilvl w:val="0"/>
          <w:numId w:val="1"/>
        </w:numPr>
        <w:tabs>
          <w:tab w:pos="624" w:val="left" w:leader="none"/>
          <w:tab w:pos="625" w:val="left" w:leader="none"/>
        </w:tabs>
        <w:spacing w:line="360" w:lineRule="auto" w:before="0" w:after="0"/>
        <w:ind w:left="197" w:right="150" w:firstLine="0"/>
        <w:jc w:val="left"/>
        <w:rPr>
          <w:sz w:val="20"/>
        </w:rPr>
      </w:pPr>
      <w:r>
        <w:rPr>
          <w:sz w:val="20"/>
        </w:rPr>
        <w:t>At the previous meeting of the Group</w:t>
      </w:r>
      <w:r>
        <w:rPr>
          <w:sz w:val="20"/>
          <w:vertAlign w:val="superscript"/>
        </w:rPr>
        <w:t>3</w:t>
      </w:r>
      <w:r>
        <w:rPr>
          <w:sz w:val="20"/>
          <w:vertAlign w:val="baseline"/>
        </w:rPr>
        <w:t>, the Chair asked members to submit views on how long it would take for them to begin trading new SONIA futures. Submissions from Group members in advance of the meeting suggested that most members could be ready to offer futures within a 3m to 6m timeframe with technology and connectivity issues cited as the key</w:t>
      </w:r>
      <w:r>
        <w:rPr>
          <w:spacing w:val="-6"/>
          <w:sz w:val="20"/>
          <w:vertAlign w:val="baseline"/>
        </w:rPr>
        <w:t> </w:t>
      </w:r>
      <w:r>
        <w:rPr>
          <w:sz w:val="20"/>
          <w:vertAlign w:val="baseline"/>
        </w:rPr>
        <w:t>barriers.</w:t>
      </w:r>
    </w:p>
    <w:p>
      <w:pPr>
        <w:pStyle w:val="ListParagraph"/>
        <w:numPr>
          <w:ilvl w:val="0"/>
          <w:numId w:val="1"/>
        </w:numPr>
        <w:tabs>
          <w:tab w:pos="624" w:val="left" w:leader="none"/>
          <w:tab w:pos="625" w:val="left" w:leader="none"/>
        </w:tabs>
        <w:spacing w:line="360" w:lineRule="auto" w:before="121" w:after="0"/>
        <w:ind w:left="197" w:right="278" w:firstLine="0"/>
        <w:jc w:val="left"/>
        <w:rPr>
          <w:sz w:val="20"/>
        </w:rPr>
      </w:pPr>
      <w:r>
        <w:rPr>
          <w:sz w:val="20"/>
        </w:rPr>
        <w:t>The Group agreed that the futures sub-group should reach out to other market participants such as trading platforms and other investors regarding SONIA futures construction. The Bank of England agreed to provide secretarial support for the</w:t>
      </w:r>
      <w:r>
        <w:rPr>
          <w:spacing w:val="-5"/>
          <w:sz w:val="20"/>
        </w:rPr>
        <w:t> </w:t>
      </w:r>
      <w:r>
        <w:rPr>
          <w:sz w:val="20"/>
        </w:rPr>
        <w:t>sub-group.</w:t>
      </w:r>
    </w:p>
    <w:p>
      <w:pPr>
        <w:pStyle w:val="Heading1"/>
        <w:spacing w:before="119"/>
      </w:pPr>
      <w:r>
        <w:rPr/>
        <w:t>International engagement</w:t>
      </w:r>
    </w:p>
    <w:p>
      <w:pPr>
        <w:pStyle w:val="BodyText"/>
        <w:spacing w:before="6"/>
        <w:rPr>
          <w:b/>
        </w:rPr>
      </w:pPr>
    </w:p>
    <w:p>
      <w:pPr>
        <w:pStyle w:val="ListParagraph"/>
        <w:numPr>
          <w:ilvl w:val="0"/>
          <w:numId w:val="1"/>
        </w:numPr>
        <w:tabs>
          <w:tab w:pos="624" w:val="left" w:leader="none"/>
          <w:tab w:pos="625" w:val="left" w:leader="none"/>
        </w:tabs>
        <w:spacing w:line="360" w:lineRule="auto" w:before="0" w:after="0"/>
        <w:ind w:left="197" w:right="202" w:firstLine="0"/>
        <w:jc w:val="left"/>
        <w:rPr>
          <w:sz w:val="20"/>
        </w:rPr>
      </w:pPr>
      <w:r>
        <w:rPr>
          <w:sz w:val="20"/>
        </w:rPr>
        <w:t>The Chair updated the Group on his discussions with other international stakeholders including the Chairs of the Swiss, US and Japanese working groups for identifying alternative risk free rates. He noted that many of the issues faced by other currency markets were similar to those faced by the Sterling market and that there would be value in bringing the chairs of the different currency working groups together to help facilitate international coordination. There was a consensus in the Group that international coordination would be crucial in implementing the RFR transition across</w:t>
      </w:r>
      <w:r>
        <w:rPr>
          <w:spacing w:val="-5"/>
          <w:sz w:val="20"/>
        </w:rPr>
        <w:t> </w:t>
      </w:r>
      <w:r>
        <w:rPr>
          <w:sz w:val="20"/>
        </w:rPr>
        <w:t>currencies.</w:t>
      </w:r>
    </w:p>
    <w:p>
      <w:pPr>
        <w:pStyle w:val="Heading1"/>
        <w:spacing w:before="120"/>
      </w:pPr>
      <w:r>
        <w:rPr/>
        <w:t>Update from ISDA working group on contract robustness</w:t>
      </w:r>
    </w:p>
    <w:p>
      <w:pPr>
        <w:pStyle w:val="BodyText"/>
        <w:spacing w:before="7"/>
        <w:rPr>
          <w:b/>
        </w:rPr>
      </w:pPr>
    </w:p>
    <w:p>
      <w:pPr>
        <w:pStyle w:val="ListParagraph"/>
        <w:numPr>
          <w:ilvl w:val="0"/>
          <w:numId w:val="1"/>
        </w:numPr>
        <w:tabs>
          <w:tab w:pos="624" w:val="left" w:leader="none"/>
          <w:tab w:pos="625" w:val="left" w:leader="none"/>
        </w:tabs>
        <w:spacing w:line="360" w:lineRule="auto" w:before="1" w:after="0"/>
        <w:ind w:left="197" w:right="115" w:firstLine="0"/>
        <w:jc w:val="left"/>
        <w:rPr>
          <w:sz w:val="20"/>
        </w:rPr>
      </w:pPr>
      <w:r>
        <w:rPr>
          <w:sz w:val="20"/>
        </w:rPr>
        <w:t>The ISDA working group (WG) had agreed three criteria for determining any credit spread to the RFR as a LIBOR fall-back: that it minimised any economic value impacts; that it was resilient to manipulation; that it avoided distortion due to market stress at the time it is applied. The </w:t>
      </w:r>
      <w:r>
        <w:rPr>
          <w:spacing w:val="4"/>
          <w:sz w:val="20"/>
        </w:rPr>
        <w:t>WG </w:t>
      </w:r>
      <w:r>
        <w:rPr>
          <w:sz w:val="20"/>
        </w:rPr>
        <w:t>was now</w:t>
      </w:r>
      <w:r>
        <w:rPr>
          <w:spacing w:val="-39"/>
          <w:sz w:val="20"/>
        </w:rPr>
        <w:t> </w:t>
      </w:r>
      <w:r>
        <w:rPr>
          <w:sz w:val="20"/>
        </w:rPr>
        <w:t>consulting on these criteria with a view to reporting back to the Official Sector Steering Group</w:t>
      </w:r>
      <w:r>
        <w:rPr>
          <w:spacing w:val="-4"/>
          <w:sz w:val="20"/>
        </w:rPr>
        <w:t> </w:t>
      </w:r>
      <w:r>
        <w:rPr>
          <w:sz w:val="20"/>
        </w:rPr>
        <w:t>(OSSG).</w:t>
      </w:r>
    </w:p>
    <w:p>
      <w:pPr>
        <w:pStyle w:val="ListParagraph"/>
        <w:numPr>
          <w:ilvl w:val="0"/>
          <w:numId w:val="1"/>
        </w:numPr>
        <w:tabs>
          <w:tab w:pos="624" w:val="left" w:leader="none"/>
          <w:tab w:pos="625" w:val="left" w:leader="none"/>
        </w:tabs>
        <w:spacing w:line="360" w:lineRule="auto" w:before="120" w:after="0"/>
        <w:ind w:left="197" w:right="144" w:firstLine="0"/>
        <w:jc w:val="left"/>
        <w:rPr>
          <w:sz w:val="20"/>
        </w:rPr>
      </w:pPr>
      <w:r>
        <w:rPr>
          <w:sz w:val="20"/>
        </w:rPr>
        <w:t>The OSSG had asked the ISDA </w:t>
      </w:r>
      <w:r>
        <w:rPr>
          <w:spacing w:val="4"/>
          <w:sz w:val="20"/>
        </w:rPr>
        <w:t>WG </w:t>
      </w:r>
      <w:r>
        <w:rPr>
          <w:sz w:val="20"/>
        </w:rPr>
        <w:t>to proceed with work on determining appropriate fall-back mechanisms and not to wait for conclusions regarding construction of a term RFR reference rate. Members felt it was important to ensure that the ISDA WG’s work on fallbacks was appropriately aligned with their own work, including on term reference rates. Members also noted that work on fallbacks could have consequences for legacy conversion. Member institutions agreed to feed into the ISDA </w:t>
      </w:r>
      <w:r>
        <w:rPr>
          <w:spacing w:val="4"/>
          <w:sz w:val="20"/>
        </w:rPr>
        <w:t>WG </w:t>
      </w:r>
      <w:r>
        <w:rPr>
          <w:sz w:val="20"/>
        </w:rPr>
        <w:t>directly on fallbacks work. The Chair asked members to consider the most appropriate way for the Group to engage with the ISDA </w:t>
      </w:r>
      <w:r>
        <w:rPr>
          <w:spacing w:val="4"/>
          <w:sz w:val="20"/>
        </w:rPr>
        <w:t>WG </w:t>
      </w:r>
      <w:r>
        <w:rPr>
          <w:sz w:val="20"/>
        </w:rPr>
        <w:t>on legacy conversion and</w:t>
      </w:r>
      <w:r>
        <w:rPr>
          <w:spacing w:val="-12"/>
          <w:sz w:val="20"/>
        </w:rPr>
        <w:t> </w:t>
      </w:r>
      <w:r>
        <w:rPr>
          <w:sz w:val="20"/>
        </w:rPr>
        <w:t>fallbacks.</w:t>
      </w:r>
    </w:p>
    <w:p>
      <w:pPr>
        <w:pStyle w:val="Heading1"/>
        <w:spacing w:before="117"/>
      </w:pPr>
      <w:r>
        <w:rPr/>
        <w:t>Regulatory impacts of RFR transition</w:t>
      </w:r>
    </w:p>
    <w:p>
      <w:pPr>
        <w:pStyle w:val="BodyText"/>
        <w:spacing w:before="6"/>
        <w:rPr>
          <w:b/>
        </w:rPr>
      </w:pPr>
    </w:p>
    <w:p>
      <w:pPr>
        <w:pStyle w:val="ListParagraph"/>
        <w:numPr>
          <w:ilvl w:val="0"/>
          <w:numId w:val="1"/>
        </w:numPr>
        <w:tabs>
          <w:tab w:pos="624" w:val="left" w:leader="none"/>
          <w:tab w:pos="625" w:val="left" w:leader="none"/>
        </w:tabs>
        <w:spacing w:line="360" w:lineRule="auto" w:before="0" w:after="0"/>
        <w:ind w:left="197" w:right="176" w:firstLine="0"/>
        <w:jc w:val="left"/>
        <w:rPr>
          <w:sz w:val="20"/>
        </w:rPr>
      </w:pPr>
      <w:r>
        <w:rPr>
          <w:sz w:val="20"/>
        </w:rPr>
        <w:t>The Group was asked to provide views ahead of the next meeting on regulatory issues which it expected would either impact or be impacted by the RFR transition process. Margining requirements</w:t>
      </w:r>
      <w:r>
        <w:rPr>
          <w:spacing w:val="-26"/>
          <w:sz w:val="20"/>
        </w:rPr>
        <w:t> </w:t>
      </w:r>
      <w:r>
        <w:rPr>
          <w:sz w:val="20"/>
        </w:rPr>
        <w:t>under EMIR and the use of an EIOPA RFR curve for valuing liabilities under Solvency II had already been identified as</w:t>
      </w:r>
      <w:r>
        <w:rPr>
          <w:spacing w:val="-2"/>
          <w:sz w:val="20"/>
        </w:rPr>
        <w:t> </w:t>
      </w:r>
      <w:r>
        <w:rPr>
          <w:sz w:val="20"/>
        </w:rPr>
        <w:t>relevant.</w:t>
      </w:r>
    </w:p>
    <w:p>
      <w:pPr>
        <w:pStyle w:val="Heading1"/>
        <w:spacing w:before="118"/>
      </w:pPr>
      <w:r>
        <w:rPr/>
        <w:t>LCH extension of maximum maturity for SONIA overnight indexed swap (OIS) clearing</w:t>
      </w:r>
    </w:p>
    <w:p>
      <w:pPr>
        <w:pStyle w:val="BodyText"/>
        <w:spacing w:before="8"/>
        <w:rPr>
          <w:b/>
        </w:rPr>
      </w:pPr>
    </w:p>
    <w:p>
      <w:pPr>
        <w:pStyle w:val="ListParagraph"/>
        <w:numPr>
          <w:ilvl w:val="0"/>
          <w:numId w:val="1"/>
        </w:numPr>
        <w:tabs>
          <w:tab w:pos="624" w:val="left" w:leader="none"/>
          <w:tab w:pos="625" w:val="left" w:leader="none"/>
        </w:tabs>
        <w:spacing w:line="360" w:lineRule="auto" w:before="0" w:after="0"/>
        <w:ind w:left="197" w:right="326" w:firstLine="0"/>
        <w:jc w:val="left"/>
        <w:rPr>
          <w:sz w:val="20"/>
        </w:rPr>
      </w:pPr>
      <w:r>
        <w:rPr>
          <w:sz w:val="20"/>
        </w:rPr>
        <w:t>LCH highlighted that it had completed the necessary internal approvals for extending clearing of</w:t>
      </w:r>
      <w:r>
        <w:rPr>
          <w:spacing w:val="-28"/>
          <w:sz w:val="20"/>
        </w:rPr>
        <w:t> </w:t>
      </w:r>
      <w:r>
        <w:rPr>
          <w:sz w:val="20"/>
        </w:rPr>
        <w:t>OIS out to 50 years and was aiming to launch the change by</w:t>
      </w:r>
      <w:r>
        <w:rPr>
          <w:spacing w:val="-5"/>
          <w:sz w:val="20"/>
        </w:rPr>
        <w:t> </w:t>
      </w:r>
      <w:r>
        <w:rPr>
          <w:sz w:val="20"/>
        </w:rPr>
        <w:t>end-2017.</w:t>
      </w:r>
    </w:p>
    <w:p>
      <w:pPr>
        <w:pStyle w:val="BodyText"/>
      </w:pPr>
    </w:p>
    <w:p>
      <w:pPr>
        <w:pStyle w:val="BodyText"/>
      </w:pPr>
    </w:p>
    <w:p>
      <w:pPr>
        <w:pStyle w:val="BodyText"/>
      </w:pPr>
    </w:p>
    <w:p>
      <w:pPr>
        <w:pStyle w:val="BodyText"/>
        <w:spacing w:before="5"/>
        <w:rPr>
          <w:sz w:val="26"/>
        </w:rPr>
      </w:pPr>
      <w:r>
        <w:rPr/>
        <w:pict>
          <v:shape style="position:absolute;margin-left:63.863998pt;margin-top:17.572655pt;width:144.050pt;height:.1pt;mso-position-horizontal-relative:page;mso-position-vertical-relative:paragraph;z-index:-251657216;mso-wrap-distance-left:0;mso-wrap-distance-right:0" coordorigin="1277,351" coordsize="2881,0" path="m1277,351l4158,351e" filled="false" stroked="true" strokeweight=".71997pt" strokecolor="#000000">
            <v:path arrowok="t"/>
            <v:stroke dashstyle="solid"/>
            <w10:wrap type="topAndBottom"/>
          </v:shape>
        </w:pict>
      </w:r>
    </w:p>
    <w:p>
      <w:pPr>
        <w:spacing w:line="259" w:lineRule="auto" w:before="39"/>
        <w:ind w:left="197" w:right="1128" w:firstLine="0"/>
        <w:jc w:val="left"/>
        <w:rPr>
          <w:sz w:val="18"/>
        </w:rPr>
      </w:pPr>
      <w:r>
        <w:rPr>
          <w:rFonts w:ascii="Calibri"/>
          <w:position w:val="10"/>
          <w:sz w:val="13"/>
        </w:rPr>
        <w:t>3 </w:t>
      </w:r>
      <w:r>
        <w:rPr>
          <w:sz w:val="18"/>
        </w:rPr>
        <w:t>Minutes can be found here: </w:t>
      </w:r>
      <w:hyperlink r:id="rId7">
        <w:r>
          <w:rPr>
            <w:color w:val="0000FF"/>
            <w:sz w:val="18"/>
            <w:u w:val="single" w:color="0000FF"/>
          </w:rPr>
          <w:t>http://www.bankofengland.co.uk/markets/Documents/sterlingoperations/rfr/2017/minutes18august2017.pdf</w:t>
        </w:r>
      </w:hyperlink>
    </w:p>
    <w:p>
      <w:pPr>
        <w:spacing w:after="0" w:line="259" w:lineRule="auto"/>
        <w:jc w:val="left"/>
        <w:rPr>
          <w:sz w:val="18"/>
        </w:rPr>
        <w:sectPr>
          <w:pgSz w:w="11910" w:h="16840"/>
          <w:pgMar w:top="900" w:bottom="280" w:left="1080" w:right="1020"/>
        </w:sectPr>
      </w:pPr>
    </w:p>
    <w:p>
      <w:pPr>
        <w:pStyle w:val="Heading1"/>
        <w:spacing w:before="70"/>
      </w:pPr>
      <w:r>
        <w:rPr/>
        <w:t>Private sector</w:t>
      </w:r>
      <w:r>
        <w:rPr>
          <w:spacing w:val="-11"/>
        </w:rPr>
        <w:t> </w:t>
      </w:r>
      <w:r>
        <w:rPr/>
        <w:t>attendees</w:t>
      </w:r>
    </w:p>
    <w:p>
      <w:pPr>
        <w:pStyle w:val="BodyText"/>
        <w:rPr>
          <w:b/>
        </w:rPr>
      </w:pPr>
    </w:p>
    <w:p>
      <w:pPr>
        <w:pStyle w:val="BodyText"/>
        <w:rPr>
          <w:b/>
        </w:rPr>
      </w:pPr>
    </w:p>
    <w:p>
      <w:pPr>
        <w:pStyle w:val="BodyText"/>
        <w:spacing w:before="1" w:after="1"/>
        <w:rPr>
          <w:b/>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0"/>
        <w:gridCol w:w="2972"/>
      </w:tblGrid>
      <w:tr>
        <w:trPr>
          <w:trHeight w:val="262" w:hRule="atLeast"/>
        </w:trPr>
        <w:tc>
          <w:tcPr>
            <w:tcW w:w="2830" w:type="dxa"/>
          </w:tcPr>
          <w:p>
            <w:pPr>
              <w:pStyle w:val="TableParagraph"/>
              <w:spacing w:line="225" w:lineRule="exact" w:before="0"/>
              <w:rPr>
                <w:sz w:val="20"/>
              </w:rPr>
            </w:pPr>
            <w:r>
              <w:rPr>
                <w:sz w:val="20"/>
              </w:rPr>
              <w:t>Francois Jourdain</w:t>
            </w:r>
          </w:p>
        </w:tc>
        <w:tc>
          <w:tcPr>
            <w:tcW w:w="2972" w:type="dxa"/>
          </w:tcPr>
          <w:p>
            <w:pPr>
              <w:pStyle w:val="TableParagraph"/>
              <w:spacing w:line="223" w:lineRule="exact" w:before="0"/>
              <w:ind w:left="488"/>
              <w:rPr>
                <w:b/>
                <w:sz w:val="20"/>
              </w:rPr>
            </w:pPr>
            <w:r>
              <w:rPr>
                <w:b/>
                <w:sz w:val="20"/>
              </w:rPr>
              <w:t>Barclays (Chair)</w:t>
            </w:r>
          </w:p>
        </w:tc>
      </w:tr>
      <w:tr>
        <w:trPr>
          <w:trHeight w:val="300" w:hRule="atLeast"/>
        </w:trPr>
        <w:tc>
          <w:tcPr>
            <w:tcW w:w="2830" w:type="dxa"/>
          </w:tcPr>
          <w:p>
            <w:pPr>
              <w:pStyle w:val="TableParagraph"/>
              <w:spacing w:before="32"/>
              <w:rPr>
                <w:sz w:val="20"/>
              </w:rPr>
            </w:pPr>
            <w:r>
              <w:rPr>
                <w:sz w:val="20"/>
              </w:rPr>
              <w:t>Tejonidhi Kashyap</w:t>
            </w:r>
          </w:p>
        </w:tc>
        <w:tc>
          <w:tcPr>
            <w:tcW w:w="2972" w:type="dxa"/>
          </w:tcPr>
          <w:p>
            <w:pPr>
              <w:pStyle w:val="TableParagraph"/>
              <w:ind w:left="488"/>
              <w:rPr>
                <w:b/>
                <w:sz w:val="20"/>
              </w:rPr>
            </w:pPr>
            <w:r>
              <w:rPr>
                <w:b/>
                <w:sz w:val="20"/>
              </w:rPr>
              <w:t>Barclays (Chair’s office)</w:t>
            </w:r>
          </w:p>
        </w:tc>
      </w:tr>
      <w:tr>
        <w:trPr>
          <w:trHeight w:val="300" w:hRule="atLeast"/>
        </w:trPr>
        <w:tc>
          <w:tcPr>
            <w:tcW w:w="2830" w:type="dxa"/>
          </w:tcPr>
          <w:p>
            <w:pPr>
              <w:pStyle w:val="TableParagraph"/>
              <w:spacing w:before="32"/>
              <w:rPr>
                <w:sz w:val="20"/>
              </w:rPr>
            </w:pPr>
            <w:r>
              <w:rPr>
                <w:sz w:val="20"/>
              </w:rPr>
              <w:t>Andreas Giannopoulos</w:t>
            </w:r>
          </w:p>
        </w:tc>
        <w:tc>
          <w:tcPr>
            <w:tcW w:w="2972" w:type="dxa"/>
          </w:tcPr>
          <w:p>
            <w:pPr>
              <w:pStyle w:val="TableParagraph"/>
              <w:ind w:left="488"/>
              <w:rPr>
                <w:b/>
                <w:sz w:val="20"/>
              </w:rPr>
            </w:pPr>
            <w:r>
              <w:rPr>
                <w:b/>
                <w:sz w:val="20"/>
              </w:rPr>
              <w:t>Barclays (Chair’s office)</w:t>
            </w:r>
          </w:p>
        </w:tc>
      </w:tr>
      <w:tr>
        <w:trPr>
          <w:trHeight w:val="300" w:hRule="atLeast"/>
        </w:trPr>
        <w:tc>
          <w:tcPr>
            <w:tcW w:w="2830" w:type="dxa"/>
          </w:tcPr>
          <w:p>
            <w:pPr>
              <w:pStyle w:val="TableParagraph"/>
              <w:spacing w:before="32"/>
              <w:rPr>
                <w:sz w:val="20"/>
              </w:rPr>
            </w:pPr>
            <w:r>
              <w:rPr>
                <w:sz w:val="20"/>
              </w:rPr>
              <w:t>Mike Manna</w:t>
            </w:r>
          </w:p>
        </w:tc>
        <w:tc>
          <w:tcPr>
            <w:tcW w:w="2972" w:type="dxa"/>
          </w:tcPr>
          <w:p>
            <w:pPr>
              <w:pStyle w:val="TableParagraph"/>
              <w:ind w:left="488"/>
              <w:rPr>
                <w:b/>
                <w:sz w:val="20"/>
              </w:rPr>
            </w:pPr>
            <w:r>
              <w:rPr>
                <w:b/>
                <w:sz w:val="20"/>
              </w:rPr>
              <w:t>Barclays</w:t>
            </w:r>
          </w:p>
        </w:tc>
      </w:tr>
      <w:tr>
        <w:trPr>
          <w:trHeight w:val="300" w:hRule="atLeast"/>
        </w:trPr>
        <w:tc>
          <w:tcPr>
            <w:tcW w:w="2830" w:type="dxa"/>
          </w:tcPr>
          <w:p>
            <w:pPr>
              <w:pStyle w:val="TableParagraph"/>
              <w:spacing w:before="32"/>
              <w:rPr>
                <w:sz w:val="20"/>
              </w:rPr>
            </w:pPr>
            <w:r>
              <w:rPr>
                <w:sz w:val="20"/>
              </w:rPr>
              <w:t>Nick Saggers</w:t>
            </w:r>
          </w:p>
        </w:tc>
        <w:tc>
          <w:tcPr>
            <w:tcW w:w="2972" w:type="dxa"/>
          </w:tcPr>
          <w:p>
            <w:pPr>
              <w:pStyle w:val="TableParagraph"/>
              <w:ind w:left="488"/>
              <w:rPr>
                <w:b/>
                <w:sz w:val="20"/>
              </w:rPr>
            </w:pPr>
            <w:r>
              <w:rPr>
                <w:b/>
                <w:sz w:val="20"/>
              </w:rPr>
              <w:t>BAML</w:t>
            </w:r>
          </w:p>
        </w:tc>
      </w:tr>
      <w:tr>
        <w:trPr>
          <w:trHeight w:val="300" w:hRule="atLeast"/>
        </w:trPr>
        <w:tc>
          <w:tcPr>
            <w:tcW w:w="2830" w:type="dxa"/>
          </w:tcPr>
          <w:p>
            <w:pPr>
              <w:pStyle w:val="TableParagraph"/>
              <w:spacing w:before="32"/>
              <w:rPr>
                <w:sz w:val="20"/>
              </w:rPr>
            </w:pPr>
            <w:r>
              <w:rPr>
                <w:sz w:val="20"/>
              </w:rPr>
              <w:t>Frederic Macquet</w:t>
            </w:r>
          </w:p>
        </w:tc>
        <w:tc>
          <w:tcPr>
            <w:tcW w:w="2972" w:type="dxa"/>
          </w:tcPr>
          <w:p>
            <w:pPr>
              <w:pStyle w:val="TableParagraph"/>
              <w:ind w:left="488"/>
              <w:rPr>
                <w:b/>
                <w:sz w:val="20"/>
              </w:rPr>
            </w:pPr>
            <w:r>
              <w:rPr>
                <w:b/>
                <w:sz w:val="20"/>
              </w:rPr>
              <w:t>BNP Paribas</w:t>
            </w:r>
          </w:p>
        </w:tc>
      </w:tr>
      <w:tr>
        <w:trPr>
          <w:trHeight w:val="300" w:hRule="atLeast"/>
        </w:trPr>
        <w:tc>
          <w:tcPr>
            <w:tcW w:w="2830" w:type="dxa"/>
          </w:tcPr>
          <w:p>
            <w:pPr>
              <w:pStyle w:val="TableParagraph"/>
              <w:spacing w:before="32"/>
              <w:rPr>
                <w:sz w:val="20"/>
              </w:rPr>
            </w:pPr>
            <w:r>
              <w:rPr>
                <w:sz w:val="20"/>
              </w:rPr>
              <w:t>Alain Verdickt</w:t>
            </w:r>
          </w:p>
        </w:tc>
        <w:tc>
          <w:tcPr>
            <w:tcW w:w="2972" w:type="dxa"/>
          </w:tcPr>
          <w:p>
            <w:pPr>
              <w:pStyle w:val="TableParagraph"/>
              <w:ind w:left="488"/>
              <w:rPr>
                <w:b/>
                <w:sz w:val="20"/>
              </w:rPr>
            </w:pPr>
            <w:r>
              <w:rPr>
                <w:b/>
                <w:sz w:val="20"/>
              </w:rPr>
              <w:t>Citigroup</w:t>
            </w:r>
          </w:p>
        </w:tc>
      </w:tr>
      <w:tr>
        <w:trPr>
          <w:trHeight w:val="300" w:hRule="atLeast"/>
        </w:trPr>
        <w:tc>
          <w:tcPr>
            <w:tcW w:w="2830" w:type="dxa"/>
          </w:tcPr>
          <w:p>
            <w:pPr>
              <w:pStyle w:val="TableParagraph"/>
              <w:spacing w:before="32"/>
              <w:rPr>
                <w:sz w:val="20"/>
              </w:rPr>
            </w:pPr>
            <w:r>
              <w:rPr>
                <w:sz w:val="20"/>
              </w:rPr>
              <w:t>Stephen Randall</w:t>
            </w:r>
          </w:p>
        </w:tc>
        <w:tc>
          <w:tcPr>
            <w:tcW w:w="2972" w:type="dxa"/>
          </w:tcPr>
          <w:p>
            <w:pPr>
              <w:pStyle w:val="TableParagraph"/>
              <w:ind w:left="488"/>
              <w:rPr>
                <w:b/>
                <w:sz w:val="20"/>
              </w:rPr>
            </w:pPr>
            <w:r>
              <w:rPr>
                <w:b/>
                <w:sz w:val="20"/>
              </w:rPr>
              <w:t>Citigroup</w:t>
            </w:r>
          </w:p>
        </w:tc>
      </w:tr>
      <w:tr>
        <w:trPr>
          <w:trHeight w:val="300" w:hRule="atLeast"/>
        </w:trPr>
        <w:tc>
          <w:tcPr>
            <w:tcW w:w="2830" w:type="dxa"/>
          </w:tcPr>
          <w:p>
            <w:pPr>
              <w:pStyle w:val="TableParagraph"/>
              <w:spacing w:before="32"/>
              <w:rPr>
                <w:sz w:val="20"/>
              </w:rPr>
            </w:pPr>
            <w:r>
              <w:rPr>
                <w:sz w:val="20"/>
              </w:rPr>
              <w:t>Alistair Sharp</w:t>
            </w:r>
          </w:p>
        </w:tc>
        <w:tc>
          <w:tcPr>
            <w:tcW w:w="2972" w:type="dxa"/>
          </w:tcPr>
          <w:p>
            <w:pPr>
              <w:pStyle w:val="TableParagraph"/>
              <w:ind w:left="488"/>
              <w:rPr>
                <w:b/>
                <w:sz w:val="20"/>
              </w:rPr>
            </w:pPr>
            <w:r>
              <w:rPr>
                <w:b/>
                <w:sz w:val="20"/>
              </w:rPr>
              <w:t>Credit Suisse</w:t>
            </w:r>
          </w:p>
        </w:tc>
      </w:tr>
      <w:tr>
        <w:trPr>
          <w:trHeight w:val="300" w:hRule="atLeast"/>
        </w:trPr>
        <w:tc>
          <w:tcPr>
            <w:tcW w:w="2830" w:type="dxa"/>
          </w:tcPr>
          <w:p>
            <w:pPr>
              <w:pStyle w:val="TableParagraph"/>
              <w:spacing w:before="32"/>
              <w:rPr>
                <w:sz w:val="20"/>
              </w:rPr>
            </w:pPr>
            <w:r>
              <w:rPr>
                <w:sz w:val="20"/>
              </w:rPr>
              <w:t>Arif Merali</w:t>
            </w:r>
          </w:p>
        </w:tc>
        <w:tc>
          <w:tcPr>
            <w:tcW w:w="2972" w:type="dxa"/>
          </w:tcPr>
          <w:p>
            <w:pPr>
              <w:pStyle w:val="TableParagraph"/>
              <w:ind w:left="488"/>
              <w:rPr>
                <w:b/>
                <w:sz w:val="20"/>
              </w:rPr>
            </w:pPr>
            <w:r>
              <w:rPr>
                <w:b/>
                <w:sz w:val="20"/>
              </w:rPr>
              <w:t>Credit Suisse</w:t>
            </w:r>
          </w:p>
        </w:tc>
      </w:tr>
      <w:tr>
        <w:trPr>
          <w:trHeight w:val="300" w:hRule="atLeast"/>
        </w:trPr>
        <w:tc>
          <w:tcPr>
            <w:tcW w:w="2830" w:type="dxa"/>
          </w:tcPr>
          <w:p>
            <w:pPr>
              <w:pStyle w:val="TableParagraph"/>
              <w:spacing w:before="32"/>
              <w:rPr>
                <w:sz w:val="20"/>
              </w:rPr>
            </w:pPr>
            <w:r>
              <w:rPr>
                <w:sz w:val="20"/>
              </w:rPr>
              <w:t>Nick Gray</w:t>
            </w:r>
          </w:p>
        </w:tc>
        <w:tc>
          <w:tcPr>
            <w:tcW w:w="2972" w:type="dxa"/>
          </w:tcPr>
          <w:p>
            <w:pPr>
              <w:pStyle w:val="TableParagraph"/>
              <w:ind w:left="488"/>
              <w:rPr>
                <w:b/>
                <w:sz w:val="20"/>
              </w:rPr>
            </w:pPr>
            <w:r>
              <w:rPr>
                <w:b/>
                <w:sz w:val="20"/>
              </w:rPr>
              <w:t>Deutsche Bank</w:t>
            </w:r>
          </w:p>
        </w:tc>
      </w:tr>
      <w:tr>
        <w:trPr>
          <w:trHeight w:val="300" w:hRule="atLeast"/>
        </w:trPr>
        <w:tc>
          <w:tcPr>
            <w:tcW w:w="2830" w:type="dxa"/>
          </w:tcPr>
          <w:p>
            <w:pPr>
              <w:pStyle w:val="TableParagraph"/>
              <w:spacing w:before="32"/>
              <w:rPr>
                <w:sz w:val="20"/>
              </w:rPr>
            </w:pPr>
            <w:r>
              <w:rPr>
                <w:sz w:val="20"/>
              </w:rPr>
              <w:t>Nikhil Choraria</w:t>
            </w:r>
          </w:p>
        </w:tc>
        <w:tc>
          <w:tcPr>
            <w:tcW w:w="2972" w:type="dxa"/>
          </w:tcPr>
          <w:p>
            <w:pPr>
              <w:pStyle w:val="TableParagraph"/>
              <w:ind w:left="488"/>
              <w:rPr>
                <w:b/>
                <w:sz w:val="20"/>
              </w:rPr>
            </w:pPr>
            <w:r>
              <w:rPr>
                <w:b/>
                <w:sz w:val="20"/>
              </w:rPr>
              <w:t>Goldman Sachs</w:t>
            </w:r>
          </w:p>
        </w:tc>
      </w:tr>
      <w:tr>
        <w:trPr>
          <w:trHeight w:val="300" w:hRule="atLeast"/>
        </w:trPr>
        <w:tc>
          <w:tcPr>
            <w:tcW w:w="2830" w:type="dxa"/>
          </w:tcPr>
          <w:p>
            <w:pPr>
              <w:pStyle w:val="TableParagraph"/>
              <w:spacing w:before="32"/>
              <w:rPr>
                <w:sz w:val="20"/>
              </w:rPr>
            </w:pPr>
            <w:r>
              <w:rPr>
                <w:sz w:val="20"/>
              </w:rPr>
              <w:t>Chirag Dave</w:t>
            </w:r>
          </w:p>
        </w:tc>
        <w:tc>
          <w:tcPr>
            <w:tcW w:w="2972" w:type="dxa"/>
          </w:tcPr>
          <w:p>
            <w:pPr>
              <w:pStyle w:val="TableParagraph"/>
              <w:ind w:left="488"/>
              <w:rPr>
                <w:b/>
                <w:sz w:val="20"/>
              </w:rPr>
            </w:pPr>
            <w:r>
              <w:rPr>
                <w:b/>
                <w:sz w:val="20"/>
              </w:rPr>
              <w:t>Goldman Sachs</w:t>
            </w:r>
          </w:p>
        </w:tc>
      </w:tr>
      <w:tr>
        <w:trPr>
          <w:trHeight w:val="300" w:hRule="atLeast"/>
        </w:trPr>
        <w:tc>
          <w:tcPr>
            <w:tcW w:w="2830" w:type="dxa"/>
          </w:tcPr>
          <w:p>
            <w:pPr>
              <w:pStyle w:val="TableParagraph"/>
              <w:spacing w:before="33"/>
              <w:rPr>
                <w:sz w:val="20"/>
              </w:rPr>
            </w:pPr>
            <w:r>
              <w:rPr>
                <w:sz w:val="20"/>
              </w:rPr>
              <w:t>Glenn Handley</w:t>
            </w:r>
          </w:p>
        </w:tc>
        <w:tc>
          <w:tcPr>
            <w:tcW w:w="2972" w:type="dxa"/>
          </w:tcPr>
          <w:p>
            <w:pPr>
              <w:pStyle w:val="TableParagraph"/>
              <w:ind w:left="488"/>
              <w:rPr>
                <w:b/>
                <w:sz w:val="20"/>
              </w:rPr>
            </w:pPr>
            <w:r>
              <w:rPr>
                <w:b/>
                <w:sz w:val="20"/>
              </w:rPr>
              <w:t>HSBC</w:t>
            </w:r>
          </w:p>
        </w:tc>
      </w:tr>
      <w:tr>
        <w:trPr>
          <w:trHeight w:val="300" w:hRule="atLeast"/>
        </w:trPr>
        <w:tc>
          <w:tcPr>
            <w:tcW w:w="2830" w:type="dxa"/>
          </w:tcPr>
          <w:p>
            <w:pPr>
              <w:pStyle w:val="TableParagraph"/>
              <w:spacing w:before="32"/>
              <w:rPr>
                <w:sz w:val="20"/>
              </w:rPr>
            </w:pPr>
            <w:r>
              <w:rPr>
                <w:sz w:val="20"/>
              </w:rPr>
              <w:t>Kari Hallgrimsson</w:t>
            </w:r>
          </w:p>
        </w:tc>
        <w:tc>
          <w:tcPr>
            <w:tcW w:w="2972" w:type="dxa"/>
          </w:tcPr>
          <w:p>
            <w:pPr>
              <w:pStyle w:val="TableParagraph"/>
              <w:ind w:left="488"/>
              <w:rPr>
                <w:b/>
                <w:sz w:val="20"/>
              </w:rPr>
            </w:pPr>
            <w:r>
              <w:rPr>
                <w:b/>
                <w:sz w:val="20"/>
              </w:rPr>
              <w:t>JP Morgan</w:t>
            </w:r>
          </w:p>
        </w:tc>
      </w:tr>
      <w:tr>
        <w:trPr>
          <w:trHeight w:val="300" w:hRule="atLeast"/>
        </w:trPr>
        <w:tc>
          <w:tcPr>
            <w:tcW w:w="2830" w:type="dxa"/>
          </w:tcPr>
          <w:p>
            <w:pPr>
              <w:pStyle w:val="TableParagraph"/>
              <w:spacing w:before="32"/>
              <w:rPr>
                <w:sz w:val="20"/>
              </w:rPr>
            </w:pPr>
            <w:r>
              <w:rPr>
                <w:sz w:val="20"/>
              </w:rPr>
              <w:t>Christophe Coutte</w:t>
            </w:r>
          </w:p>
        </w:tc>
        <w:tc>
          <w:tcPr>
            <w:tcW w:w="2972" w:type="dxa"/>
          </w:tcPr>
          <w:p>
            <w:pPr>
              <w:pStyle w:val="TableParagraph"/>
              <w:ind w:left="488"/>
              <w:rPr>
                <w:b/>
                <w:sz w:val="20"/>
              </w:rPr>
            </w:pPr>
            <w:r>
              <w:rPr>
                <w:b/>
                <w:sz w:val="20"/>
              </w:rPr>
              <w:t>Lloyds</w:t>
            </w:r>
          </w:p>
        </w:tc>
      </w:tr>
      <w:tr>
        <w:trPr>
          <w:trHeight w:val="300" w:hRule="atLeast"/>
        </w:trPr>
        <w:tc>
          <w:tcPr>
            <w:tcW w:w="2830" w:type="dxa"/>
          </w:tcPr>
          <w:p>
            <w:pPr>
              <w:pStyle w:val="TableParagraph"/>
              <w:spacing w:before="32"/>
              <w:rPr>
                <w:sz w:val="20"/>
              </w:rPr>
            </w:pPr>
            <w:r>
              <w:rPr>
                <w:sz w:val="20"/>
              </w:rPr>
              <w:t>Steve Bullock</w:t>
            </w:r>
          </w:p>
        </w:tc>
        <w:tc>
          <w:tcPr>
            <w:tcW w:w="2972" w:type="dxa"/>
          </w:tcPr>
          <w:p>
            <w:pPr>
              <w:pStyle w:val="TableParagraph"/>
              <w:ind w:left="488"/>
              <w:rPr>
                <w:b/>
                <w:sz w:val="20"/>
              </w:rPr>
            </w:pPr>
            <w:r>
              <w:rPr>
                <w:b/>
                <w:sz w:val="20"/>
              </w:rPr>
              <w:t>Lloyds</w:t>
            </w:r>
          </w:p>
        </w:tc>
      </w:tr>
      <w:tr>
        <w:trPr>
          <w:trHeight w:val="300" w:hRule="atLeast"/>
        </w:trPr>
        <w:tc>
          <w:tcPr>
            <w:tcW w:w="2830" w:type="dxa"/>
          </w:tcPr>
          <w:p>
            <w:pPr>
              <w:pStyle w:val="TableParagraph"/>
              <w:spacing w:before="32"/>
              <w:rPr>
                <w:sz w:val="20"/>
              </w:rPr>
            </w:pPr>
            <w:r>
              <w:rPr>
                <w:sz w:val="20"/>
              </w:rPr>
              <w:t>Vinay Dhanuka</w:t>
            </w:r>
          </w:p>
        </w:tc>
        <w:tc>
          <w:tcPr>
            <w:tcW w:w="2972" w:type="dxa"/>
          </w:tcPr>
          <w:p>
            <w:pPr>
              <w:pStyle w:val="TableParagraph"/>
              <w:ind w:left="488"/>
              <w:rPr>
                <w:b/>
                <w:sz w:val="20"/>
              </w:rPr>
            </w:pPr>
            <w:r>
              <w:rPr>
                <w:b/>
                <w:sz w:val="20"/>
              </w:rPr>
              <w:t>Morgan Stanley</w:t>
            </w:r>
          </w:p>
        </w:tc>
      </w:tr>
      <w:tr>
        <w:trPr>
          <w:trHeight w:val="300" w:hRule="atLeast"/>
        </w:trPr>
        <w:tc>
          <w:tcPr>
            <w:tcW w:w="2830" w:type="dxa"/>
          </w:tcPr>
          <w:p>
            <w:pPr>
              <w:pStyle w:val="TableParagraph"/>
              <w:spacing w:before="32"/>
              <w:rPr>
                <w:sz w:val="20"/>
              </w:rPr>
            </w:pPr>
            <w:r>
              <w:rPr>
                <w:sz w:val="20"/>
              </w:rPr>
              <w:t>Guy Winkworth</w:t>
            </w:r>
          </w:p>
        </w:tc>
        <w:tc>
          <w:tcPr>
            <w:tcW w:w="2972" w:type="dxa"/>
          </w:tcPr>
          <w:p>
            <w:pPr>
              <w:pStyle w:val="TableParagraph"/>
              <w:ind w:left="488"/>
              <w:rPr>
                <w:b/>
                <w:sz w:val="20"/>
              </w:rPr>
            </w:pPr>
            <w:r>
              <w:rPr>
                <w:b/>
                <w:sz w:val="20"/>
              </w:rPr>
              <w:t>Morgan Stanley</w:t>
            </w:r>
          </w:p>
        </w:tc>
      </w:tr>
      <w:tr>
        <w:trPr>
          <w:trHeight w:val="300" w:hRule="atLeast"/>
        </w:trPr>
        <w:tc>
          <w:tcPr>
            <w:tcW w:w="2830" w:type="dxa"/>
          </w:tcPr>
          <w:p>
            <w:pPr>
              <w:pStyle w:val="TableParagraph"/>
              <w:spacing w:before="32"/>
              <w:rPr>
                <w:sz w:val="20"/>
              </w:rPr>
            </w:pPr>
            <w:r>
              <w:rPr>
                <w:sz w:val="20"/>
              </w:rPr>
              <w:t>Mike Curtis</w:t>
            </w:r>
          </w:p>
        </w:tc>
        <w:tc>
          <w:tcPr>
            <w:tcW w:w="2972" w:type="dxa"/>
          </w:tcPr>
          <w:p>
            <w:pPr>
              <w:pStyle w:val="TableParagraph"/>
              <w:ind w:left="488"/>
              <w:rPr>
                <w:b/>
                <w:sz w:val="20"/>
              </w:rPr>
            </w:pPr>
            <w:r>
              <w:rPr>
                <w:b/>
                <w:sz w:val="20"/>
              </w:rPr>
              <w:t>Nomura</w:t>
            </w:r>
          </w:p>
        </w:tc>
      </w:tr>
      <w:tr>
        <w:trPr>
          <w:trHeight w:val="300" w:hRule="atLeast"/>
        </w:trPr>
        <w:tc>
          <w:tcPr>
            <w:tcW w:w="2830" w:type="dxa"/>
          </w:tcPr>
          <w:p>
            <w:pPr>
              <w:pStyle w:val="TableParagraph"/>
              <w:spacing w:before="32"/>
              <w:rPr>
                <w:sz w:val="20"/>
              </w:rPr>
            </w:pPr>
            <w:r>
              <w:rPr>
                <w:sz w:val="20"/>
              </w:rPr>
              <w:t>Mark Thommason</w:t>
            </w:r>
          </w:p>
        </w:tc>
        <w:tc>
          <w:tcPr>
            <w:tcW w:w="2972" w:type="dxa"/>
          </w:tcPr>
          <w:p>
            <w:pPr>
              <w:pStyle w:val="TableParagraph"/>
              <w:ind w:left="488"/>
              <w:rPr>
                <w:b/>
                <w:sz w:val="20"/>
              </w:rPr>
            </w:pPr>
            <w:r>
              <w:rPr>
                <w:b/>
                <w:sz w:val="20"/>
              </w:rPr>
              <w:t>RBS</w:t>
            </w:r>
          </w:p>
        </w:tc>
      </w:tr>
      <w:tr>
        <w:trPr>
          <w:trHeight w:val="300" w:hRule="atLeast"/>
        </w:trPr>
        <w:tc>
          <w:tcPr>
            <w:tcW w:w="2830" w:type="dxa"/>
          </w:tcPr>
          <w:p>
            <w:pPr>
              <w:pStyle w:val="TableParagraph"/>
              <w:spacing w:before="32"/>
              <w:rPr>
                <w:sz w:val="20"/>
              </w:rPr>
            </w:pPr>
            <w:r>
              <w:rPr>
                <w:sz w:val="20"/>
              </w:rPr>
              <w:t>Toby Stevenson</w:t>
            </w:r>
          </w:p>
        </w:tc>
        <w:tc>
          <w:tcPr>
            <w:tcW w:w="2972" w:type="dxa"/>
          </w:tcPr>
          <w:p>
            <w:pPr>
              <w:pStyle w:val="TableParagraph"/>
              <w:ind w:left="488"/>
              <w:rPr>
                <w:b/>
                <w:sz w:val="20"/>
              </w:rPr>
            </w:pPr>
            <w:r>
              <w:rPr>
                <w:b/>
                <w:sz w:val="20"/>
              </w:rPr>
              <w:t>RBS</w:t>
            </w:r>
          </w:p>
        </w:tc>
      </w:tr>
      <w:tr>
        <w:trPr>
          <w:trHeight w:val="300" w:hRule="atLeast"/>
        </w:trPr>
        <w:tc>
          <w:tcPr>
            <w:tcW w:w="2830" w:type="dxa"/>
          </w:tcPr>
          <w:p>
            <w:pPr>
              <w:pStyle w:val="TableParagraph"/>
              <w:spacing w:before="32"/>
              <w:rPr>
                <w:sz w:val="20"/>
              </w:rPr>
            </w:pPr>
            <w:r>
              <w:rPr>
                <w:sz w:val="20"/>
              </w:rPr>
              <w:t>Paul Barnes</w:t>
            </w:r>
          </w:p>
        </w:tc>
        <w:tc>
          <w:tcPr>
            <w:tcW w:w="2972" w:type="dxa"/>
          </w:tcPr>
          <w:p>
            <w:pPr>
              <w:pStyle w:val="TableParagraph"/>
              <w:ind w:left="488"/>
              <w:rPr>
                <w:b/>
                <w:sz w:val="20"/>
              </w:rPr>
            </w:pPr>
            <w:r>
              <w:rPr>
                <w:b/>
                <w:sz w:val="20"/>
              </w:rPr>
              <w:t>Santander</w:t>
            </w:r>
          </w:p>
        </w:tc>
      </w:tr>
      <w:tr>
        <w:trPr>
          <w:trHeight w:val="300" w:hRule="atLeast"/>
        </w:trPr>
        <w:tc>
          <w:tcPr>
            <w:tcW w:w="2830" w:type="dxa"/>
          </w:tcPr>
          <w:p>
            <w:pPr>
              <w:pStyle w:val="TableParagraph"/>
              <w:spacing w:before="32"/>
              <w:rPr>
                <w:sz w:val="20"/>
              </w:rPr>
            </w:pPr>
            <w:r>
              <w:rPr>
                <w:sz w:val="20"/>
              </w:rPr>
              <w:t>Beatrice Devillon Cohen</w:t>
            </w:r>
          </w:p>
        </w:tc>
        <w:tc>
          <w:tcPr>
            <w:tcW w:w="2972" w:type="dxa"/>
          </w:tcPr>
          <w:p>
            <w:pPr>
              <w:pStyle w:val="TableParagraph"/>
              <w:ind w:left="488"/>
              <w:rPr>
                <w:b/>
                <w:sz w:val="20"/>
              </w:rPr>
            </w:pPr>
            <w:r>
              <w:rPr>
                <w:b/>
                <w:sz w:val="20"/>
              </w:rPr>
              <w:t>Societe Generale</w:t>
            </w:r>
          </w:p>
        </w:tc>
      </w:tr>
      <w:tr>
        <w:trPr>
          <w:trHeight w:val="300" w:hRule="atLeast"/>
        </w:trPr>
        <w:tc>
          <w:tcPr>
            <w:tcW w:w="2830" w:type="dxa"/>
          </w:tcPr>
          <w:p>
            <w:pPr>
              <w:pStyle w:val="TableParagraph"/>
              <w:spacing w:before="32"/>
              <w:rPr>
                <w:sz w:val="20"/>
              </w:rPr>
            </w:pPr>
            <w:r>
              <w:rPr>
                <w:sz w:val="20"/>
              </w:rPr>
              <w:t>Andrew Sacre</w:t>
            </w:r>
          </w:p>
        </w:tc>
        <w:tc>
          <w:tcPr>
            <w:tcW w:w="2972" w:type="dxa"/>
          </w:tcPr>
          <w:p>
            <w:pPr>
              <w:pStyle w:val="TableParagraph"/>
              <w:ind w:left="488"/>
              <w:rPr>
                <w:b/>
                <w:sz w:val="20"/>
              </w:rPr>
            </w:pPr>
            <w:r>
              <w:rPr>
                <w:b/>
                <w:sz w:val="20"/>
              </w:rPr>
              <w:t>Societe Generale</w:t>
            </w:r>
          </w:p>
        </w:tc>
      </w:tr>
      <w:tr>
        <w:trPr>
          <w:trHeight w:val="300" w:hRule="atLeast"/>
        </w:trPr>
        <w:tc>
          <w:tcPr>
            <w:tcW w:w="2830" w:type="dxa"/>
          </w:tcPr>
          <w:p>
            <w:pPr>
              <w:pStyle w:val="TableParagraph"/>
              <w:spacing w:before="33"/>
              <w:rPr>
                <w:sz w:val="20"/>
              </w:rPr>
            </w:pPr>
            <w:r>
              <w:rPr>
                <w:sz w:val="20"/>
              </w:rPr>
              <w:t>Thomas Decouvelaere</w:t>
            </w:r>
          </w:p>
        </w:tc>
        <w:tc>
          <w:tcPr>
            <w:tcW w:w="2972" w:type="dxa"/>
          </w:tcPr>
          <w:p>
            <w:pPr>
              <w:pStyle w:val="TableParagraph"/>
              <w:ind w:left="488"/>
              <w:rPr>
                <w:b/>
                <w:sz w:val="20"/>
              </w:rPr>
            </w:pPr>
            <w:r>
              <w:rPr>
                <w:b/>
                <w:sz w:val="20"/>
              </w:rPr>
              <w:t>Societe Generale</w:t>
            </w:r>
          </w:p>
        </w:tc>
      </w:tr>
      <w:tr>
        <w:trPr>
          <w:trHeight w:val="300" w:hRule="atLeast"/>
        </w:trPr>
        <w:tc>
          <w:tcPr>
            <w:tcW w:w="2830" w:type="dxa"/>
          </w:tcPr>
          <w:p>
            <w:pPr>
              <w:pStyle w:val="TableParagraph"/>
              <w:spacing w:before="32"/>
              <w:rPr>
                <w:sz w:val="20"/>
              </w:rPr>
            </w:pPr>
            <w:r>
              <w:rPr>
                <w:sz w:val="20"/>
              </w:rPr>
              <w:t>Phil Whitehurst</w:t>
            </w:r>
          </w:p>
        </w:tc>
        <w:tc>
          <w:tcPr>
            <w:tcW w:w="2972" w:type="dxa"/>
          </w:tcPr>
          <w:p>
            <w:pPr>
              <w:pStyle w:val="TableParagraph"/>
              <w:ind w:left="488"/>
              <w:rPr>
                <w:b/>
                <w:sz w:val="20"/>
              </w:rPr>
            </w:pPr>
            <w:r>
              <w:rPr>
                <w:b/>
                <w:sz w:val="20"/>
              </w:rPr>
              <w:t>LCH ltd (Observer)</w:t>
            </w:r>
          </w:p>
        </w:tc>
      </w:tr>
      <w:tr>
        <w:trPr>
          <w:trHeight w:val="262" w:hRule="atLeast"/>
        </w:trPr>
        <w:tc>
          <w:tcPr>
            <w:tcW w:w="2830" w:type="dxa"/>
          </w:tcPr>
          <w:p>
            <w:pPr>
              <w:pStyle w:val="TableParagraph"/>
              <w:spacing w:line="210" w:lineRule="exact" w:before="32"/>
              <w:rPr>
                <w:sz w:val="20"/>
              </w:rPr>
            </w:pPr>
            <w:r>
              <w:rPr>
                <w:sz w:val="20"/>
              </w:rPr>
              <w:t>Rick Sandilands</w:t>
            </w:r>
          </w:p>
        </w:tc>
        <w:tc>
          <w:tcPr>
            <w:tcW w:w="2972" w:type="dxa"/>
          </w:tcPr>
          <w:p>
            <w:pPr>
              <w:pStyle w:val="TableParagraph"/>
              <w:spacing w:line="212" w:lineRule="exact"/>
              <w:ind w:left="488"/>
              <w:rPr>
                <w:b/>
                <w:sz w:val="20"/>
              </w:rPr>
            </w:pPr>
            <w:r>
              <w:rPr>
                <w:b/>
                <w:sz w:val="20"/>
              </w:rPr>
              <w:t>ISDA (Observer)</w:t>
            </w:r>
          </w:p>
        </w:tc>
      </w:tr>
    </w:tbl>
    <w:p>
      <w:pPr>
        <w:pStyle w:val="BodyText"/>
        <w:rPr>
          <w:b/>
        </w:rPr>
      </w:pPr>
    </w:p>
    <w:p>
      <w:pPr>
        <w:pStyle w:val="BodyText"/>
        <w:rPr>
          <w:b/>
        </w:rPr>
      </w:pPr>
    </w:p>
    <w:p>
      <w:pPr>
        <w:pStyle w:val="BodyText"/>
        <w:spacing w:before="5"/>
        <w:rPr>
          <w:b/>
          <w:sz w:val="21"/>
        </w:rPr>
      </w:pPr>
    </w:p>
    <w:p>
      <w:pPr>
        <w:spacing w:before="93"/>
        <w:ind w:left="197" w:right="0" w:firstLine="0"/>
        <w:jc w:val="left"/>
        <w:rPr>
          <w:b/>
          <w:sz w:val="20"/>
        </w:rPr>
      </w:pPr>
      <w:r>
        <w:rPr>
          <w:b/>
          <w:sz w:val="20"/>
        </w:rPr>
        <w:t>Official sector</w:t>
      </w:r>
      <w:r>
        <w:rPr>
          <w:b/>
          <w:spacing w:val="-9"/>
          <w:sz w:val="20"/>
        </w:rPr>
        <w:t> </w:t>
      </w:r>
      <w:r>
        <w:rPr>
          <w:b/>
          <w:sz w:val="20"/>
        </w:rPr>
        <w:t>attendees</w:t>
      </w:r>
    </w:p>
    <w:p>
      <w:pPr>
        <w:pStyle w:val="BodyText"/>
        <w:spacing w:after="1"/>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7"/>
      </w:tblGrid>
      <w:tr>
        <w:trPr>
          <w:trHeight w:val="263" w:hRule="atLeast"/>
        </w:trPr>
        <w:tc>
          <w:tcPr>
            <w:tcW w:w="2580" w:type="dxa"/>
          </w:tcPr>
          <w:p>
            <w:pPr>
              <w:pStyle w:val="TableParagraph"/>
              <w:spacing w:line="225" w:lineRule="exact" w:before="0"/>
              <w:rPr>
                <w:sz w:val="20"/>
              </w:rPr>
            </w:pPr>
            <w:r>
              <w:rPr>
                <w:sz w:val="20"/>
              </w:rPr>
              <w:t>Will Parry</w:t>
            </w:r>
          </w:p>
        </w:tc>
        <w:tc>
          <w:tcPr>
            <w:tcW w:w="3657" w:type="dxa"/>
          </w:tcPr>
          <w:p>
            <w:pPr>
              <w:pStyle w:val="TableParagraph"/>
              <w:spacing w:line="223" w:lineRule="exact" w:before="0"/>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Tim Taylor</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Ed Ocampo</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Imane Bakkar</w:t>
            </w:r>
          </w:p>
        </w:tc>
        <w:tc>
          <w:tcPr>
            <w:tcW w:w="3657" w:type="dxa"/>
          </w:tcPr>
          <w:p>
            <w:pPr>
              <w:pStyle w:val="TableParagraph"/>
              <w:spacing w:before="32"/>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Josh Jones</w:t>
            </w:r>
          </w:p>
        </w:tc>
        <w:tc>
          <w:tcPr>
            <w:tcW w:w="3657"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Sakshi Gupta</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John Budd</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Harriet Hunnable</w:t>
            </w:r>
          </w:p>
        </w:tc>
        <w:tc>
          <w:tcPr>
            <w:tcW w:w="3657" w:type="dxa"/>
          </w:tcPr>
          <w:p>
            <w:pPr>
              <w:pStyle w:val="TableParagraph"/>
              <w:spacing w:before="32"/>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Devid Mazzonetto</w:t>
            </w:r>
          </w:p>
        </w:tc>
        <w:tc>
          <w:tcPr>
            <w:tcW w:w="3657" w:type="dxa"/>
          </w:tcPr>
          <w:p>
            <w:pPr>
              <w:pStyle w:val="TableParagraph"/>
              <w:spacing w:line="212" w:lineRule="exact" w:before="31"/>
              <w:ind w:left="781"/>
              <w:rPr>
                <w:b/>
                <w:sz w:val="20"/>
              </w:rPr>
            </w:pPr>
            <w:r>
              <w:rPr>
                <w:b/>
                <w:sz w:val="20"/>
              </w:rPr>
              <w:t>Financial Conduct Authority</w:t>
            </w:r>
          </w:p>
        </w:tc>
      </w:tr>
    </w:tbl>
    <w:sectPr>
      <w:pgSz w:w="11910" w:h="16840"/>
      <w:pgMar w:top="900" w:bottom="28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97" w:hanging="428"/>
        <w:jc w:val="left"/>
      </w:pPr>
      <w:rPr>
        <w:rFonts w:hint="default" w:ascii="Arial" w:hAnsi="Arial" w:eastAsia="Arial" w:cs="Arial"/>
        <w:w w:val="99"/>
        <w:sz w:val="20"/>
        <w:szCs w:val="20"/>
        <w:lang w:val="en-gb" w:eastAsia="en-gb" w:bidi="en-gb"/>
      </w:rPr>
    </w:lvl>
    <w:lvl w:ilvl="1">
      <w:start w:val="0"/>
      <w:numFmt w:val="bullet"/>
      <w:lvlText w:val="•"/>
      <w:lvlJc w:val="left"/>
      <w:pPr>
        <w:ind w:left="1160" w:hanging="428"/>
      </w:pPr>
      <w:rPr>
        <w:rFonts w:hint="default"/>
        <w:lang w:val="en-gb" w:eastAsia="en-gb" w:bidi="en-gb"/>
      </w:rPr>
    </w:lvl>
    <w:lvl w:ilvl="2">
      <w:start w:val="0"/>
      <w:numFmt w:val="bullet"/>
      <w:lvlText w:val="•"/>
      <w:lvlJc w:val="left"/>
      <w:pPr>
        <w:ind w:left="2121" w:hanging="428"/>
      </w:pPr>
      <w:rPr>
        <w:rFonts w:hint="default"/>
        <w:lang w:val="en-gb" w:eastAsia="en-gb" w:bidi="en-gb"/>
      </w:rPr>
    </w:lvl>
    <w:lvl w:ilvl="3">
      <w:start w:val="0"/>
      <w:numFmt w:val="bullet"/>
      <w:lvlText w:val="•"/>
      <w:lvlJc w:val="left"/>
      <w:pPr>
        <w:ind w:left="3081" w:hanging="428"/>
      </w:pPr>
      <w:rPr>
        <w:rFonts w:hint="default"/>
        <w:lang w:val="en-gb" w:eastAsia="en-gb" w:bidi="en-gb"/>
      </w:rPr>
    </w:lvl>
    <w:lvl w:ilvl="4">
      <w:start w:val="0"/>
      <w:numFmt w:val="bullet"/>
      <w:lvlText w:val="•"/>
      <w:lvlJc w:val="left"/>
      <w:pPr>
        <w:ind w:left="4042" w:hanging="428"/>
      </w:pPr>
      <w:rPr>
        <w:rFonts w:hint="default"/>
        <w:lang w:val="en-gb" w:eastAsia="en-gb" w:bidi="en-gb"/>
      </w:rPr>
    </w:lvl>
    <w:lvl w:ilvl="5">
      <w:start w:val="0"/>
      <w:numFmt w:val="bullet"/>
      <w:lvlText w:val="•"/>
      <w:lvlJc w:val="left"/>
      <w:pPr>
        <w:ind w:left="5003" w:hanging="428"/>
      </w:pPr>
      <w:rPr>
        <w:rFonts w:hint="default"/>
        <w:lang w:val="en-gb" w:eastAsia="en-gb" w:bidi="en-gb"/>
      </w:rPr>
    </w:lvl>
    <w:lvl w:ilvl="6">
      <w:start w:val="0"/>
      <w:numFmt w:val="bullet"/>
      <w:lvlText w:val="•"/>
      <w:lvlJc w:val="left"/>
      <w:pPr>
        <w:ind w:left="5963" w:hanging="428"/>
      </w:pPr>
      <w:rPr>
        <w:rFonts w:hint="default"/>
        <w:lang w:val="en-gb" w:eastAsia="en-gb" w:bidi="en-gb"/>
      </w:rPr>
    </w:lvl>
    <w:lvl w:ilvl="7">
      <w:start w:val="0"/>
      <w:numFmt w:val="bullet"/>
      <w:lvlText w:val="•"/>
      <w:lvlJc w:val="left"/>
      <w:pPr>
        <w:ind w:left="6924" w:hanging="428"/>
      </w:pPr>
      <w:rPr>
        <w:rFonts w:hint="default"/>
        <w:lang w:val="en-gb" w:eastAsia="en-gb" w:bidi="en-gb"/>
      </w:rPr>
    </w:lvl>
    <w:lvl w:ilvl="8">
      <w:start w:val="0"/>
      <w:numFmt w:val="bullet"/>
      <w:lvlText w:val="•"/>
      <w:lvlJc w:val="left"/>
      <w:pPr>
        <w:ind w:left="7885" w:hanging="42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9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97"/>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sterlingoperations/rfr/rfrwgwhitepaper0617.pdf" TargetMode="External"/><Relationship Id="rId6" Type="http://schemas.openxmlformats.org/officeDocument/2006/relationships/hyperlink" Target="http://www.bankofengland.co.uk/markets/Documents/sterlingoperations/rfr/rfrwhitepaper.pdf" TargetMode="External"/><Relationship Id="rId7" Type="http://schemas.openxmlformats.org/officeDocument/2006/relationships/hyperlink" Target="http://www.bankofengland.co.uk/markets/Documents/sterlingoperations/rfr/2017/minutes18august2017.pdf"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Working Group on Sterling Risk-Free Reference Rates</dc:creator>
  <dc:subject>6 October 2017</dc:subject>
  <dc:title>Minutes of the Meeting of the Working Group on Sterling Risk-Free Reference Rates</dc:title>
  <dcterms:created xsi:type="dcterms:W3CDTF">2020-06-01T02:25:12Z</dcterms:created>
  <dcterms:modified xsi:type="dcterms:W3CDTF">2020-06-01T02:25:12Z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2017-11-08T00:00:00Z</vt:filetime>
  </property>
  <property fmtid="{D5CDD505-2E9C-101B-9397-08002B2CF9AE}" pid="3" name="LastSaved">
    <vt:filetime>2020-06-01T00:00:00Z</vt:filetime>
  </property>
</Properties>
</file>