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2" w:lineRule="auto" w:before="73"/>
        <w:ind w:left="1665" w:right="1585"/>
        <w:jc w:val="center"/>
      </w:pPr>
      <w:r>
        <w:rPr/>
        <w:t>Minutes of the Working Group on Sterling Risk-Free Reference Rates Monday 15</w:t>
      </w:r>
      <w:r>
        <w:rPr>
          <w:vertAlign w:val="superscript"/>
        </w:rPr>
        <w:t>th</w:t>
      </w:r>
      <w:r>
        <w:rPr>
          <w:vertAlign w:val="baseline"/>
        </w:rPr>
        <w:t> October 2018</w:t>
      </w:r>
    </w:p>
    <w:p>
      <w:pPr>
        <w:spacing w:before="4"/>
        <w:ind w:left="1665" w:right="1583" w:firstLine="0"/>
        <w:jc w:val="center"/>
        <w:rPr>
          <w:b/>
          <w:sz w:val="20"/>
        </w:rPr>
      </w:pPr>
      <w:r>
        <w:rPr>
          <w:b/>
          <w:sz w:val="20"/>
        </w:rPr>
        <w:t>Shell Centre, London, SE1 7NA</w:t>
      </w:r>
    </w:p>
    <w:p>
      <w:pPr>
        <w:pStyle w:val="BodyText"/>
        <w:spacing w:before="10"/>
        <w:rPr>
          <w:b/>
          <w:sz w:val="22"/>
        </w:rPr>
      </w:pPr>
    </w:p>
    <w:p>
      <w:pPr>
        <w:spacing w:before="92"/>
        <w:ind w:left="196" w:right="0" w:firstLine="0"/>
        <w:jc w:val="left"/>
        <w:rPr>
          <w:b/>
          <w:sz w:val="20"/>
        </w:rPr>
      </w:pPr>
      <w:r>
        <w:rPr>
          <w:b/>
          <w:sz w:val="20"/>
        </w:rPr>
        <w:t>Introduction</w:t>
      </w:r>
    </w:p>
    <w:p>
      <w:pPr>
        <w:pStyle w:val="BodyText"/>
        <w:spacing w:before="8"/>
        <w:rPr>
          <w:b/>
        </w:rPr>
      </w:pPr>
    </w:p>
    <w:p>
      <w:pPr>
        <w:pStyle w:val="ListParagraph"/>
        <w:numPr>
          <w:ilvl w:val="0"/>
          <w:numId w:val="1"/>
        </w:numPr>
        <w:tabs>
          <w:tab w:pos="557" w:val="left" w:leader="none"/>
        </w:tabs>
        <w:spacing w:line="360" w:lineRule="auto" w:before="0" w:after="0"/>
        <w:ind w:left="556" w:right="111" w:hanging="360"/>
        <w:jc w:val="both"/>
        <w:rPr>
          <w:sz w:val="20"/>
        </w:rPr>
      </w:pPr>
      <w:r>
        <w:rPr>
          <w:sz w:val="20"/>
        </w:rPr>
        <w:t>The Chair welcomed attendees and highlighted that Simon Wilkinson (Legal and General Investment Management) would be stepping down as Vice-Chair of the Working Group on Sterling Risk-Free Reference Rates (the ‘Working Group’). He thanked Simon for his hard work over the past year in support of the Working Group’s objectives. Simon thanked the Chair and noted that he would continue to follow the Working Group’s progress going forward given its importance for financial</w:t>
      </w:r>
      <w:r>
        <w:rPr>
          <w:spacing w:val="-23"/>
          <w:sz w:val="20"/>
        </w:rPr>
        <w:t> </w:t>
      </w:r>
      <w:r>
        <w:rPr>
          <w:sz w:val="20"/>
        </w:rPr>
        <w:t>markets.</w:t>
      </w:r>
    </w:p>
    <w:p>
      <w:pPr>
        <w:pStyle w:val="Heading1"/>
        <w:spacing w:before="116"/>
      </w:pPr>
      <w:r>
        <w:rPr/>
        <w:t>Competition law reminder</w:t>
      </w:r>
    </w:p>
    <w:p>
      <w:pPr>
        <w:pStyle w:val="BodyText"/>
        <w:spacing w:before="8"/>
        <w:rPr>
          <w:b/>
        </w:rPr>
      </w:pPr>
    </w:p>
    <w:p>
      <w:pPr>
        <w:pStyle w:val="ListParagraph"/>
        <w:numPr>
          <w:ilvl w:val="0"/>
          <w:numId w:val="1"/>
        </w:numPr>
        <w:tabs>
          <w:tab w:pos="557" w:val="left" w:leader="none"/>
        </w:tabs>
        <w:spacing w:line="360" w:lineRule="auto" w:before="0" w:after="0"/>
        <w:ind w:left="556" w:right="112" w:hanging="360"/>
        <w:jc w:val="both"/>
        <w:rPr>
          <w:sz w:val="20"/>
        </w:rPr>
      </w:pPr>
      <w:r>
        <w:rPr>
          <w:sz w:val="20"/>
        </w:rPr>
        <w:t>The Chair reminded members of their responsibilities in relation to competition law and the importance of taking their own independent advice from the legal and/or compliance teams at their respective institutions.</w:t>
      </w:r>
    </w:p>
    <w:p>
      <w:pPr>
        <w:pStyle w:val="Heading1"/>
        <w:spacing w:before="117"/>
      </w:pPr>
      <w:r>
        <w:rPr/>
        <w:t>Communication &amp; Outreach sub-group deliverables</w:t>
      </w:r>
    </w:p>
    <w:p>
      <w:pPr>
        <w:pStyle w:val="BodyText"/>
        <w:spacing w:before="8"/>
        <w:rPr>
          <w:b/>
        </w:rPr>
      </w:pPr>
    </w:p>
    <w:p>
      <w:pPr>
        <w:pStyle w:val="ListParagraph"/>
        <w:numPr>
          <w:ilvl w:val="0"/>
          <w:numId w:val="1"/>
        </w:numPr>
        <w:tabs>
          <w:tab w:pos="557" w:val="left" w:leader="none"/>
        </w:tabs>
        <w:spacing w:line="360" w:lineRule="auto" w:before="0" w:after="0"/>
        <w:ind w:left="556" w:right="111" w:hanging="361"/>
        <w:jc w:val="both"/>
        <w:rPr>
          <w:sz w:val="20"/>
        </w:rPr>
      </w:pPr>
      <w:r>
        <w:rPr>
          <w:sz w:val="20"/>
        </w:rPr>
        <w:t>The Communication &amp; Outreach sub-group co-chairs presented recent deliverables for the Working Group to</w:t>
      </w:r>
      <w:r>
        <w:rPr>
          <w:spacing w:val="-3"/>
          <w:sz w:val="20"/>
        </w:rPr>
        <w:t> </w:t>
      </w:r>
      <w:r>
        <w:rPr>
          <w:sz w:val="20"/>
        </w:rPr>
        <w:t>review.</w:t>
      </w:r>
    </w:p>
    <w:p>
      <w:pPr>
        <w:spacing w:before="119"/>
        <w:ind w:left="196" w:right="0" w:firstLine="0"/>
        <w:jc w:val="both"/>
        <w:rPr>
          <w:i/>
          <w:sz w:val="20"/>
        </w:rPr>
      </w:pPr>
      <w:r>
        <w:rPr>
          <w:i/>
          <w:sz w:val="20"/>
        </w:rPr>
        <w:t>Media strategy</w:t>
      </w:r>
    </w:p>
    <w:p>
      <w:pPr>
        <w:pStyle w:val="BodyText"/>
        <w:spacing w:before="6"/>
        <w:rPr>
          <w:i/>
        </w:rPr>
      </w:pPr>
    </w:p>
    <w:p>
      <w:pPr>
        <w:pStyle w:val="ListParagraph"/>
        <w:numPr>
          <w:ilvl w:val="0"/>
          <w:numId w:val="1"/>
        </w:numPr>
        <w:tabs>
          <w:tab w:pos="557" w:val="left" w:leader="none"/>
        </w:tabs>
        <w:spacing w:line="360" w:lineRule="auto" w:before="0" w:after="0"/>
        <w:ind w:left="556" w:right="113" w:hanging="360"/>
        <w:jc w:val="both"/>
        <w:rPr>
          <w:sz w:val="20"/>
        </w:rPr>
      </w:pPr>
      <w:r>
        <w:rPr>
          <w:sz w:val="20"/>
        </w:rPr>
        <w:t>It was noted that there was a lot of appetite from media organisations for content relating to RFR transition and this represented an opportunity for the Working Group to ensure clear, consistent and positive messages were disseminated. The sub-group had drafted a media strategy to leverage this interest including through targeted events and articles; regular engagement with the media; use of social media; and deploying content</w:t>
      </w:r>
      <w:r>
        <w:rPr>
          <w:spacing w:val="-5"/>
          <w:sz w:val="20"/>
        </w:rPr>
        <w:t> </w:t>
      </w:r>
      <w:r>
        <w:rPr>
          <w:sz w:val="20"/>
        </w:rPr>
        <w:t>effectively.</w:t>
      </w:r>
    </w:p>
    <w:p>
      <w:pPr>
        <w:pStyle w:val="ListParagraph"/>
        <w:numPr>
          <w:ilvl w:val="0"/>
          <w:numId w:val="1"/>
        </w:numPr>
        <w:tabs>
          <w:tab w:pos="557" w:val="left" w:leader="none"/>
        </w:tabs>
        <w:spacing w:line="360" w:lineRule="auto" w:before="120" w:after="0"/>
        <w:ind w:left="556" w:right="113" w:hanging="360"/>
        <w:jc w:val="both"/>
        <w:rPr>
          <w:sz w:val="20"/>
        </w:rPr>
      </w:pPr>
      <w:r>
        <w:rPr>
          <w:sz w:val="20"/>
        </w:rPr>
        <w:t>The sub-group chairs highlighted that, in order to effectively deliver the media strategy, the Working Group would need to be able to call on spokespeople for particular topics. Members were asked to highlight to the secretariat the topics where they felt they could add value as</w:t>
      </w:r>
      <w:r>
        <w:rPr>
          <w:spacing w:val="-19"/>
          <w:sz w:val="20"/>
        </w:rPr>
        <w:t> </w:t>
      </w:r>
      <w:r>
        <w:rPr>
          <w:sz w:val="20"/>
        </w:rPr>
        <w:t>spokespeople.</w:t>
      </w:r>
    </w:p>
    <w:p>
      <w:pPr>
        <w:pStyle w:val="ListParagraph"/>
        <w:numPr>
          <w:ilvl w:val="0"/>
          <w:numId w:val="1"/>
        </w:numPr>
        <w:tabs>
          <w:tab w:pos="557" w:val="left" w:leader="none"/>
        </w:tabs>
        <w:spacing w:line="360" w:lineRule="auto" w:before="120" w:after="0"/>
        <w:ind w:left="556" w:right="113" w:hanging="360"/>
        <w:jc w:val="both"/>
        <w:rPr>
          <w:sz w:val="20"/>
        </w:rPr>
      </w:pPr>
      <w:r>
        <w:rPr>
          <w:sz w:val="20"/>
        </w:rPr>
        <w:t>Members emphasised the benefits of coordinating with other relevant stakeholders on media engagement, for example, trade associations and the official sector. It was also suggested that the sub-group considers forthcoming conferences at which to deliver key</w:t>
      </w:r>
      <w:r>
        <w:rPr>
          <w:spacing w:val="-10"/>
          <w:sz w:val="20"/>
        </w:rPr>
        <w:t> </w:t>
      </w:r>
      <w:r>
        <w:rPr>
          <w:sz w:val="20"/>
        </w:rPr>
        <w:t>messages.</w:t>
      </w:r>
    </w:p>
    <w:p>
      <w:pPr>
        <w:pStyle w:val="ListParagraph"/>
        <w:numPr>
          <w:ilvl w:val="0"/>
          <w:numId w:val="1"/>
        </w:numPr>
        <w:tabs>
          <w:tab w:pos="557" w:val="left" w:leader="none"/>
        </w:tabs>
        <w:spacing w:line="357" w:lineRule="auto" w:before="122" w:after="0"/>
        <w:ind w:left="556" w:right="113" w:hanging="360"/>
        <w:jc w:val="both"/>
        <w:rPr>
          <w:sz w:val="20"/>
        </w:rPr>
      </w:pPr>
      <w:r>
        <w:rPr>
          <w:sz w:val="20"/>
        </w:rPr>
        <w:t>Members were asked to provide feedback on the media strategy more broadly, including suggested media lines and future milestones for potential media</w:t>
      </w:r>
      <w:r>
        <w:rPr>
          <w:spacing w:val="-8"/>
          <w:sz w:val="20"/>
        </w:rPr>
        <w:t> </w:t>
      </w:r>
      <w:r>
        <w:rPr>
          <w:sz w:val="20"/>
        </w:rPr>
        <w:t>engagement.</w:t>
      </w:r>
    </w:p>
    <w:p>
      <w:pPr>
        <w:spacing w:before="121"/>
        <w:ind w:left="196" w:right="0" w:firstLine="0"/>
        <w:jc w:val="both"/>
        <w:rPr>
          <w:i/>
          <w:sz w:val="20"/>
        </w:rPr>
      </w:pPr>
      <w:r>
        <w:rPr>
          <w:i/>
          <w:sz w:val="20"/>
        </w:rPr>
        <w:t>Starter pack</w:t>
      </w:r>
    </w:p>
    <w:p>
      <w:pPr>
        <w:pStyle w:val="BodyText"/>
        <w:spacing w:before="8"/>
        <w:rPr>
          <w:i/>
        </w:rPr>
      </w:pPr>
    </w:p>
    <w:p>
      <w:pPr>
        <w:pStyle w:val="ListParagraph"/>
        <w:numPr>
          <w:ilvl w:val="0"/>
          <w:numId w:val="1"/>
        </w:numPr>
        <w:tabs>
          <w:tab w:pos="557" w:val="left" w:leader="none"/>
        </w:tabs>
        <w:spacing w:line="360" w:lineRule="auto" w:before="0" w:after="0"/>
        <w:ind w:left="556" w:right="112" w:hanging="360"/>
        <w:jc w:val="both"/>
        <w:rPr>
          <w:sz w:val="20"/>
        </w:rPr>
      </w:pPr>
      <w:r>
        <w:rPr>
          <w:sz w:val="20"/>
        </w:rPr>
        <w:t>The sub-group had produced a “starter pack” designed as a briefing pack that could be used to explain the project’s rationale and main features to those with little knowledge of RFR transition. It was envisaged that this pack could act as a briefing for members’ clients on the</w:t>
      </w:r>
      <w:r>
        <w:rPr>
          <w:spacing w:val="-7"/>
          <w:sz w:val="20"/>
        </w:rPr>
        <w:t> </w:t>
      </w:r>
      <w:r>
        <w:rPr>
          <w:sz w:val="20"/>
        </w:rPr>
        <w:t>topic.</w:t>
      </w:r>
    </w:p>
    <w:p>
      <w:pPr>
        <w:pStyle w:val="ListParagraph"/>
        <w:numPr>
          <w:ilvl w:val="0"/>
          <w:numId w:val="1"/>
        </w:numPr>
        <w:tabs>
          <w:tab w:pos="557" w:val="left" w:leader="none"/>
        </w:tabs>
        <w:spacing w:line="360" w:lineRule="auto" w:before="119" w:after="0"/>
        <w:ind w:left="556" w:right="113" w:hanging="360"/>
        <w:jc w:val="both"/>
        <w:rPr>
          <w:sz w:val="20"/>
        </w:rPr>
      </w:pPr>
      <w:r>
        <w:rPr>
          <w:sz w:val="20"/>
        </w:rPr>
        <w:t>It was debated whether to include reference to the LIBOR manipulation scandal as part of the document. Some members highlighted that it would be difficult to avoid making reference to the scandal as it was what many individuals less familiar with benchmark reform associated with</w:t>
      </w:r>
      <w:r>
        <w:rPr>
          <w:spacing w:val="7"/>
          <w:sz w:val="20"/>
        </w:rPr>
        <w:t> </w:t>
      </w:r>
      <w:r>
        <w:rPr>
          <w:sz w:val="20"/>
        </w:rPr>
        <w:t>LIBOR.</w:t>
      </w:r>
    </w:p>
    <w:p>
      <w:pPr>
        <w:spacing w:after="0" w:line="360" w:lineRule="auto"/>
        <w:jc w:val="both"/>
        <w:rPr>
          <w:sz w:val="20"/>
        </w:rPr>
        <w:sectPr>
          <w:type w:val="continuous"/>
          <w:pgSz w:w="11910" w:h="16840"/>
          <w:pgMar w:top="1180" w:bottom="280" w:left="1080" w:right="1020"/>
        </w:sectPr>
      </w:pPr>
    </w:p>
    <w:p>
      <w:pPr>
        <w:pStyle w:val="BodyText"/>
        <w:spacing w:line="357" w:lineRule="auto" w:before="75"/>
        <w:ind w:left="556" w:right="107"/>
        <w:jc w:val="both"/>
      </w:pPr>
      <w:r>
        <w:rPr/>
        <w:t>However, it was agreed that the pack should not emphasise this topic too much as it was not directly linked to transition efforts.</w:t>
      </w:r>
    </w:p>
    <w:p>
      <w:pPr>
        <w:pStyle w:val="ListParagraph"/>
        <w:numPr>
          <w:ilvl w:val="0"/>
          <w:numId w:val="1"/>
        </w:numPr>
        <w:tabs>
          <w:tab w:pos="557" w:val="left" w:leader="none"/>
        </w:tabs>
        <w:spacing w:line="360" w:lineRule="auto" w:before="124" w:after="0"/>
        <w:ind w:left="556" w:right="113" w:hanging="361"/>
        <w:jc w:val="both"/>
        <w:rPr>
          <w:sz w:val="20"/>
        </w:rPr>
      </w:pPr>
      <w:r>
        <w:rPr>
          <w:sz w:val="20"/>
        </w:rPr>
        <w:t>One member noted that it would be important for the sub-group to consider how to engage those stakeholders not currently aware of transition, which included going beyond the financial services community. The sub-group chair agreed and noted that this should be discussed as part of the sub- group’s further consideration of targeted stakeholder</w:t>
      </w:r>
      <w:r>
        <w:rPr>
          <w:spacing w:val="-4"/>
          <w:sz w:val="20"/>
        </w:rPr>
        <w:t> </w:t>
      </w:r>
      <w:r>
        <w:rPr>
          <w:sz w:val="20"/>
        </w:rPr>
        <w:t>outreach.</w:t>
      </w:r>
    </w:p>
    <w:p>
      <w:pPr>
        <w:pStyle w:val="ListParagraph"/>
        <w:numPr>
          <w:ilvl w:val="0"/>
          <w:numId w:val="1"/>
        </w:numPr>
        <w:tabs>
          <w:tab w:pos="558" w:val="left" w:leader="none"/>
        </w:tabs>
        <w:spacing w:line="360" w:lineRule="auto" w:before="120" w:after="0"/>
        <w:ind w:left="557" w:right="114" w:hanging="361"/>
        <w:jc w:val="both"/>
        <w:rPr>
          <w:sz w:val="20"/>
        </w:rPr>
      </w:pPr>
      <w:r>
        <w:rPr>
          <w:sz w:val="20"/>
        </w:rPr>
        <w:t>Another member noted that, in general, the sub-group should consider the interaction of LIBOR transition with Brexit as this subject was likely to become more important in the coming</w:t>
      </w:r>
      <w:r>
        <w:rPr>
          <w:spacing w:val="-23"/>
          <w:sz w:val="20"/>
        </w:rPr>
        <w:t> </w:t>
      </w:r>
      <w:r>
        <w:rPr>
          <w:sz w:val="20"/>
        </w:rPr>
        <w:t>months.</w:t>
      </w:r>
    </w:p>
    <w:p>
      <w:pPr>
        <w:pStyle w:val="ListParagraph"/>
        <w:numPr>
          <w:ilvl w:val="0"/>
          <w:numId w:val="1"/>
        </w:numPr>
        <w:tabs>
          <w:tab w:pos="558" w:val="left" w:leader="none"/>
        </w:tabs>
        <w:spacing w:line="360" w:lineRule="auto" w:before="121" w:after="0"/>
        <w:ind w:left="557" w:right="109" w:hanging="361"/>
        <w:jc w:val="both"/>
        <w:rPr>
          <w:sz w:val="20"/>
        </w:rPr>
      </w:pPr>
      <w:r>
        <w:rPr>
          <w:sz w:val="20"/>
        </w:rPr>
        <w:t>Members were asked to feedback any additional comments on the starter pack via written procedure. They were also asked to feedback via written procedure any objection they </w:t>
      </w:r>
      <w:r>
        <w:rPr>
          <w:spacing w:val="2"/>
          <w:sz w:val="20"/>
        </w:rPr>
        <w:t>may </w:t>
      </w:r>
      <w:r>
        <w:rPr>
          <w:sz w:val="20"/>
        </w:rPr>
        <w:t>have to delegating authority to the Chair, Vice Chairs, sub-group chair and authorities to finalise the document for publication.</w:t>
      </w:r>
    </w:p>
    <w:p>
      <w:pPr>
        <w:spacing w:before="118"/>
        <w:ind w:left="197" w:right="0" w:firstLine="0"/>
        <w:jc w:val="both"/>
        <w:rPr>
          <w:i/>
          <w:sz w:val="20"/>
        </w:rPr>
      </w:pPr>
      <w:r>
        <w:rPr>
          <w:i/>
          <w:sz w:val="20"/>
        </w:rPr>
        <w:t>Monthly newsletter</w:t>
      </w:r>
    </w:p>
    <w:p>
      <w:pPr>
        <w:pStyle w:val="BodyText"/>
        <w:spacing w:before="5"/>
        <w:rPr>
          <w:i/>
        </w:rPr>
      </w:pPr>
    </w:p>
    <w:p>
      <w:pPr>
        <w:pStyle w:val="ListParagraph"/>
        <w:numPr>
          <w:ilvl w:val="0"/>
          <w:numId w:val="1"/>
        </w:numPr>
        <w:tabs>
          <w:tab w:pos="558" w:val="left" w:leader="none"/>
        </w:tabs>
        <w:spacing w:line="360" w:lineRule="auto" w:before="0" w:after="0"/>
        <w:ind w:left="556" w:right="108" w:hanging="360"/>
        <w:jc w:val="both"/>
        <w:rPr>
          <w:sz w:val="20"/>
        </w:rPr>
      </w:pPr>
      <w:r>
        <w:rPr>
          <w:sz w:val="20"/>
        </w:rPr>
        <w:t>The sub-group had prepared a template for a newsletter to be distributed on a monthly basis which could include: key Working Group updates; relevant market developments; relevant official sector updates; liquidity indicators; and key updates on transition in other currencies. The newsletter would be sent by the Bank of England to a mailing list of individuals engaged with and interested in the Working Group’s work. It was agreed that the newsletter should include the appropriate legal disclaimers with regard to the information</w:t>
      </w:r>
      <w:r>
        <w:rPr>
          <w:spacing w:val="-5"/>
          <w:sz w:val="20"/>
        </w:rPr>
        <w:t> </w:t>
      </w:r>
      <w:r>
        <w:rPr>
          <w:sz w:val="20"/>
        </w:rPr>
        <w:t>provided.</w:t>
      </w:r>
    </w:p>
    <w:p>
      <w:pPr>
        <w:pStyle w:val="ListParagraph"/>
        <w:numPr>
          <w:ilvl w:val="0"/>
          <w:numId w:val="1"/>
        </w:numPr>
        <w:tabs>
          <w:tab w:pos="557" w:val="left" w:leader="none"/>
        </w:tabs>
        <w:spacing w:line="360" w:lineRule="auto" w:before="122" w:after="0"/>
        <w:ind w:left="556" w:right="110" w:hanging="361"/>
        <w:jc w:val="both"/>
        <w:rPr>
          <w:sz w:val="20"/>
        </w:rPr>
      </w:pPr>
      <w:r>
        <w:rPr>
          <w:sz w:val="20"/>
        </w:rPr>
        <w:t>The sub-group chair proposed that delegated authority be granted to allow a smaller group to approve the newsletter each month. The Chair noted that he, the Vice Chairs and sub-group chairs met monthly for a core management meeting and this might be the appropriate forum for approving the document. He noted that it would be shared with the Working Group members for comment, rather than approval, ahead of publication each</w:t>
      </w:r>
      <w:r>
        <w:rPr>
          <w:spacing w:val="2"/>
          <w:sz w:val="20"/>
        </w:rPr>
        <w:t> </w:t>
      </w:r>
      <w:r>
        <w:rPr>
          <w:sz w:val="20"/>
        </w:rPr>
        <w:t>month.</w:t>
      </w:r>
    </w:p>
    <w:p>
      <w:pPr>
        <w:pStyle w:val="ListParagraph"/>
        <w:numPr>
          <w:ilvl w:val="0"/>
          <w:numId w:val="1"/>
        </w:numPr>
        <w:tabs>
          <w:tab w:pos="558" w:val="left" w:leader="none"/>
        </w:tabs>
        <w:spacing w:line="360" w:lineRule="auto" w:before="118" w:after="0"/>
        <w:ind w:left="557" w:right="109" w:hanging="361"/>
        <w:jc w:val="both"/>
        <w:rPr>
          <w:sz w:val="20"/>
        </w:rPr>
      </w:pPr>
      <w:r>
        <w:rPr>
          <w:sz w:val="20"/>
        </w:rPr>
        <w:t>Members were asked to feedback via written procedure any comments on the document and any objection to delegating authority to the Chair, Vice Chairs, sub-group chair and authorities to approve the newsletter each</w:t>
      </w:r>
      <w:r>
        <w:rPr>
          <w:spacing w:val="-3"/>
          <w:sz w:val="20"/>
        </w:rPr>
        <w:t> </w:t>
      </w:r>
      <w:r>
        <w:rPr>
          <w:sz w:val="20"/>
        </w:rPr>
        <w:t>month.</w:t>
      </w:r>
    </w:p>
    <w:p>
      <w:pPr>
        <w:pStyle w:val="Heading1"/>
        <w:spacing w:before="119"/>
        <w:ind w:left="197"/>
      </w:pPr>
      <w:r>
        <w:rPr/>
        <w:t>Term SONIA Reference Rates consultation</w:t>
      </w:r>
    </w:p>
    <w:p>
      <w:pPr>
        <w:pStyle w:val="BodyText"/>
        <w:spacing w:before="6"/>
        <w:rPr>
          <w:b/>
        </w:rPr>
      </w:pPr>
    </w:p>
    <w:p>
      <w:pPr>
        <w:pStyle w:val="ListParagraph"/>
        <w:numPr>
          <w:ilvl w:val="0"/>
          <w:numId w:val="1"/>
        </w:numPr>
        <w:tabs>
          <w:tab w:pos="558" w:val="left" w:leader="none"/>
        </w:tabs>
        <w:spacing w:line="360" w:lineRule="auto" w:before="0" w:after="0"/>
        <w:ind w:left="557" w:right="110" w:hanging="360"/>
        <w:jc w:val="both"/>
        <w:rPr>
          <w:sz w:val="20"/>
        </w:rPr>
      </w:pPr>
      <w:r>
        <w:rPr>
          <w:sz w:val="20"/>
        </w:rPr>
        <w:t>The Bank of England explained that consultation responses already received had provided a deep and rich insight into the topic. However, some market segments and smaller firms had been unable to respond and therefore the consultation period had been extended to 26</w:t>
      </w:r>
      <w:r>
        <w:rPr>
          <w:sz w:val="20"/>
          <w:vertAlign w:val="superscript"/>
        </w:rPr>
        <w:t>th</w:t>
      </w:r>
      <w:r>
        <w:rPr>
          <w:sz w:val="20"/>
          <w:vertAlign w:val="baseline"/>
        </w:rPr>
        <w:t> October</w:t>
      </w:r>
      <w:r>
        <w:rPr>
          <w:spacing w:val="-13"/>
          <w:sz w:val="20"/>
          <w:vertAlign w:val="baseline"/>
        </w:rPr>
        <w:t> </w:t>
      </w:r>
      <w:r>
        <w:rPr>
          <w:sz w:val="20"/>
          <w:vertAlign w:val="baseline"/>
        </w:rPr>
        <w:t>2018.</w:t>
      </w:r>
    </w:p>
    <w:p>
      <w:pPr>
        <w:pStyle w:val="ListParagraph"/>
        <w:numPr>
          <w:ilvl w:val="0"/>
          <w:numId w:val="1"/>
        </w:numPr>
        <w:tabs>
          <w:tab w:pos="557" w:val="left" w:leader="none"/>
        </w:tabs>
        <w:spacing w:line="240" w:lineRule="auto" w:before="122" w:after="0"/>
        <w:ind w:left="556" w:right="0" w:hanging="361"/>
        <w:jc w:val="both"/>
        <w:rPr>
          <w:sz w:val="20"/>
        </w:rPr>
      </w:pPr>
      <w:r>
        <w:rPr>
          <w:sz w:val="20"/>
        </w:rPr>
        <w:t>The Chair proposed that the next meeting feature a more substantive discussion on the</w:t>
      </w:r>
      <w:r>
        <w:rPr>
          <w:spacing w:val="-28"/>
          <w:sz w:val="20"/>
        </w:rPr>
        <w:t> </w:t>
      </w:r>
      <w:r>
        <w:rPr>
          <w:sz w:val="20"/>
        </w:rPr>
        <w:t>consultation.</w:t>
      </w:r>
    </w:p>
    <w:p>
      <w:pPr>
        <w:pStyle w:val="BodyText"/>
        <w:spacing w:before="1"/>
      </w:pPr>
    </w:p>
    <w:p>
      <w:pPr>
        <w:pStyle w:val="Heading1"/>
      </w:pPr>
      <w:r>
        <w:rPr/>
        <w:t>Sub-group updates</w:t>
      </w:r>
    </w:p>
    <w:p>
      <w:pPr>
        <w:pStyle w:val="BodyText"/>
        <w:spacing w:before="5"/>
        <w:rPr>
          <w:b/>
        </w:rPr>
      </w:pPr>
    </w:p>
    <w:p>
      <w:pPr>
        <w:spacing w:before="1"/>
        <w:ind w:left="196" w:right="0" w:firstLine="0"/>
        <w:jc w:val="both"/>
        <w:rPr>
          <w:i/>
          <w:sz w:val="20"/>
        </w:rPr>
      </w:pPr>
      <w:r>
        <w:rPr>
          <w:i/>
          <w:sz w:val="20"/>
        </w:rPr>
        <w:t>Loan markets</w:t>
      </w:r>
    </w:p>
    <w:p>
      <w:pPr>
        <w:pStyle w:val="BodyText"/>
        <w:spacing w:before="7"/>
        <w:rPr>
          <w:i/>
        </w:rPr>
      </w:pPr>
    </w:p>
    <w:p>
      <w:pPr>
        <w:pStyle w:val="ListParagraph"/>
        <w:numPr>
          <w:ilvl w:val="0"/>
          <w:numId w:val="1"/>
        </w:numPr>
        <w:tabs>
          <w:tab w:pos="557" w:val="left" w:leader="none"/>
        </w:tabs>
        <w:spacing w:line="360" w:lineRule="auto" w:before="0" w:after="0"/>
        <w:ind w:left="556" w:right="108" w:hanging="361"/>
        <w:jc w:val="both"/>
        <w:rPr>
          <w:sz w:val="20"/>
        </w:rPr>
      </w:pPr>
      <w:r>
        <w:rPr>
          <w:sz w:val="20"/>
        </w:rPr>
        <w:t>The sub-group chair outlined the sub-group’s current priorities which included assessing potential fallbacks to SONIA in loan contracts and a paper on the risks of transacting LIBOR-linked loans maturing</w:t>
      </w:r>
      <w:r>
        <w:rPr>
          <w:spacing w:val="7"/>
          <w:sz w:val="20"/>
        </w:rPr>
        <w:t> </w:t>
      </w:r>
      <w:r>
        <w:rPr>
          <w:sz w:val="20"/>
        </w:rPr>
        <w:t>beyond</w:t>
      </w:r>
      <w:r>
        <w:rPr>
          <w:spacing w:val="11"/>
          <w:sz w:val="20"/>
        </w:rPr>
        <w:t> </w:t>
      </w:r>
      <w:r>
        <w:rPr>
          <w:sz w:val="20"/>
        </w:rPr>
        <w:t>2021.</w:t>
      </w:r>
      <w:r>
        <w:rPr>
          <w:spacing w:val="10"/>
          <w:sz w:val="20"/>
        </w:rPr>
        <w:t> </w:t>
      </w:r>
      <w:r>
        <w:rPr>
          <w:sz w:val="20"/>
        </w:rPr>
        <w:t>Some</w:t>
      </w:r>
      <w:r>
        <w:rPr>
          <w:spacing w:val="6"/>
          <w:sz w:val="20"/>
        </w:rPr>
        <w:t> </w:t>
      </w:r>
      <w:r>
        <w:rPr>
          <w:sz w:val="20"/>
        </w:rPr>
        <w:t>members</w:t>
      </w:r>
      <w:r>
        <w:rPr>
          <w:spacing w:val="10"/>
          <w:sz w:val="20"/>
        </w:rPr>
        <w:t> </w:t>
      </w:r>
      <w:r>
        <w:rPr>
          <w:sz w:val="20"/>
        </w:rPr>
        <w:t>of</w:t>
      </w:r>
      <w:r>
        <w:rPr>
          <w:spacing w:val="10"/>
          <w:sz w:val="20"/>
        </w:rPr>
        <w:t> </w:t>
      </w:r>
      <w:r>
        <w:rPr>
          <w:sz w:val="20"/>
        </w:rPr>
        <w:t>the</w:t>
      </w:r>
      <w:r>
        <w:rPr>
          <w:spacing w:val="8"/>
          <w:sz w:val="20"/>
        </w:rPr>
        <w:t> </w:t>
      </w:r>
      <w:r>
        <w:rPr>
          <w:sz w:val="20"/>
        </w:rPr>
        <w:t>sub-group</w:t>
      </w:r>
      <w:r>
        <w:rPr>
          <w:spacing w:val="13"/>
          <w:sz w:val="20"/>
        </w:rPr>
        <w:t> </w:t>
      </w:r>
      <w:r>
        <w:rPr>
          <w:sz w:val="20"/>
        </w:rPr>
        <w:t>would</w:t>
      </w:r>
      <w:r>
        <w:rPr>
          <w:spacing w:val="10"/>
          <w:sz w:val="20"/>
        </w:rPr>
        <w:t> </w:t>
      </w:r>
      <w:r>
        <w:rPr>
          <w:sz w:val="20"/>
        </w:rPr>
        <w:t>be</w:t>
      </w:r>
      <w:r>
        <w:rPr>
          <w:spacing w:val="11"/>
          <w:sz w:val="20"/>
        </w:rPr>
        <w:t> </w:t>
      </w:r>
      <w:r>
        <w:rPr>
          <w:sz w:val="20"/>
        </w:rPr>
        <w:t>participating</w:t>
      </w:r>
      <w:r>
        <w:rPr>
          <w:spacing w:val="8"/>
          <w:sz w:val="20"/>
        </w:rPr>
        <w:t> </w:t>
      </w:r>
      <w:r>
        <w:rPr>
          <w:sz w:val="20"/>
        </w:rPr>
        <w:t>in</w:t>
      </w:r>
      <w:r>
        <w:rPr>
          <w:spacing w:val="7"/>
          <w:sz w:val="20"/>
        </w:rPr>
        <w:t> </w:t>
      </w:r>
      <w:r>
        <w:rPr>
          <w:sz w:val="20"/>
        </w:rPr>
        <w:t>a</w:t>
      </w:r>
      <w:r>
        <w:rPr>
          <w:spacing w:val="11"/>
          <w:sz w:val="20"/>
        </w:rPr>
        <w:t> </w:t>
      </w:r>
      <w:r>
        <w:rPr>
          <w:sz w:val="20"/>
        </w:rPr>
        <w:t>taskforce</w:t>
      </w:r>
    </w:p>
    <w:p>
      <w:pPr>
        <w:spacing w:after="0" w:line="360" w:lineRule="auto"/>
        <w:jc w:val="both"/>
        <w:rPr>
          <w:sz w:val="20"/>
        </w:rPr>
        <w:sectPr>
          <w:pgSz w:w="11910" w:h="16840"/>
          <w:pgMar w:top="1180" w:bottom="280" w:left="1080" w:right="1020"/>
        </w:sectPr>
      </w:pPr>
    </w:p>
    <w:p>
      <w:pPr>
        <w:pStyle w:val="BodyText"/>
        <w:spacing w:line="357" w:lineRule="auto" w:before="75"/>
        <w:ind w:left="556" w:right="172"/>
      </w:pPr>
      <w:r>
        <w:rPr/>
        <w:t>alongside bond sub-group members working towards a proposed consultation on market conventions for referencing SONIA in loan and bond contracts.</w:t>
      </w:r>
    </w:p>
    <w:p>
      <w:pPr>
        <w:pStyle w:val="BodyText"/>
        <w:rPr>
          <w:sz w:val="22"/>
        </w:rPr>
      </w:pPr>
    </w:p>
    <w:p>
      <w:pPr>
        <w:pStyle w:val="BodyText"/>
        <w:rPr>
          <w:sz w:val="29"/>
        </w:rPr>
      </w:pPr>
    </w:p>
    <w:p>
      <w:pPr>
        <w:spacing w:before="0"/>
        <w:ind w:left="196" w:right="0" w:firstLine="0"/>
        <w:jc w:val="both"/>
        <w:rPr>
          <w:i/>
          <w:sz w:val="20"/>
        </w:rPr>
      </w:pPr>
      <w:r>
        <w:rPr>
          <w:i/>
          <w:sz w:val="20"/>
        </w:rPr>
        <w:t>Bond markets</w:t>
      </w:r>
    </w:p>
    <w:p>
      <w:pPr>
        <w:pStyle w:val="BodyText"/>
        <w:spacing w:before="8"/>
        <w:rPr>
          <w:i/>
        </w:rPr>
      </w:pPr>
    </w:p>
    <w:p>
      <w:pPr>
        <w:pStyle w:val="ListParagraph"/>
        <w:numPr>
          <w:ilvl w:val="0"/>
          <w:numId w:val="1"/>
        </w:numPr>
        <w:tabs>
          <w:tab w:pos="557" w:val="left" w:leader="none"/>
        </w:tabs>
        <w:spacing w:line="360" w:lineRule="auto" w:before="0" w:after="0"/>
        <w:ind w:left="556" w:right="109" w:hanging="361"/>
        <w:jc w:val="both"/>
        <w:rPr>
          <w:sz w:val="20"/>
        </w:rPr>
      </w:pPr>
      <w:r>
        <w:rPr>
          <w:sz w:val="20"/>
        </w:rPr>
        <w:t>The sub-group chair noted that recent bond issuances referencing SONIA had been helpful for building momentum for adoption. The sub-group would be considering the differences in conventions between these issuances and those referencing SOFR and would share reflections with the taskforce on market conventions for referencing SONIA.</w:t>
      </w:r>
    </w:p>
    <w:p>
      <w:pPr>
        <w:pStyle w:val="ListParagraph"/>
        <w:numPr>
          <w:ilvl w:val="0"/>
          <w:numId w:val="1"/>
        </w:numPr>
        <w:tabs>
          <w:tab w:pos="557" w:val="left" w:leader="none"/>
        </w:tabs>
        <w:spacing w:line="360" w:lineRule="auto" w:before="120" w:after="0"/>
        <w:ind w:left="556" w:right="110" w:hanging="361"/>
        <w:jc w:val="both"/>
        <w:rPr>
          <w:sz w:val="20"/>
        </w:rPr>
      </w:pPr>
      <w:r>
        <w:rPr>
          <w:sz w:val="20"/>
        </w:rPr>
        <w:t>The sub-group would be discussing the recent Alternative Reference Rates Committee (ARRC) consultation on fallbacks to USD LIBOR-referencing floating rate </w:t>
      </w:r>
      <w:r>
        <w:rPr>
          <w:spacing w:val="2"/>
          <w:sz w:val="20"/>
        </w:rPr>
        <w:t>notes</w:t>
      </w:r>
      <w:hyperlink w:history="true" w:anchor="_bookmark0">
        <w:r>
          <w:rPr>
            <w:spacing w:val="2"/>
            <w:sz w:val="20"/>
            <w:vertAlign w:val="superscript"/>
          </w:rPr>
          <w:t>1</w:t>
        </w:r>
        <w:r>
          <w:rPr>
            <w:spacing w:val="2"/>
            <w:sz w:val="20"/>
            <w:vertAlign w:val="baseline"/>
          </w:rPr>
          <w:t> </w:t>
        </w:r>
      </w:hyperlink>
      <w:r>
        <w:rPr>
          <w:sz w:val="20"/>
          <w:vertAlign w:val="baseline"/>
        </w:rPr>
        <w:t>and considering whether an equivalent piece of work would be helpful for sterling markets. Finally, it was also considering potential market-based solutions to support legacy</w:t>
      </w:r>
      <w:r>
        <w:rPr>
          <w:spacing w:val="-7"/>
          <w:sz w:val="20"/>
          <w:vertAlign w:val="baseline"/>
        </w:rPr>
        <w:t> </w:t>
      </w:r>
      <w:r>
        <w:rPr>
          <w:sz w:val="20"/>
          <w:vertAlign w:val="baseline"/>
        </w:rPr>
        <w:t>conversion.</w:t>
      </w:r>
    </w:p>
    <w:p>
      <w:pPr>
        <w:spacing w:before="118"/>
        <w:ind w:left="196" w:right="0" w:firstLine="0"/>
        <w:jc w:val="both"/>
        <w:rPr>
          <w:i/>
          <w:sz w:val="20"/>
        </w:rPr>
      </w:pPr>
      <w:r>
        <w:rPr>
          <w:i/>
          <w:sz w:val="20"/>
        </w:rPr>
        <w:t>Pension Funds and Insurance Companies</w:t>
      </w:r>
    </w:p>
    <w:p>
      <w:pPr>
        <w:pStyle w:val="BodyText"/>
        <w:spacing w:before="6"/>
        <w:rPr>
          <w:i/>
        </w:rPr>
      </w:pPr>
    </w:p>
    <w:p>
      <w:pPr>
        <w:pStyle w:val="ListParagraph"/>
        <w:numPr>
          <w:ilvl w:val="0"/>
          <w:numId w:val="1"/>
        </w:numPr>
        <w:tabs>
          <w:tab w:pos="557" w:val="left" w:leader="none"/>
        </w:tabs>
        <w:spacing w:line="360" w:lineRule="auto" w:before="0" w:after="0"/>
        <w:ind w:left="556" w:right="111" w:hanging="361"/>
        <w:jc w:val="left"/>
        <w:rPr>
          <w:sz w:val="20"/>
        </w:rPr>
      </w:pPr>
      <w:r>
        <w:rPr>
          <w:sz w:val="20"/>
        </w:rPr>
        <w:t>The sub-group would be taking part in a call later in the month with EIOPA to discuss the barriers to RFR transition under Solvency II, in particular the mandated LIBOR-based discount</w:t>
      </w:r>
      <w:r>
        <w:rPr>
          <w:spacing w:val="-14"/>
          <w:sz w:val="20"/>
        </w:rPr>
        <w:t> </w:t>
      </w:r>
      <w:r>
        <w:rPr>
          <w:sz w:val="20"/>
        </w:rPr>
        <w:t>curves.</w:t>
      </w:r>
    </w:p>
    <w:p>
      <w:pPr>
        <w:spacing w:before="119"/>
        <w:ind w:left="196" w:right="0" w:firstLine="0"/>
        <w:jc w:val="left"/>
        <w:rPr>
          <w:i/>
          <w:sz w:val="20"/>
        </w:rPr>
      </w:pPr>
      <w:r>
        <w:rPr>
          <w:i/>
          <w:sz w:val="20"/>
        </w:rPr>
        <w:t>Infrastructure</w:t>
      </w:r>
    </w:p>
    <w:p>
      <w:pPr>
        <w:pStyle w:val="BodyText"/>
        <w:spacing w:before="5"/>
        <w:rPr>
          <w:i/>
        </w:rPr>
      </w:pPr>
    </w:p>
    <w:p>
      <w:pPr>
        <w:pStyle w:val="ListParagraph"/>
        <w:numPr>
          <w:ilvl w:val="0"/>
          <w:numId w:val="1"/>
        </w:numPr>
        <w:tabs>
          <w:tab w:pos="557" w:val="left" w:leader="none"/>
        </w:tabs>
        <w:spacing w:line="360" w:lineRule="auto" w:before="0" w:after="0"/>
        <w:ind w:left="557" w:right="109" w:hanging="361"/>
        <w:jc w:val="both"/>
        <w:rPr>
          <w:sz w:val="20"/>
        </w:rPr>
      </w:pPr>
      <w:r>
        <w:rPr>
          <w:sz w:val="20"/>
        </w:rPr>
        <w:t>The sub-group chair presented the proposed Terms of Reference for the sub-group. Members were asked to provide feedback via written procedure. The sub-group was expected to meet for the first time before the end of the month in which it would discuss an initial list of potential infrastructure related barriers to</w:t>
      </w:r>
      <w:r>
        <w:rPr>
          <w:spacing w:val="-2"/>
          <w:sz w:val="20"/>
        </w:rPr>
        <w:t> </w:t>
      </w:r>
      <w:r>
        <w:rPr>
          <w:sz w:val="20"/>
        </w:rPr>
        <w:t>transition.</w:t>
      </w:r>
    </w:p>
    <w:p>
      <w:pPr>
        <w:spacing w:before="118"/>
        <w:ind w:left="197" w:right="0" w:firstLine="0"/>
        <w:jc w:val="both"/>
        <w:rPr>
          <w:i/>
          <w:sz w:val="20"/>
        </w:rPr>
      </w:pPr>
      <w:r>
        <w:rPr>
          <w:i/>
          <w:sz w:val="20"/>
        </w:rPr>
        <w:t>Cross-currency basis swap sub-group</w:t>
      </w:r>
    </w:p>
    <w:p>
      <w:pPr>
        <w:pStyle w:val="BodyText"/>
        <w:spacing w:before="8"/>
        <w:rPr>
          <w:i/>
        </w:rPr>
      </w:pPr>
    </w:p>
    <w:p>
      <w:pPr>
        <w:pStyle w:val="ListParagraph"/>
        <w:numPr>
          <w:ilvl w:val="0"/>
          <w:numId w:val="1"/>
        </w:numPr>
        <w:tabs>
          <w:tab w:pos="558" w:val="left" w:leader="none"/>
        </w:tabs>
        <w:spacing w:line="360" w:lineRule="auto" w:before="0" w:after="0"/>
        <w:ind w:left="557" w:right="113" w:hanging="361"/>
        <w:jc w:val="both"/>
        <w:rPr>
          <w:sz w:val="20"/>
        </w:rPr>
      </w:pPr>
      <w:r>
        <w:rPr>
          <w:sz w:val="20"/>
        </w:rPr>
        <w:t>The sub-group was convened by the Federal Reserve earlier in the year and included representation from a number of different RFR transition currency working groups. It had already discussed proposed conventions for RFR to RFR dealer cross-currency basis swaps and was turning its attention to RFR to term RFR swaps. The Chair asked members to volunteer if they wanted to be involved in this part of the sub-group’s</w:t>
      </w:r>
      <w:r>
        <w:rPr>
          <w:spacing w:val="1"/>
          <w:sz w:val="20"/>
        </w:rPr>
        <w:t> </w:t>
      </w:r>
      <w:r>
        <w:rPr>
          <w:sz w:val="20"/>
        </w:rPr>
        <w:t>work.</w:t>
      </w:r>
    </w:p>
    <w:p>
      <w:pPr>
        <w:pStyle w:val="ListParagraph"/>
        <w:numPr>
          <w:ilvl w:val="0"/>
          <w:numId w:val="1"/>
        </w:numPr>
        <w:tabs>
          <w:tab w:pos="558" w:val="left" w:leader="none"/>
        </w:tabs>
        <w:spacing w:line="360" w:lineRule="auto" w:before="121" w:after="0"/>
        <w:ind w:left="557" w:right="113" w:hanging="360"/>
        <w:jc w:val="both"/>
        <w:rPr>
          <w:sz w:val="20"/>
        </w:rPr>
      </w:pPr>
      <w:r>
        <w:rPr>
          <w:sz w:val="20"/>
        </w:rPr>
        <w:t>One member asked how the governance for this sub-group would operate. The Chair explained that key papers would be presented to the Working Group for views with potential public consultations as appropriate. He noted that he had a regular monthly call with the Chair of the ARRC at which he would discuss this further and</w:t>
      </w:r>
      <w:r>
        <w:rPr>
          <w:spacing w:val="-2"/>
          <w:sz w:val="20"/>
        </w:rPr>
        <w:t> </w:t>
      </w:r>
      <w:r>
        <w:rPr>
          <w:sz w:val="20"/>
        </w:rPr>
        <w:t>feedback.</w:t>
      </w:r>
    </w:p>
    <w:p>
      <w:pPr>
        <w:pStyle w:val="Heading1"/>
        <w:spacing w:before="117"/>
        <w:ind w:left="197"/>
      </w:pPr>
      <w:r>
        <w:rPr/>
        <w:t>Working Group operating model</w:t>
      </w:r>
    </w:p>
    <w:p>
      <w:pPr>
        <w:pStyle w:val="BodyText"/>
        <w:spacing w:before="8"/>
        <w:rPr>
          <w:b/>
        </w:rPr>
      </w:pPr>
    </w:p>
    <w:p>
      <w:pPr>
        <w:pStyle w:val="ListParagraph"/>
        <w:numPr>
          <w:ilvl w:val="0"/>
          <w:numId w:val="1"/>
        </w:numPr>
        <w:tabs>
          <w:tab w:pos="558" w:val="left" w:leader="none"/>
        </w:tabs>
        <w:spacing w:line="360" w:lineRule="auto" w:before="0" w:after="0"/>
        <w:ind w:left="556" w:right="112" w:hanging="360"/>
        <w:jc w:val="both"/>
        <w:rPr>
          <w:sz w:val="20"/>
        </w:rPr>
      </w:pPr>
      <w:r>
        <w:rPr/>
        <w:pict>
          <v:shape style="position:absolute;margin-left:63.84pt;margin-top:73.720993pt;width:144pt;height:.1pt;mso-position-horizontal-relative:page;mso-position-vertical-relative:paragraph;z-index:-251658240;mso-wrap-distance-left:0;mso-wrap-distance-right:0" coordorigin="1277,1474" coordsize="2880,0" path="m1277,1474l4157,1474e" filled="false" stroked="true" strokeweight=".72pt" strokecolor="#000000">
            <v:path arrowok="t"/>
            <v:stroke dashstyle="solid"/>
            <w10:wrap type="topAndBottom"/>
          </v:shape>
        </w:pict>
      </w:r>
      <w:r>
        <w:rPr>
          <w:sz w:val="20"/>
        </w:rPr>
        <w:t>The Chair opened up a discussion on how the Working Group currently operated. He noted that  actions by the official sector, particularly the recent Dear CEO letter</w:t>
      </w:r>
      <w:hyperlink w:history="true" w:anchor="_bookmark1">
        <w:r>
          <w:rPr>
            <w:sz w:val="20"/>
            <w:vertAlign w:val="superscript"/>
          </w:rPr>
          <w:t>2</w:t>
        </w:r>
      </w:hyperlink>
      <w:r>
        <w:rPr>
          <w:sz w:val="20"/>
          <w:vertAlign w:val="baseline"/>
        </w:rPr>
        <w:t>, had injected greater impetus into the need to transition and the sterling market was well placed to make meaningful progress. He proposed that the Working Group would likely need more granular milestones to work to and that</w:t>
      </w:r>
      <w:r>
        <w:rPr>
          <w:spacing w:val="48"/>
          <w:sz w:val="20"/>
          <w:vertAlign w:val="baseline"/>
        </w:rPr>
        <w:t> </w:t>
      </w:r>
      <w:r>
        <w:rPr>
          <w:sz w:val="20"/>
          <w:vertAlign w:val="baseline"/>
        </w:rPr>
        <w:t>a</w:t>
      </w:r>
    </w:p>
    <w:p>
      <w:pPr>
        <w:pStyle w:val="BodyText"/>
        <w:spacing w:line="261" w:lineRule="exact" w:before="39"/>
        <w:ind w:left="196"/>
        <w:rPr>
          <w:rFonts w:ascii="Calibri"/>
        </w:rPr>
      </w:pPr>
      <w:bookmarkStart w:name="_bookmark0" w:id="1"/>
      <w:bookmarkEnd w:id="1"/>
      <w:r>
        <w:rPr/>
      </w:r>
      <w:r>
        <w:rPr>
          <w:rFonts w:ascii="Calibri"/>
          <w:position w:val="10"/>
          <w:sz w:val="13"/>
        </w:rPr>
        <w:t>1 </w:t>
      </w:r>
      <w:hyperlink r:id="rId5">
        <w:r>
          <w:rPr>
            <w:rFonts w:ascii="Calibri"/>
            <w:color w:val="0000FF"/>
            <w:u w:val="single" w:color="0000FF"/>
          </w:rPr>
          <w:t>https://www.newyorkfed.org/medialibrary/Microsites/arrc/files/2018/ARRC-FRN-Consultation.pdf</w:t>
        </w:r>
      </w:hyperlink>
    </w:p>
    <w:p>
      <w:pPr>
        <w:pStyle w:val="BodyText"/>
        <w:spacing w:line="242" w:lineRule="exact" w:before="14"/>
        <w:ind w:left="196" w:right="172"/>
        <w:rPr>
          <w:rFonts w:ascii="Calibri"/>
        </w:rPr>
      </w:pPr>
      <w:bookmarkStart w:name="_bookmark1" w:id="2"/>
      <w:bookmarkEnd w:id="2"/>
      <w:r>
        <w:rPr/>
      </w:r>
      <w:r>
        <w:rPr>
          <w:rFonts w:ascii="Calibri"/>
          <w:position w:val="10"/>
          <w:sz w:val="13"/>
        </w:rPr>
        <w:t>2 </w:t>
      </w:r>
      <w:hyperlink r:id="rId6">
        <w:r>
          <w:rPr>
            <w:rFonts w:ascii="Calibri"/>
            <w:color w:val="0000FF"/>
            <w:u w:val="single" w:color="0000FF"/>
          </w:rPr>
          <w:t>https://www.bankofengland.co.uk/prudential-regulation/letter/2018/firms-preparations-for-transition-from-libor-</w:t>
        </w:r>
      </w:hyperlink>
      <w:r>
        <w:rPr>
          <w:rFonts w:ascii="Calibri"/>
          <w:color w:val="0000FF"/>
        </w:rPr>
        <w:t> </w:t>
      </w:r>
      <w:hyperlink r:id="rId6">
        <w:r>
          <w:rPr>
            <w:rFonts w:ascii="Calibri"/>
            <w:color w:val="0000FF"/>
            <w:u w:val="single" w:color="0000FF"/>
          </w:rPr>
          <w:t>to-risk-free-rates</w:t>
        </w:r>
      </w:hyperlink>
    </w:p>
    <w:p>
      <w:pPr>
        <w:spacing w:after="0" w:line="242" w:lineRule="exact"/>
        <w:rPr>
          <w:rFonts w:ascii="Calibri"/>
        </w:rPr>
        <w:sectPr>
          <w:pgSz w:w="11910" w:h="16840"/>
          <w:pgMar w:top="1180" w:bottom="280" w:left="1080" w:right="1020"/>
        </w:sectPr>
      </w:pPr>
    </w:p>
    <w:p>
      <w:pPr>
        <w:pStyle w:val="BodyText"/>
        <w:spacing w:line="357" w:lineRule="auto" w:before="75"/>
        <w:ind w:left="556" w:right="24"/>
      </w:pPr>
      <w:r>
        <w:rPr/>
        <w:t>more targeted sub-group approach might be preferable to meet these milestones. A discussion ensued in which a number of points were emphasised including:</w:t>
      </w:r>
    </w:p>
    <w:p>
      <w:pPr>
        <w:pStyle w:val="ListParagraph"/>
        <w:numPr>
          <w:ilvl w:val="1"/>
          <w:numId w:val="1"/>
        </w:numPr>
        <w:tabs>
          <w:tab w:pos="1277" w:val="left" w:leader="none"/>
        </w:tabs>
        <w:spacing w:line="360" w:lineRule="auto" w:before="124" w:after="0"/>
        <w:ind w:left="1276" w:right="113" w:hanging="360"/>
        <w:jc w:val="left"/>
        <w:rPr>
          <w:sz w:val="20"/>
        </w:rPr>
      </w:pPr>
      <w:r>
        <w:rPr>
          <w:sz w:val="20"/>
        </w:rPr>
        <w:t>The need for effective international coordination as many milestones would relate to relate to issues shared across currencies or to cross currency</w:t>
      </w:r>
      <w:r>
        <w:rPr>
          <w:spacing w:val="-6"/>
          <w:sz w:val="20"/>
        </w:rPr>
        <w:t> </w:t>
      </w:r>
      <w:r>
        <w:rPr>
          <w:sz w:val="20"/>
        </w:rPr>
        <w:t>products.</w:t>
      </w:r>
    </w:p>
    <w:p>
      <w:pPr>
        <w:pStyle w:val="ListParagraph"/>
        <w:numPr>
          <w:ilvl w:val="1"/>
          <w:numId w:val="1"/>
        </w:numPr>
        <w:tabs>
          <w:tab w:pos="1277" w:val="left" w:leader="none"/>
        </w:tabs>
        <w:spacing w:line="357" w:lineRule="auto" w:before="121" w:after="0"/>
        <w:ind w:left="1276" w:right="116" w:hanging="360"/>
        <w:jc w:val="left"/>
        <w:rPr>
          <w:sz w:val="20"/>
        </w:rPr>
      </w:pPr>
      <w:r>
        <w:rPr>
          <w:sz w:val="20"/>
        </w:rPr>
        <w:t>The need for greater focus on legacy LIBOR contracts and to consider the interaction between legacy conversion and the proposed fallbacks in the ISDA</w:t>
      </w:r>
      <w:r>
        <w:rPr>
          <w:spacing w:val="-6"/>
          <w:sz w:val="20"/>
        </w:rPr>
        <w:t> </w:t>
      </w:r>
      <w:r>
        <w:rPr>
          <w:sz w:val="20"/>
        </w:rPr>
        <w:t>consultation</w:t>
      </w:r>
      <w:hyperlink w:history="true" w:anchor="_bookmark2">
        <w:r>
          <w:rPr>
            <w:sz w:val="20"/>
            <w:vertAlign w:val="superscript"/>
          </w:rPr>
          <w:t>3</w:t>
        </w:r>
      </w:hyperlink>
      <w:r>
        <w:rPr>
          <w:sz w:val="20"/>
          <w:vertAlign w:val="baseline"/>
        </w:rPr>
        <w:t>.</w:t>
      </w:r>
    </w:p>
    <w:p>
      <w:pPr>
        <w:pStyle w:val="ListParagraph"/>
        <w:numPr>
          <w:ilvl w:val="1"/>
          <w:numId w:val="1"/>
        </w:numPr>
        <w:tabs>
          <w:tab w:pos="1276" w:val="left" w:leader="none"/>
          <w:tab w:pos="1277" w:val="left" w:leader="none"/>
        </w:tabs>
        <w:spacing w:line="240" w:lineRule="auto" w:before="123" w:after="0"/>
        <w:ind w:left="1276" w:right="0" w:hanging="361"/>
        <w:jc w:val="left"/>
        <w:rPr>
          <w:sz w:val="20"/>
        </w:rPr>
      </w:pPr>
      <w:r>
        <w:rPr>
          <w:sz w:val="20"/>
        </w:rPr>
        <w:t>The need for appropriate fallbacks in cash</w:t>
      </w:r>
      <w:r>
        <w:rPr>
          <w:spacing w:val="-5"/>
          <w:sz w:val="20"/>
        </w:rPr>
        <w:t> </w:t>
      </w:r>
      <w:r>
        <w:rPr>
          <w:sz w:val="20"/>
        </w:rPr>
        <w:t>markets.</w:t>
      </w:r>
    </w:p>
    <w:p>
      <w:pPr>
        <w:pStyle w:val="BodyText"/>
        <w:spacing w:before="6"/>
      </w:pPr>
    </w:p>
    <w:p>
      <w:pPr>
        <w:pStyle w:val="ListParagraph"/>
        <w:numPr>
          <w:ilvl w:val="1"/>
          <w:numId w:val="1"/>
        </w:numPr>
        <w:tabs>
          <w:tab w:pos="1277" w:val="left" w:leader="none"/>
        </w:tabs>
        <w:spacing w:line="360" w:lineRule="auto" w:before="0" w:after="0"/>
        <w:ind w:left="1276" w:right="115" w:hanging="360"/>
        <w:jc w:val="both"/>
        <w:rPr>
          <w:sz w:val="20"/>
        </w:rPr>
      </w:pPr>
      <w:r>
        <w:rPr>
          <w:sz w:val="20"/>
        </w:rPr>
        <w:t>The need for greater consideration of the Working Group’s role and what market participants may be able to do</w:t>
      </w:r>
      <w:r>
        <w:rPr>
          <w:spacing w:val="-7"/>
          <w:sz w:val="20"/>
        </w:rPr>
        <w:t> </w:t>
      </w:r>
      <w:r>
        <w:rPr>
          <w:sz w:val="20"/>
        </w:rPr>
        <w:t>individually.</w:t>
      </w:r>
    </w:p>
    <w:p>
      <w:pPr>
        <w:pStyle w:val="ListParagraph"/>
        <w:numPr>
          <w:ilvl w:val="0"/>
          <w:numId w:val="1"/>
        </w:numPr>
        <w:tabs>
          <w:tab w:pos="557" w:val="left" w:leader="none"/>
        </w:tabs>
        <w:spacing w:line="360" w:lineRule="auto" w:before="119" w:after="0"/>
        <w:ind w:left="556" w:right="110" w:hanging="361"/>
        <w:jc w:val="both"/>
        <w:rPr>
          <w:sz w:val="20"/>
        </w:rPr>
      </w:pPr>
      <w:r>
        <w:rPr>
          <w:sz w:val="20"/>
        </w:rPr>
        <w:t>The Working Group reached an initial conclusion that it would be appropriate to begin considering  more granular milestones with a more targeted approach. However, it </w:t>
      </w:r>
      <w:r>
        <w:rPr>
          <w:spacing w:val="2"/>
          <w:sz w:val="20"/>
        </w:rPr>
        <w:t>may </w:t>
      </w:r>
      <w:r>
        <w:rPr>
          <w:sz w:val="20"/>
        </w:rPr>
        <w:t>need to await the outcomes of the Term SONIA Reference Rates and ISDA fallbacks consultation before deciding on a clear route forward in some instances. Members were asked to provide further views via written</w:t>
      </w:r>
      <w:r>
        <w:rPr>
          <w:spacing w:val="-20"/>
          <w:sz w:val="20"/>
        </w:rPr>
        <w:t> </w:t>
      </w:r>
      <w:r>
        <w:rPr>
          <w:sz w:val="20"/>
        </w:rPr>
        <w:t>procedure.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0"/>
        </w:rPr>
      </w:pPr>
      <w:r>
        <w:rPr/>
        <w:pict>
          <v:shape style="position:absolute;margin-left:63.84pt;margin-top:8.177578pt;width:144pt;height:.1pt;mso-position-horizontal-relative:page;mso-position-vertical-relative:paragraph;z-index:-251657216;mso-wrap-distance-left:0;mso-wrap-distance-right:0" coordorigin="1277,164" coordsize="2880,0" path="m1277,164l4157,164e" filled="false" stroked="true" strokeweight=".72pt" strokecolor="#000000">
            <v:path arrowok="t"/>
            <v:stroke dashstyle="solid"/>
            <w10:wrap type="topAndBottom"/>
          </v:shape>
        </w:pict>
      </w:r>
    </w:p>
    <w:p>
      <w:pPr>
        <w:pStyle w:val="BodyText"/>
        <w:spacing w:before="39"/>
        <w:ind w:left="196"/>
        <w:rPr>
          <w:rFonts w:ascii="Calibri"/>
        </w:rPr>
      </w:pPr>
      <w:bookmarkStart w:name="_bookmark2" w:id="3"/>
      <w:bookmarkEnd w:id="3"/>
      <w:r>
        <w:rPr/>
      </w:r>
      <w:r>
        <w:rPr>
          <w:rFonts w:ascii="Calibri"/>
          <w:position w:val="10"/>
          <w:sz w:val="13"/>
        </w:rPr>
        <w:t>3 </w:t>
      </w:r>
      <w:hyperlink r:id="rId7">
        <w:r>
          <w:rPr>
            <w:rFonts w:ascii="Calibri"/>
            <w:color w:val="0000FF"/>
            <w:u w:val="single" w:color="0000FF"/>
          </w:rPr>
          <w:t>https://www.isda.org/2018/07/12/interbank-offered-rate-ibor-fallbacks-for-2006-isda-definitions</w:t>
        </w:r>
      </w:hyperlink>
    </w:p>
    <w:p>
      <w:pPr>
        <w:spacing w:after="0"/>
        <w:rPr>
          <w:rFonts w:ascii="Calibri"/>
        </w:rPr>
        <w:sectPr>
          <w:pgSz w:w="11910" w:h="16840"/>
          <w:pgMar w:top="1180" w:bottom="280" w:left="1080" w:right="1020"/>
        </w:sectPr>
      </w:pPr>
    </w:p>
    <w:p>
      <w:pPr>
        <w:pStyle w:val="Heading1"/>
        <w:spacing w:before="73"/>
        <w:jc w:val="left"/>
      </w:pPr>
      <w:r>
        <w:rPr/>
        <w:t>Private sector</w:t>
      </w:r>
      <w:r>
        <w:rPr>
          <w:spacing w:val="-17"/>
        </w:rPr>
        <w:t> </w:t>
      </w:r>
      <w:r>
        <w:rPr/>
        <w:t>attendees</w:t>
      </w:r>
    </w:p>
    <w:p>
      <w:pPr>
        <w:pStyle w:val="BodyText"/>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4"/>
        <w:gridCol w:w="5821"/>
      </w:tblGrid>
      <w:tr>
        <w:trPr>
          <w:trHeight w:val="262" w:hRule="atLeast"/>
        </w:trPr>
        <w:tc>
          <w:tcPr>
            <w:tcW w:w="2774" w:type="dxa"/>
          </w:tcPr>
          <w:p>
            <w:pPr>
              <w:pStyle w:val="TableParagraph"/>
              <w:spacing w:line="225" w:lineRule="exact" w:before="0"/>
              <w:rPr>
                <w:sz w:val="20"/>
              </w:rPr>
            </w:pPr>
            <w:r>
              <w:rPr>
                <w:sz w:val="20"/>
              </w:rPr>
              <w:t>Francois Jourdain</w:t>
            </w:r>
          </w:p>
        </w:tc>
        <w:tc>
          <w:tcPr>
            <w:tcW w:w="5821" w:type="dxa"/>
          </w:tcPr>
          <w:p>
            <w:pPr>
              <w:pStyle w:val="TableParagraph"/>
              <w:spacing w:line="223" w:lineRule="exact" w:before="0"/>
              <w:ind w:left="543"/>
              <w:rPr>
                <w:b/>
                <w:sz w:val="20"/>
              </w:rPr>
            </w:pPr>
            <w:r>
              <w:rPr>
                <w:b/>
                <w:sz w:val="20"/>
              </w:rPr>
              <w:t>Barclays (Chair)</w:t>
            </w:r>
          </w:p>
        </w:tc>
      </w:tr>
      <w:tr>
        <w:trPr>
          <w:trHeight w:val="300" w:hRule="atLeast"/>
        </w:trPr>
        <w:tc>
          <w:tcPr>
            <w:tcW w:w="2774" w:type="dxa"/>
          </w:tcPr>
          <w:p>
            <w:pPr>
              <w:pStyle w:val="TableParagraph"/>
              <w:rPr>
                <w:sz w:val="20"/>
              </w:rPr>
            </w:pPr>
            <w:r>
              <w:rPr>
                <w:sz w:val="20"/>
              </w:rPr>
              <w:t>Andreas Giannopoulos</w:t>
            </w:r>
          </w:p>
        </w:tc>
        <w:tc>
          <w:tcPr>
            <w:tcW w:w="5821" w:type="dxa"/>
          </w:tcPr>
          <w:p>
            <w:pPr>
              <w:pStyle w:val="TableParagraph"/>
              <w:spacing w:before="30"/>
              <w:ind w:left="543"/>
              <w:rPr>
                <w:b/>
                <w:sz w:val="20"/>
              </w:rPr>
            </w:pPr>
            <w:r>
              <w:rPr>
                <w:b/>
                <w:sz w:val="20"/>
              </w:rPr>
              <w:t>Barclays (Chairs office)</w:t>
            </w:r>
          </w:p>
        </w:tc>
      </w:tr>
      <w:tr>
        <w:trPr>
          <w:trHeight w:val="300" w:hRule="atLeast"/>
        </w:trPr>
        <w:tc>
          <w:tcPr>
            <w:tcW w:w="2774" w:type="dxa"/>
          </w:tcPr>
          <w:p>
            <w:pPr>
              <w:pStyle w:val="TableParagraph"/>
              <w:rPr>
                <w:sz w:val="20"/>
              </w:rPr>
            </w:pPr>
            <w:r>
              <w:rPr>
                <w:sz w:val="20"/>
              </w:rPr>
              <w:t>Joseph McQuade</w:t>
            </w:r>
          </w:p>
        </w:tc>
        <w:tc>
          <w:tcPr>
            <w:tcW w:w="5821" w:type="dxa"/>
          </w:tcPr>
          <w:p>
            <w:pPr>
              <w:pStyle w:val="TableParagraph"/>
              <w:spacing w:before="30"/>
              <w:ind w:left="543"/>
              <w:rPr>
                <w:b/>
                <w:sz w:val="20"/>
              </w:rPr>
            </w:pPr>
            <w:r>
              <w:rPr>
                <w:b/>
                <w:sz w:val="20"/>
              </w:rPr>
              <w:t>Barclays (Chairs office)</w:t>
            </w:r>
          </w:p>
        </w:tc>
      </w:tr>
      <w:tr>
        <w:trPr>
          <w:trHeight w:val="300" w:hRule="atLeast"/>
        </w:trPr>
        <w:tc>
          <w:tcPr>
            <w:tcW w:w="2774" w:type="dxa"/>
          </w:tcPr>
          <w:p>
            <w:pPr>
              <w:pStyle w:val="TableParagraph"/>
              <w:rPr>
                <w:sz w:val="20"/>
              </w:rPr>
            </w:pPr>
            <w:r>
              <w:rPr>
                <w:sz w:val="20"/>
              </w:rPr>
              <w:t>Tej Kashyup</w:t>
            </w:r>
          </w:p>
        </w:tc>
        <w:tc>
          <w:tcPr>
            <w:tcW w:w="5821" w:type="dxa"/>
          </w:tcPr>
          <w:p>
            <w:pPr>
              <w:pStyle w:val="TableParagraph"/>
              <w:spacing w:before="30"/>
              <w:ind w:left="543"/>
              <w:rPr>
                <w:b/>
                <w:sz w:val="20"/>
              </w:rPr>
            </w:pPr>
            <w:r>
              <w:rPr>
                <w:b/>
                <w:sz w:val="20"/>
              </w:rPr>
              <w:t>Barclays (Chairs office)</w:t>
            </w:r>
          </w:p>
        </w:tc>
      </w:tr>
      <w:tr>
        <w:trPr>
          <w:trHeight w:val="300" w:hRule="atLeast"/>
        </w:trPr>
        <w:tc>
          <w:tcPr>
            <w:tcW w:w="2774" w:type="dxa"/>
          </w:tcPr>
          <w:p>
            <w:pPr>
              <w:pStyle w:val="TableParagraph"/>
              <w:rPr>
                <w:sz w:val="20"/>
              </w:rPr>
            </w:pPr>
            <w:r>
              <w:rPr>
                <w:sz w:val="20"/>
              </w:rPr>
              <w:t>Frances Hinden</w:t>
            </w:r>
          </w:p>
        </w:tc>
        <w:tc>
          <w:tcPr>
            <w:tcW w:w="5821" w:type="dxa"/>
          </w:tcPr>
          <w:p>
            <w:pPr>
              <w:pStyle w:val="TableParagraph"/>
              <w:spacing w:before="30"/>
              <w:ind w:left="543"/>
              <w:rPr>
                <w:b/>
                <w:sz w:val="20"/>
              </w:rPr>
            </w:pPr>
            <w:r>
              <w:rPr>
                <w:b/>
                <w:sz w:val="20"/>
              </w:rPr>
              <w:t>Shell (Vice Chair)</w:t>
            </w:r>
          </w:p>
        </w:tc>
      </w:tr>
      <w:tr>
        <w:trPr>
          <w:trHeight w:val="300" w:hRule="atLeast"/>
        </w:trPr>
        <w:tc>
          <w:tcPr>
            <w:tcW w:w="2774" w:type="dxa"/>
          </w:tcPr>
          <w:p>
            <w:pPr>
              <w:pStyle w:val="TableParagraph"/>
              <w:rPr>
                <w:sz w:val="20"/>
              </w:rPr>
            </w:pPr>
            <w:r>
              <w:rPr>
                <w:sz w:val="20"/>
              </w:rPr>
              <w:t>Simon Wilkinson</w:t>
            </w:r>
          </w:p>
        </w:tc>
        <w:tc>
          <w:tcPr>
            <w:tcW w:w="5821" w:type="dxa"/>
          </w:tcPr>
          <w:p>
            <w:pPr>
              <w:pStyle w:val="TableParagraph"/>
              <w:spacing w:before="30"/>
              <w:ind w:left="543"/>
              <w:rPr>
                <w:b/>
                <w:sz w:val="20"/>
              </w:rPr>
            </w:pPr>
            <w:r>
              <w:rPr>
                <w:b/>
                <w:sz w:val="20"/>
              </w:rPr>
              <w:t>Legal &amp; General Investment Management (Vice Chair)</w:t>
            </w:r>
          </w:p>
        </w:tc>
      </w:tr>
      <w:tr>
        <w:trPr>
          <w:trHeight w:val="300" w:hRule="atLeast"/>
        </w:trPr>
        <w:tc>
          <w:tcPr>
            <w:tcW w:w="2774" w:type="dxa"/>
          </w:tcPr>
          <w:p>
            <w:pPr>
              <w:pStyle w:val="TableParagraph"/>
              <w:rPr>
                <w:sz w:val="20"/>
              </w:rPr>
            </w:pPr>
            <w:r>
              <w:rPr>
                <w:sz w:val="20"/>
              </w:rPr>
              <w:t>Shaun Kennedy</w:t>
            </w:r>
          </w:p>
        </w:tc>
        <w:tc>
          <w:tcPr>
            <w:tcW w:w="5821" w:type="dxa"/>
          </w:tcPr>
          <w:p>
            <w:pPr>
              <w:pStyle w:val="TableParagraph"/>
              <w:spacing w:before="30"/>
              <w:ind w:left="543"/>
              <w:rPr>
                <w:b/>
                <w:sz w:val="20"/>
              </w:rPr>
            </w:pPr>
            <w:r>
              <w:rPr>
                <w:b/>
                <w:sz w:val="20"/>
              </w:rPr>
              <w:t>Associated British Ports</w:t>
            </w:r>
          </w:p>
        </w:tc>
      </w:tr>
      <w:tr>
        <w:trPr>
          <w:trHeight w:val="300" w:hRule="atLeast"/>
        </w:trPr>
        <w:tc>
          <w:tcPr>
            <w:tcW w:w="2774" w:type="dxa"/>
          </w:tcPr>
          <w:p>
            <w:pPr>
              <w:pStyle w:val="TableParagraph"/>
              <w:rPr>
                <w:sz w:val="20"/>
              </w:rPr>
            </w:pPr>
            <w:r>
              <w:rPr>
                <w:sz w:val="20"/>
              </w:rPr>
              <w:t>Nick Saggers</w:t>
            </w:r>
          </w:p>
        </w:tc>
        <w:tc>
          <w:tcPr>
            <w:tcW w:w="5821" w:type="dxa"/>
          </w:tcPr>
          <w:p>
            <w:pPr>
              <w:pStyle w:val="TableParagraph"/>
              <w:spacing w:before="30"/>
              <w:ind w:left="543"/>
              <w:rPr>
                <w:b/>
                <w:sz w:val="20"/>
              </w:rPr>
            </w:pPr>
            <w:r>
              <w:rPr>
                <w:b/>
                <w:sz w:val="20"/>
              </w:rPr>
              <w:t>Bank of America Merrill Lynch</w:t>
            </w:r>
          </w:p>
        </w:tc>
      </w:tr>
      <w:tr>
        <w:trPr>
          <w:trHeight w:val="300" w:hRule="atLeast"/>
        </w:trPr>
        <w:tc>
          <w:tcPr>
            <w:tcW w:w="2774" w:type="dxa"/>
          </w:tcPr>
          <w:p>
            <w:pPr>
              <w:pStyle w:val="TableParagraph"/>
              <w:rPr>
                <w:sz w:val="20"/>
              </w:rPr>
            </w:pPr>
            <w:r>
              <w:rPr>
                <w:sz w:val="20"/>
              </w:rPr>
              <w:t>Jonathan Brown</w:t>
            </w:r>
          </w:p>
        </w:tc>
        <w:tc>
          <w:tcPr>
            <w:tcW w:w="5821" w:type="dxa"/>
          </w:tcPr>
          <w:p>
            <w:pPr>
              <w:pStyle w:val="TableParagraph"/>
              <w:spacing w:before="30"/>
              <w:ind w:left="543"/>
              <w:rPr>
                <w:b/>
                <w:sz w:val="20"/>
              </w:rPr>
            </w:pPr>
            <w:r>
              <w:rPr>
                <w:b/>
                <w:sz w:val="20"/>
              </w:rPr>
              <w:t>Barclays</w:t>
            </w:r>
          </w:p>
        </w:tc>
      </w:tr>
      <w:tr>
        <w:trPr>
          <w:trHeight w:val="300" w:hRule="atLeast"/>
        </w:trPr>
        <w:tc>
          <w:tcPr>
            <w:tcW w:w="2774" w:type="dxa"/>
          </w:tcPr>
          <w:p>
            <w:pPr>
              <w:pStyle w:val="TableParagraph"/>
              <w:rPr>
                <w:sz w:val="20"/>
              </w:rPr>
            </w:pPr>
            <w:r>
              <w:rPr>
                <w:sz w:val="20"/>
              </w:rPr>
              <w:t>Jon Laycock</w:t>
            </w:r>
          </w:p>
        </w:tc>
        <w:tc>
          <w:tcPr>
            <w:tcW w:w="5821" w:type="dxa"/>
          </w:tcPr>
          <w:p>
            <w:pPr>
              <w:pStyle w:val="TableParagraph"/>
              <w:spacing w:before="30"/>
              <w:ind w:left="543"/>
              <w:rPr>
                <w:b/>
                <w:sz w:val="20"/>
              </w:rPr>
            </w:pPr>
            <w:r>
              <w:rPr>
                <w:b/>
                <w:sz w:val="20"/>
              </w:rPr>
              <w:t>Barclays</w:t>
            </w:r>
          </w:p>
        </w:tc>
      </w:tr>
      <w:tr>
        <w:trPr>
          <w:trHeight w:val="300" w:hRule="atLeast"/>
        </w:trPr>
        <w:tc>
          <w:tcPr>
            <w:tcW w:w="2774" w:type="dxa"/>
          </w:tcPr>
          <w:p>
            <w:pPr>
              <w:pStyle w:val="TableParagraph"/>
              <w:rPr>
                <w:sz w:val="20"/>
              </w:rPr>
            </w:pPr>
            <w:r>
              <w:rPr>
                <w:sz w:val="20"/>
              </w:rPr>
              <w:t>Rob Mitchelson</w:t>
            </w:r>
          </w:p>
        </w:tc>
        <w:tc>
          <w:tcPr>
            <w:tcW w:w="5821" w:type="dxa"/>
          </w:tcPr>
          <w:p>
            <w:pPr>
              <w:pStyle w:val="TableParagraph"/>
              <w:spacing w:before="30"/>
              <w:ind w:left="543"/>
              <w:rPr>
                <w:b/>
                <w:sz w:val="20"/>
              </w:rPr>
            </w:pPr>
            <w:r>
              <w:rPr>
                <w:b/>
                <w:sz w:val="20"/>
              </w:rPr>
              <w:t>BlackRock</w:t>
            </w:r>
          </w:p>
        </w:tc>
      </w:tr>
      <w:tr>
        <w:trPr>
          <w:trHeight w:val="300" w:hRule="atLeast"/>
        </w:trPr>
        <w:tc>
          <w:tcPr>
            <w:tcW w:w="2774" w:type="dxa"/>
          </w:tcPr>
          <w:p>
            <w:pPr>
              <w:pStyle w:val="TableParagraph"/>
              <w:rPr>
                <w:sz w:val="20"/>
              </w:rPr>
            </w:pPr>
            <w:r>
              <w:rPr>
                <w:sz w:val="20"/>
              </w:rPr>
              <w:t>Michael Barron</w:t>
            </w:r>
          </w:p>
        </w:tc>
        <w:tc>
          <w:tcPr>
            <w:tcW w:w="5821" w:type="dxa"/>
          </w:tcPr>
          <w:p>
            <w:pPr>
              <w:pStyle w:val="TableParagraph"/>
              <w:spacing w:before="30"/>
              <w:ind w:left="543"/>
              <w:rPr>
                <w:b/>
                <w:sz w:val="20"/>
              </w:rPr>
            </w:pPr>
            <w:r>
              <w:rPr>
                <w:b/>
                <w:sz w:val="20"/>
              </w:rPr>
              <w:t>Deutsche Bank</w:t>
            </w:r>
          </w:p>
        </w:tc>
      </w:tr>
      <w:tr>
        <w:trPr>
          <w:trHeight w:val="300" w:hRule="atLeast"/>
        </w:trPr>
        <w:tc>
          <w:tcPr>
            <w:tcW w:w="2774" w:type="dxa"/>
          </w:tcPr>
          <w:p>
            <w:pPr>
              <w:pStyle w:val="TableParagraph"/>
              <w:rPr>
                <w:sz w:val="20"/>
              </w:rPr>
            </w:pPr>
            <w:r>
              <w:rPr>
                <w:sz w:val="20"/>
              </w:rPr>
              <w:t>Jasper Lillingston</w:t>
            </w:r>
          </w:p>
        </w:tc>
        <w:tc>
          <w:tcPr>
            <w:tcW w:w="5821" w:type="dxa"/>
          </w:tcPr>
          <w:p>
            <w:pPr>
              <w:pStyle w:val="TableParagraph"/>
              <w:spacing w:before="30"/>
              <w:ind w:left="543"/>
              <w:rPr>
                <w:b/>
                <w:sz w:val="20"/>
              </w:rPr>
            </w:pPr>
            <w:r>
              <w:rPr>
                <w:b/>
                <w:sz w:val="20"/>
              </w:rPr>
              <w:t>European Bank for Reconstruction &amp; Development</w:t>
            </w:r>
          </w:p>
        </w:tc>
      </w:tr>
      <w:tr>
        <w:trPr>
          <w:trHeight w:val="300" w:hRule="atLeast"/>
        </w:trPr>
        <w:tc>
          <w:tcPr>
            <w:tcW w:w="2774" w:type="dxa"/>
          </w:tcPr>
          <w:p>
            <w:pPr>
              <w:pStyle w:val="TableParagraph"/>
              <w:rPr>
                <w:sz w:val="20"/>
              </w:rPr>
            </w:pPr>
            <w:r>
              <w:rPr>
                <w:sz w:val="20"/>
              </w:rPr>
              <w:t>Chirag Dave</w:t>
            </w:r>
          </w:p>
        </w:tc>
        <w:tc>
          <w:tcPr>
            <w:tcW w:w="5821" w:type="dxa"/>
          </w:tcPr>
          <w:p>
            <w:pPr>
              <w:pStyle w:val="TableParagraph"/>
              <w:spacing w:before="30"/>
              <w:ind w:left="543"/>
              <w:rPr>
                <w:b/>
                <w:sz w:val="20"/>
              </w:rPr>
            </w:pPr>
            <w:r>
              <w:rPr>
                <w:b/>
                <w:sz w:val="20"/>
              </w:rPr>
              <w:t>Goldman Sachs</w:t>
            </w:r>
          </w:p>
        </w:tc>
      </w:tr>
      <w:tr>
        <w:trPr>
          <w:trHeight w:val="300" w:hRule="atLeast"/>
        </w:trPr>
        <w:tc>
          <w:tcPr>
            <w:tcW w:w="2774" w:type="dxa"/>
          </w:tcPr>
          <w:p>
            <w:pPr>
              <w:pStyle w:val="TableParagraph"/>
              <w:rPr>
                <w:sz w:val="20"/>
              </w:rPr>
            </w:pPr>
            <w:r>
              <w:rPr>
                <w:sz w:val="20"/>
              </w:rPr>
              <w:t>Daniele Forni</w:t>
            </w:r>
          </w:p>
        </w:tc>
        <w:tc>
          <w:tcPr>
            <w:tcW w:w="5821" w:type="dxa"/>
          </w:tcPr>
          <w:p>
            <w:pPr>
              <w:pStyle w:val="TableParagraph"/>
              <w:spacing w:before="30"/>
              <w:ind w:left="543"/>
              <w:rPr>
                <w:b/>
                <w:sz w:val="20"/>
              </w:rPr>
            </w:pPr>
            <w:r>
              <w:rPr>
                <w:b/>
                <w:sz w:val="20"/>
              </w:rPr>
              <w:t>HSBC</w:t>
            </w:r>
          </w:p>
        </w:tc>
      </w:tr>
      <w:tr>
        <w:trPr>
          <w:trHeight w:val="300" w:hRule="atLeast"/>
        </w:trPr>
        <w:tc>
          <w:tcPr>
            <w:tcW w:w="2774" w:type="dxa"/>
          </w:tcPr>
          <w:p>
            <w:pPr>
              <w:pStyle w:val="TableParagraph"/>
              <w:rPr>
                <w:sz w:val="20"/>
              </w:rPr>
            </w:pPr>
            <w:r>
              <w:rPr>
                <w:sz w:val="20"/>
              </w:rPr>
              <w:t>Chris Rhodes</w:t>
            </w:r>
          </w:p>
        </w:tc>
        <w:tc>
          <w:tcPr>
            <w:tcW w:w="5821" w:type="dxa"/>
          </w:tcPr>
          <w:p>
            <w:pPr>
              <w:pStyle w:val="TableParagraph"/>
              <w:spacing w:before="30"/>
              <w:ind w:left="543"/>
              <w:rPr>
                <w:b/>
                <w:sz w:val="20"/>
              </w:rPr>
            </w:pPr>
            <w:r>
              <w:rPr>
                <w:b/>
                <w:sz w:val="20"/>
              </w:rPr>
              <w:t>ICE Group</w:t>
            </w:r>
          </w:p>
        </w:tc>
      </w:tr>
      <w:tr>
        <w:trPr>
          <w:trHeight w:val="300" w:hRule="atLeast"/>
        </w:trPr>
        <w:tc>
          <w:tcPr>
            <w:tcW w:w="2774" w:type="dxa"/>
          </w:tcPr>
          <w:p>
            <w:pPr>
              <w:pStyle w:val="TableParagraph"/>
              <w:rPr>
                <w:sz w:val="20"/>
              </w:rPr>
            </w:pPr>
            <w:r>
              <w:rPr>
                <w:sz w:val="20"/>
              </w:rPr>
              <w:t>Paul Richards</w:t>
            </w:r>
          </w:p>
        </w:tc>
        <w:tc>
          <w:tcPr>
            <w:tcW w:w="5821" w:type="dxa"/>
          </w:tcPr>
          <w:p>
            <w:pPr>
              <w:pStyle w:val="TableParagraph"/>
              <w:spacing w:before="30"/>
              <w:ind w:left="543"/>
              <w:rPr>
                <w:b/>
                <w:sz w:val="20"/>
              </w:rPr>
            </w:pPr>
            <w:r>
              <w:rPr>
                <w:b/>
                <w:sz w:val="20"/>
              </w:rPr>
              <w:t>ICMA</w:t>
            </w:r>
          </w:p>
        </w:tc>
      </w:tr>
      <w:tr>
        <w:trPr>
          <w:trHeight w:val="300" w:hRule="atLeast"/>
        </w:trPr>
        <w:tc>
          <w:tcPr>
            <w:tcW w:w="2774" w:type="dxa"/>
          </w:tcPr>
          <w:p>
            <w:pPr>
              <w:pStyle w:val="TableParagraph"/>
              <w:rPr>
                <w:sz w:val="20"/>
              </w:rPr>
            </w:pPr>
            <w:r>
              <w:rPr>
                <w:sz w:val="20"/>
              </w:rPr>
              <w:t>Robert Gall</w:t>
            </w:r>
          </w:p>
        </w:tc>
        <w:tc>
          <w:tcPr>
            <w:tcW w:w="5821" w:type="dxa"/>
          </w:tcPr>
          <w:p>
            <w:pPr>
              <w:pStyle w:val="TableParagraph"/>
              <w:spacing w:before="30"/>
              <w:ind w:left="543"/>
              <w:rPr>
                <w:b/>
                <w:sz w:val="20"/>
              </w:rPr>
            </w:pPr>
            <w:r>
              <w:rPr>
                <w:b/>
                <w:sz w:val="20"/>
              </w:rPr>
              <w:t>Insight Investment</w:t>
            </w:r>
          </w:p>
        </w:tc>
      </w:tr>
      <w:tr>
        <w:trPr>
          <w:trHeight w:val="300" w:hRule="atLeast"/>
        </w:trPr>
        <w:tc>
          <w:tcPr>
            <w:tcW w:w="2774" w:type="dxa"/>
          </w:tcPr>
          <w:p>
            <w:pPr>
              <w:pStyle w:val="TableParagraph"/>
              <w:rPr>
                <w:sz w:val="20"/>
              </w:rPr>
            </w:pPr>
            <w:r>
              <w:rPr>
                <w:sz w:val="20"/>
              </w:rPr>
              <w:t>Galina Dimitrova</w:t>
            </w:r>
          </w:p>
        </w:tc>
        <w:tc>
          <w:tcPr>
            <w:tcW w:w="5821" w:type="dxa"/>
          </w:tcPr>
          <w:p>
            <w:pPr>
              <w:pStyle w:val="TableParagraph"/>
              <w:spacing w:before="30"/>
              <w:ind w:left="543"/>
              <w:rPr>
                <w:b/>
                <w:sz w:val="20"/>
              </w:rPr>
            </w:pPr>
            <w:r>
              <w:rPr>
                <w:b/>
                <w:sz w:val="20"/>
              </w:rPr>
              <w:t>Investment Association</w:t>
            </w:r>
          </w:p>
        </w:tc>
      </w:tr>
      <w:tr>
        <w:trPr>
          <w:trHeight w:val="300" w:hRule="atLeast"/>
        </w:trPr>
        <w:tc>
          <w:tcPr>
            <w:tcW w:w="2774" w:type="dxa"/>
          </w:tcPr>
          <w:p>
            <w:pPr>
              <w:pStyle w:val="TableParagraph"/>
              <w:rPr>
                <w:sz w:val="20"/>
              </w:rPr>
            </w:pPr>
            <w:r>
              <w:rPr>
                <w:sz w:val="20"/>
              </w:rPr>
              <w:t>Rick Sandilands</w:t>
            </w:r>
          </w:p>
        </w:tc>
        <w:tc>
          <w:tcPr>
            <w:tcW w:w="5821" w:type="dxa"/>
          </w:tcPr>
          <w:p>
            <w:pPr>
              <w:pStyle w:val="TableParagraph"/>
              <w:spacing w:before="30"/>
              <w:ind w:left="543"/>
              <w:rPr>
                <w:b/>
                <w:sz w:val="20"/>
              </w:rPr>
            </w:pPr>
            <w:r>
              <w:rPr>
                <w:b/>
                <w:sz w:val="20"/>
              </w:rPr>
              <w:t>ISDA</w:t>
            </w:r>
          </w:p>
        </w:tc>
      </w:tr>
      <w:tr>
        <w:trPr>
          <w:trHeight w:val="300" w:hRule="atLeast"/>
        </w:trPr>
        <w:tc>
          <w:tcPr>
            <w:tcW w:w="2774" w:type="dxa"/>
          </w:tcPr>
          <w:p>
            <w:pPr>
              <w:pStyle w:val="TableParagraph"/>
              <w:rPr>
                <w:sz w:val="20"/>
              </w:rPr>
            </w:pPr>
            <w:r>
              <w:rPr>
                <w:sz w:val="20"/>
              </w:rPr>
              <w:t>Clare Dawson</w:t>
            </w:r>
          </w:p>
        </w:tc>
        <w:tc>
          <w:tcPr>
            <w:tcW w:w="5821" w:type="dxa"/>
          </w:tcPr>
          <w:p>
            <w:pPr>
              <w:pStyle w:val="TableParagraph"/>
              <w:spacing w:before="30"/>
              <w:ind w:left="543"/>
              <w:rPr>
                <w:b/>
                <w:sz w:val="20"/>
              </w:rPr>
            </w:pPr>
            <w:r>
              <w:rPr>
                <w:b/>
                <w:sz w:val="20"/>
              </w:rPr>
              <w:t>Loan Market Association</w:t>
            </w:r>
          </w:p>
        </w:tc>
      </w:tr>
      <w:tr>
        <w:trPr>
          <w:trHeight w:val="300" w:hRule="atLeast"/>
        </w:trPr>
        <w:tc>
          <w:tcPr>
            <w:tcW w:w="2774" w:type="dxa"/>
          </w:tcPr>
          <w:p>
            <w:pPr>
              <w:pStyle w:val="TableParagraph"/>
              <w:rPr>
                <w:sz w:val="20"/>
              </w:rPr>
            </w:pPr>
            <w:r>
              <w:rPr>
                <w:sz w:val="20"/>
              </w:rPr>
              <w:t>Philip Whitehurst</w:t>
            </w:r>
          </w:p>
        </w:tc>
        <w:tc>
          <w:tcPr>
            <w:tcW w:w="5821" w:type="dxa"/>
          </w:tcPr>
          <w:p>
            <w:pPr>
              <w:pStyle w:val="TableParagraph"/>
              <w:spacing w:before="30"/>
              <w:ind w:left="543"/>
              <w:rPr>
                <w:b/>
                <w:sz w:val="20"/>
              </w:rPr>
            </w:pPr>
            <w:r>
              <w:rPr>
                <w:b/>
                <w:sz w:val="20"/>
              </w:rPr>
              <w:t>London Stock Exchange Group</w:t>
            </w:r>
          </w:p>
        </w:tc>
      </w:tr>
      <w:tr>
        <w:trPr>
          <w:trHeight w:val="300" w:hRule="atLeast"/>
        </w:trPr>
        <w:tc>
          <w:tcPr>
            <w:tcW w:w="2774" w:type="dxa"/>
          </w:tcPr>
          <w:p>
            <w:pPr>
              <w:pStyle w:val="TableParagraph"/>
              <w:rPr>
                <w:sz w:val="20"/>
              </w:rPr>
            </w:pPr>
            <w:r>
              <w:rPr>
                <w:sz w:val="20"/>
              </w:rPr>
              <w:t>Steve Bullock</w:t>
            </w:r>
          </w:p>
        </w:tc>
        <w:tc>
          <w:tcPr>
            <w:tcW w:w="5821" w:type="dxa"/>
          </w:tcPr>
          <w:p>
            <w:pPr>
              <w:pStyle w:val="TableParagraph"/>
              <w:spacing w:before="30"/>
              <w:ind w:left="543"/>
              <w:rPr>
                <w:b/>
                <w:sz w:val="20"/>
              </w:rPr>
            </w:pPr>
            <w:r>
              <w:rPr>
                <w:b/>
                <w:sz w:val="20"/>
              </w:rPr>
              <w:t>Lloyds Banking Group</w:t>
            </w:r>
          </w:p>
        </w:tc>
      </w:tr>
      <w:tr>
        <w:trPr>
          <w:trHeight w:val="300" w:hRule="atLeast"/>
        </w:trPr>
        <w:tc>
          <w:tcPr>
            <w:tcW w:w="2774" w:type="dxa"/>
          </w:tcPr>
          <w:p>
            <w:pPr>
              <w:pStyle w:val="TableParagraph"/>
              <w:rPr>
                <w:sz w:val="20"/>
              </w:rPr>
            </w:pPr>
            <w:r>
              <w:rPr>
                <w:sz w:val="20"/>
              </w:rPr>
              <w:t>David Covey</w:t>
            </w:r>
          </w:p>
        </w:tc>
        <w:tc>
          <w:tcPr>
            <w:tcW w:w="5821" w:type="dxa"/>
          </w:tcPr>
          <w:p>
            <w:pPr>
              <w:pStyle w:val="TableParagraph"/>
              <w:spacing w:before="30"/>
              <w:ind w:left="543"/>
              <w:rPr>
                <w:b/>
                <w:sz w:val="20"/>
              </w:rPr>
            </w:pPr>
            <w:r>
              <w:rPr>
                <w:b/>
                <w:sz w:val="20"/>
              </w:rPr>
              <w:t>M&amp;G Investments</w:t>
            </w:r>
          </w:p>
        </w:tc>
      </w:tr>
      <w:tr>
        <w:trPr>
          <w:trHeight w:val="300" w:hRule="atLeast"/>
        </w:trPr>
        <w:tc>
          <w:tcPr>
            <w:tcW w:w="2774" w:type="dxa"/>
          </w:tcPr>
          <w:p>
            <w:pPr>
              <w:pStyle w:val="TableParagraph"/>
              <w:rPr>
                <w:sz w:val="20"/>
              </w:rPr>
            </w:pPr>
            <w:r>
              <w:rPr>
                <w:sz w:val="20"/>
              </w:rPr>
              <w:t>Kwok Liu</w:t>
            </w:r>
          </w:p>
        </w:tc>
        <w:tc>
          <w:tcPr>
            <w:tcW w:w="5821" w:type="dxa"/>
          </w:tcPr>
          <w:p>
            <w:pPr>
              <w:pStyle w:val="TableParagraph"/>
              <w:spacing w:before="30"/>
              <w:ind w:left="543"/>
              <w:rPr>
                <w:b/>
                <w:sz w:val="20"/>
              </w:rPr>
            </w:pPr>
            <w:r>
              <w:rPr>
                <w:b/>
                <w:sz w:val="20"/>
              </w:rPr>
              <w:t>National Grid</w:t>
            </w:r>
          </w:p>
        </w:tc>
      </w:tr>
      <w:tr>
        <w:trPr>
          <w:trHeight w:val="300" w:hRule="atLeast"/>
        </w:trPr>
        <w:tc>
          <w:tcPr>
            <w:tcW w:w="2774" w:type="dxa"/>
          </w:tcPr>
          <w:p>
            <w:pPr>
              <w:pStyle w:val="TableParagraph"/>
              <w:rPr>
                <w:sz w:val="20"/>
              </w:rPr>
            </w:pPr>
            <w:r>
              <w:rPr>
                <w:sz w:val="20"/>
              </w:rPr>
              <w:t>Richard Merrett</w:t>
            </w:r>
          </w:p>
        </w:tc>
        <w:tc>
          <w:tcPr>
            <w:tcW w:w="5821" w:type="dxa"/>
          </w:tcPr>
          <w:p>
            <w:pPr>
              <w:pStyle w:val="TableParagraph"/>
              <w:spacing w:before="30"/>
              <w:ind w:left="543"/>
              <w:rPr>
                <w:b/>
                <w:sz w:val="20"/>
              </w:rPr>
            </w:pPr>
            <w:r>
              <w:rPr>
                <w:b/>
                <w:sz w:val="20"/>
              </w:rPr>
              <w:t>Nationwide Building Society</w:t>
            </w:r>
          </w:p>
        </w:tc>
      </w:tr>
      <w:tr>
        <w:trPr>
          <w:trHeight w:val="300" w:hRule="atLeast"/>
        </w:trPr>
        <w:tc>
          <w:tcPr>
            <w:tcW w:w="2774" w:type="dxa"/>
          </w:tcPr>
          <w:p>
            <w:pPr>
              <w:pStyle w:val="TableParagraph"/>
              <w:rPr>
                <w:sz w:val="20"/>
              </w:rPr>
            </w:pPr>
            <w:r>
              <w:rPr>
                <w:sz w:val="20"/>
              </w:rPr>
              <w:t>Kieran Higgins</w:t>
            </w:r>
          </w:p>
        </w:tc>
        <w:tc>
          <w:tcPr>
            <w:tcW w:w="5821" w:type="dxa"/>
          </w:tcPr>
          <w:p>
            <w:pPr>
              <w:pStyle w:val="TableParagraph"/>
              <w:spacing w:before="30"/>
              <w:ind w:left="543"/>
              <w:rPr>
                <w:b/>
                <w:sz w:val="20"/>
              </w:rPr>
            </w:pPr>
            <w:r>
              <w:rPr>
                <w:b/>
                <w:sz w:val="20"/>
              </w:rPr>
              <w:t>Royal Bank of Scotland</w:t>
            </w:r>
          </w:p>
        </w:tc>
      </w:tr>
      <w:tr>
        <w:trPr>
          <w:trHeight w:val="262" w:hRule="atLeast"/>
        </w:trPr>
        <w:tc>
          <w:tcPr>
            <w:tcW w:w="2774" w:type="dxa"/>
          </w:tcPr>
          <w:p>
            <w:pPr>
              <w:pStyle w:val="TableParagraph"/>
              <w:spacing w:line="210" w:lineRule="exact"/>
              <w:rPr>
                <w:sz w:val="20"/>
              </w:rPr>
            </w:pPr>
            <w:r>
              <w:rPr>
                <w:sz w:val="20"/>
              </w:rPr>
              <w:t>Oliver Cooke</w:t>
            </w:r>
          </w:p>
        </w:tc>
        <w:tc>
          <w:tcPr>
            <w:tcW w:w="5821" w:type="dxa"/>
          </w:tcPr>
          <w:p>
            <w:pPr>
              <w:pStyle w:val="TableParagraph"/>
              <w:spacing w:line="212" w:lineRule="exact" w:before="30"/>
              <w:ind w:left="543"/>
              <w:rPr>
                <w:b/>
                <w:sz w:val="20"/>
              </w:rPr>
            </w:pPr>
            <w:r>
              <w:rPr>
                <w:b/>
                <w:sz w:val="20"/>
              </w:rPr>
              <w:t>Royal Bank of Scotland</w:t>
            </w:r>
          </w:p>
        </w:tc>
      </w:tr>
    </w:tbl>
    <w:p>
      <w:pPr>
        <w:pStyle w:val="BodyText"/>
        <w:rPr>
          <w:b/>
          <w:sz w:val="22"/>
        </w:rPr>
      </w:pPr>
    </w:p>
    <w:p>
      <w:pPr>
        <w:pStyle w:val="BodyText"/>
        <w:rPr>
          <w:b/>
          <w:sz w:val="22"/>
        </w:rPr>
      </w:pPr>
    </w:p>
    <w:p>
      <w:pPr>
        <w:pStyle w:val="BodyText"/>
        <w:spacing w:before="6"/>
        <w:rPr>
          <w:b/>
          <w:sz w:val="25"/>
        </w:rPr>
      </w:pPr>
    </w:p>
    <w:p>
      <w:pPr>
        <w:spacing w:before="0"/>
        <w:ind w:left="196" w:right="0" w:firstLine="0"/>
        <w:jc w:val="left"/>
        <w:rPr>
          <w:b/>
          <w:sz w:val="20"/>
        </w:rPr>
      </w:pPr>
      <w:r>
        <w:rPr>
          <w:b/>
          <w:sz w:val="20"/>
        </w:rPr>
        <w:t>Official sector</w:t>
      </w:r>
      <w:r>
        <w:rPr>
          <w:b/>
          <w:spacing w:val="-15"/>
          <w:sz w:val="20"/>
        </w:rPr>
        <w:t> </w:t>
      </w:r>
      <w:r>
        <w:rPr>
          <w:b/>
          <w:sz w:val="20"/>
        </w:rPr>
        <w:t>attendees</w:t>
      </w:r>
    </w:p>
    <w:p>
      <w:pPr>
        <w:pStyle w:val="BodyText"/>
        <w:spacing w:after="1"/>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3386"/>
      </w:tblGrid>
      <w:tr>
        <w:trPr>
          <w:trHeight w:val="263" w:hRule="atLeast"/>
        </w:trPr>
        <w:tc>
          <w:tcPr>
            <w:tcW w:w="2854" w:type="dxa"/>
          </w:tcPr>
          <w:p>
            <w:pPr>
              <w:pStyle w:val="TableParagraph"/>
              <w:spacing w:line="225" w:lineRule="exact" w:before="0"/>
              <w:rPr>
                <w:sz w:val="20"/>
              </w:rPr>
            </w:pPr>
            <w:r>
              <w:rPr>
                <w:sz w:val="20"/>
              </w:rPr>
              <w:t>Rhys Phillips</w:t>
            </w:r>
          </w:p>
        </w:tc>
        <w:tc>
          <w:tcPr>
            <w:tcW w:w="3386" w:type="dxa"/>
          </w:tcPr>
          <w:p>
            <w:pPr>
              <w:pStyle w:val="TableParagraph"/>
              <w:spacing w:line="223" w:lineRule="exact" w:before="0"/>
              <w:ind w:left="506"/>
              <w:rPr>
                <w:b/>
                <w:sz w:val="20"/>
              </w:rPr>
            </w:pPr>
            <w:r>
              <w:rPr>
                <w:b/>
                <w:sz w:val="20"/>
              </w:rPr>
              <w:t>Bank of England</w:t>
            </w:r>
          </w:p>
        </w:tc>
      </w:tr>
      <w:tr>
        <w:trPr>
          <w:trHeight w:val="302" w:hRule="atLeast"/>
        </w:trPr>
        <w:tc>
          <w:tcPr>
            <w:tcW w:w="2854" w:type="dxa"/>
          </w:tcPr>
          <w:p>
            <w:pPr>
              <w:pStyle w:val="TableParagraph"/>
              <w:spacing w:before="34"/>
              <w:rPr>
                <w:sz w:val="20"/>
              </w:rPr>
            </w:pPr>
            <w:r>
              <w:rPr>
                <w:sz w:val="20"/>
              </w:rPr>
              <w:t>Imane Bakkar</w:t>
            </w:r>
          </w:p>
        </w:tc>
        <w:tc>
          <w:tcPr>
            <w:tcW w:w="3386" w:type="dxa"/>
          </w:tcPr>
          <w:p>
            <w:pPr>
              <w:pStyle w:val="TableParagraph"/>
              <w:spacing w:before="31"/>
              <w:ind w:left="506"/>
              <w:rPr>
                <w:b/>
                <w:sz w:val="20"/>
              </w:rPr>
            </w:pPr>
            <w:r>
              <w:rPr>
                <w:b/>
                <w:sz w:val="20"/>
              </w:rPr>
              <w:t>Bank of England</w:t>
            </w:r>
          </w:p>
        </w:tc>
      </w:tr>
      <w:tr>
        <w:trPr>
          <w:trHeight w:val="302" w:hRule="atLeast"/>
        </w:trPr>
        <w:tc>
          <w:tcPr>
            <w:tcW w:w="2854" w:type="dxa"/>
          </w:tcPr>
          <w:p>
            <w:pPr>
              <w:pStyle w:val="TableParagraph"/>
              <w:spacing w:before="34"/>
              <w:rPr>
                <w:sz w:val="20"/>
              </w:rPr>
            </w:pPr>
            <w:r>
              <w:rPr>
                <w:sz w:val="20"/>
              </w:rPr>
              <w:t>Josh Jones</w:t>
            </w:r>
          </w:p>
        </w:tc>
        <w:tc>
          <w:tcPr>
            <w:tcW w:w="3386" w:type="dxa"/>
          </w:tcPr>
          <w:p>
            <w:pPr>
              <w:pStyle w:val="TableParagraph"/>
              <w:spacing w:before="31"/>
              <w:ind w:left="506"/>
              <w:rPr>
                <w:b/>
                <w:sz w:val="20"/>
              </w:rPr>
            </w:pPr>
            <w:r>
              <w:rPr>
                <w:b/>
                <w:sz w:val="20"/>
              </w:rPr>
              <w:t>Bank of England</w:t>
            </w:r>
          </w:p>
        </w:tc>
      </w:tr>
      <w:tr>
        <w:trPr>
          <w:trHeight w:val="303" w:hRule="atLeast"/>
        </w:trPr>
        <w:tc>
          <w:tcPr>
            <w:tcW w:w="2854" w:type="dxa"/>
          </w:tcPr>
          <w:p>
            <w:pPr>
              <w:pStyle w:val="TableParagraph"/>
              <w:spacing w:before="34"/>
              <w:rPr>
                <w:sz w:val="20"/>
              </w:rPr>
            </w:pPr>
            <w:r>
              <w:rPr>
                <w:sz w:val="20"/>
              </w:rPr>
              <w:t>Charlotte Pope-Williams</w:t>
            </w:r>
          </w:p>
        </w:tc>
        <w:tc>
          <w:tcPr>
            <w:tcW w:w="3386" w:type="dxa"/>
          </w:tcPr>
          <w:p>
            <w:pPr>
              <w:pStyle w:val="TableParagraph"/>
              <w:spacing w:before="31"/>
              <w:ind w:left="506"/>
              <w:rPr>
                <w:b/>
                <w:sz w:val="20"/>
              </w:rPr>
            </w:pPr>
            <w:r>
              <w:rPr>
                <w:b/>
                <w:sz w:val="20"/>
              </w:rPr>
              <w:t>Bank of England</w:t>
            </w:r>
          </w:p>
        </w:tc>
      </w:tr>
      <w:tr>
        <w:trPr>
          <w:trHeight w:val="303" w:hRule="atLeast"/>
        </w:trPr>
        <w:tc>
          <w:tcPr>
            <w:tcW w:w="2854" w:type="dxa"/>
          </w:tcPr>
          <w:p>
            <w:pPr>
              <w:pStyle w:val="TableParagraph"/>
              <w:spacing w:before="35"/>
              <w:rPr>
                <w:sz w:val="20"/>
              </w:rPr>
            </w:pPr>
            <w:r>
              <w:rPr>
                <w:sz w:val="20"/>
              </w:rPr>
              <w:t>Adeshini Naidoo</w:t>
            </w:r>
          </w:p>
        </w:tc>
        <w:tc>
          <w:tcPr>
            <w:tcW w:w="3386" w:type="dxa"/>
          </w:tcPr>
          <w:p>
            <w:pPr>
              <w:pStyle w:val="TableParagraph"/>
              <w:ind w:left="506"/>
              <w:rPr>
                <w:b/>
                <w:sz w:val="20"/>
              </w:rPr>
            </w:pPr>
            <w:r>
              <w:rPr>
                <w:b/>
                <w:sz w:val="20"/>
              </w:rPr>
              <w:t>Financial Conduct Authority</w:t>
            </w:r>
          </w:p>
        </w:tc>
      </w:tr>
      <w:tr>
        <w:trPr>
          <w:trHeight w:val="302" w:hRule="atLeast"/>
        </w:trPr>
        <w:tc>
          <w:tcPr>
            <w:tcW w:w="2854" w:type="dxa"/>
          </w:tcPr>
          <w:p>
            <w:pPr>
              <w:pStyle w:val="TableParagraph"/>
              <w:spacing w:before="34"/>
              <w:rPr>
                <w:sz w:val="20"/>
              </w:rPr>
            </w:pPr>
            <w:r>
              <w:rPr>
                <w:sz w:val="20"/>
              </w:rPr>
              <w:t>April Richardson</w:t>
            </w:r>
          </w:p>
        </w:tc>
        <w:tc>
          <w:tcPr>
            <w:tcW w:w="3386" w:type="dxa"/>
          </w:tcPr>
          <w:p>
            <w:pPr>
              <w:pStyle w:val="TableParagraph"/>
              <w:spacing w:before="31"/>
              <w:ind w:left="506"/>
              <w:rPr>
                <w:b/>
                <w:sz w:val="20"/>
              </w:rPr>
            </w:pPr>
            <w:r>
              <w:rPr>
                <w:b/>
                <w:sz w:val="20"/>
              </w:rPr>
              <w:t>Financial Conduct Authority</w:t>
            </w:r>
          </w:p>
        </w:tc>
      </w:tr>
      <w:tr>
        <w:trPr>
          <w:trHeight w:val="302" w:hRule="atLeast"/>
        </w:trPr>
        <w:tc>
          <w:tcPr>
            <w:tcW w:w="2854" w:type="dxa"/>
          </w:tcPr>
          <w:p>
            <w:pPr>
              <w:pStyle w:val="TableParagraph"/>
              <w:spacing w:before="34"/>
              <w:rPr>
                <w:sz w:val="20"/>
              </w:rPr>
            </w:pPr>
            <w:r>
              <w:rPr>
                <w:sz w:val="20"/>
              </w:rPr>
              <w:t>Sophie Green</w:t>
            </w:r>
          </w:p>
        </w:tc>
        <w:tc>
          <w:tcPr>
            <w:tcW w:w="3386" w:type="dxa"/>
          </w:tcPr>
          <w:p>
            <w:pPr>
              <w:pStyle w:val="TableParagraph"/>
              <w:spacing w:before="31"/>
              <w:ind w:left="506"/>
              <w:rPr>
                <w:b/>
                <w:sz w:val="20"/>
              </w:rPr>
            </w:pPr>
            <w:r>
              <w:rPr>
                <w:b/>
                <w:sz w:val="20"/>
              </w:rPr>
              <w:t>Financial Conduct Authority</w:t>
            </w:r>
          </w:p>
        </w:tc>
      </w:tr>
      <w:tr>
        <w:trPr>
          <w:trHeight w:val="263" w:hRule="atLeast"/>
        </w:trPr>
        <w:tc>
          <w:tcPr>
            <w:tcW w:w="2854" w:type="dxa"/>
          </w:tcPr>
          <w:p>
            <w:pPr>
              <w:pStyle w:val="TableParagraph"/>
              <w:spacing w:line="210" w:lineRule="exact" w:before="34"/>
              <w:rPr>
                <w:sz w:val="20"/>
              </w:rPr>
            </w:pPr>
            <w:r>
              <w:rPr>
                <w:sz w:val="20"/>
              </w:rPr>
              <w:t>Toby Williams</w:t>
            </w:r>
          </w:p>
        </w:tc>
        <w:tc>
          <w:tcPr>
            <w:tcW w:w="3386" w:type="dxa"/>
          </w:tcPr>
          <w:p>
            <w:pPr>
              <w:pStyle w:val="TableParagraph"/>
              <w:spacing w:line="212" w:lineRule="exact" w:before="31"/>
              <w:ind w:left="506"/>
              <w:rPr>
                <w:b/>
                <w:sz w:val="20"/>
              </w:rPr>
            </w:pPr>
            <w:r>
              <w:rPr>
                <w:b/>
                <w:sz w:val="20"/>
              </w:rPr>
              <w:t>Financial Conduct Authority</w:t>
            </w:r>
          </w:p>
        </w:tc>
      </w:tr>
    </w:tbl>
    <w:p>
      <w:pPr>
        <w:spacing w:after="0" w:line="212" w:lineRule="exact"/>
        <w:rPr>
          <w:sz w:val="20"/>
        </w:rPr>
        <w:sectPr>
          <w:pgSz w:w="11910" w:h="16840"/>
          <w:pgMar w:top="1180" w:bottom="280" w:left="1080" w:right="1020"/>
        </w:sectPr>
      </w:pPr>
    </w:p>
    <w:p>
      <w:pPr>
        <w:pStyle w:val="BodyText"/>
        <w:spacing w:before="4"/>
        <w:rPr>
          <w:b/>
          <w:sz w:val="17"/>
        </w:rPr>
      </w:pPr>
    </w:p>
    <w:sectPr>
      <w:pgSz w:w="11910" w:h="16840"/>
      <w:pgMar w:top="1580" w:bottom="280" w:left="10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6" w:hanging="360"/>
        <w:jc w:val="left"/>
      </w:pPr>
      <w:rPr>
        <w:rFonts w:hint="default" w:ascii="Arial" w:hAnsi="Arial" w:eastAsia="Arial" w:cs="Arial"/>
        <w:spacing w:val="-1"/>
        <w:w w:val="99"/>
        <w:sz w:val="20"/>
        <w:szCs w:val="20"/>
      </w:rPr>
    </w:lvl>
    <w:lvl w:ilvl="1">
      <w:start w:val="1"/>
      <w:numFmt w:val="lowerLetter"/>
      <w:lvlText w:val="%2."/>
      <w:lvlJc w:val="left"/>
      <w:pPr>
        <w:ind w:left="1276" w:hanging="360"/>
        <w:jc w:val="left"/>
      </w:pPr>
      <w:rPr>
        <w:rFonts w:hint="default" w:ascii="Arial" w:hAnsi="Arial" w:eastAsia="Arial" w:cs="Arial"/>
        <w:spacing w:val="-1"/>
        <w:w w:val="99"/>
        <w:sz w:val="20"/>
        <w:szCs w:val="20"/>
      </w:rPr>
    </w:lvl>
    <w:lvl w:ilvl="2">
      <w:start w:val="0"/>
      <w:numFmt w:val="bullet"/>
      <w:lvlText w:val="•"/>
      <w:lvlJc w:val="left"/>
      <w:pPr>
        <w:ind w:left="2227" w:hanging="360"/>
      </w:pPr>
      <w:rPr>
        <w:rFonts w:hint="default"/>
      </w:rPr>
    </w:lvl>
    <w:lvl w:ilvl="3">
      <w:start w:val="0"/>
      <w:numFmt w:val="bullet"/>
      <w:lvlText w:val="•"/>
      <w:lvlJc w:val="left"/>
      <w:pPr>
        <w:ind w:left="3174" w:hanging="360"/>
      </w:pPr>
      <w:rPr>
        <w:rFonts w:hint="default"/>
      </w:rPr>
    </w:lvl>
    <w:lvl w:ilvl="4">
      <w:start w:val="0"/>
      <w:numFmt w:val="bullet"/>
      <w:lvlText w:val="•"/>
      <w:lvlJc w:val="left"/>
      <w:pPr>
        <w:ind w:left="4122" w:hanging="360"/>
      </w:pPr>
      <w:rPr>
        <w:rFonts w:hint="default"/>
      </w:rPr>
    </w:lvl>
    <w:lvl w:ilvl="5">
      <w:start w:val="0"/>
      <w:numFmt w:val="bullet"/>
      <w:lvlText w:val="•"/>
      <w:lvlJc w:val="left"/>
      <w:pPr>
        <w:ind w:left="5069" w:hanging="360"/>
      </w:pPr>
      <w:rPr>
        <w:rFonts w:hint="default"/>
      </w:rPr>
    </w:lvl>
    <w:lvl w:ilvl="6">
      <w:start w:val="0"/>
      <w:numFmt w:val="bullet"/>
      <w:lvlText w:val="•"/>
      <w:lvlJc w:val="left"/>
      <w:pPr>
        <w:ind w:left="6016" w:hanging="360"/>
      </w:pPr>
      <w:rPr>
        <w:rFonts w:hint="default"/>
      </w:rPr>
    </w:lvl>
    <w:lvl w:ilvl="7">
      <w:start w:val="0"/>
      <w:numFmt w:val="bullet"/>
      <w:lvlText w:val="•"/>
      <w:lvlJc w:val="left"/>
      <w:pPr>
        <w:ind w:left="6964" w:hanging="360"/>
      </w:pPr>
      <w:rPr>
        <w:rFonts w:hint="default"/>
      </w:rPr>
    </w:lvl>
    <w:lvl w:ilvl="8">
      <w:start w:val="0"/>
      <w:numFmt w:val="bullet"/>
      <w:lvlText w:val="•"/>
      <w:lvlJc w:val="left"/>
      <w:pPr>
        <w:ind w:left="7911"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96"/>
      <w:jc w:val="both"/>
      <w:outlineLvl w:val="1"/>
    </w:pPr>
    <w:rPr>
      <w:rFonts w:ascii="Arial" w:hAnsi="Arial" w:eastAsia="Arial" w:cs="Arial"/>
      <w:b/>
      <w:bCs/>
      <w:sz w:val="20"/>
      <w:szCs w:val="20"/>
    </w:rPr>
  </w:style>
  <w:style w:styleId="ListParagraph" w:type="paragraph">
    <w:name w:val="List Paragraph"/>
    <w:basedOn w:val="Normal"/>
    <w:uiPriority w:val="1"/>
    <w:qFormat/>
    <w:pPr>
      <w:ind w:left="556" w:right="113" w:hanging="361"/>
      <w:jc w:val="both"/>
    </w:pPr>
    <w:rPr>
      <w:rFonts w:ascii="Arial" w:hAnsi="Arial" w:eastAsia="Arial" w:cs="Arial"/>
    </w:rPr>
  </w:style>
  <w:style w:styleId="TableParagraph" w:type="paragraph">
    <w:name w:val="Table Paragraph"/>
    <w:basedOn w:val="Normal"/>
    <w:uiPriority w:val="1"/>
    <w:qFormat/>
    <w:pPr>
      <w:spacing w:before="32"/>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newyorkfed.org/medialibrary/Microsites/arrc/files/2018/ARRC-FRN-Consultation.pdf" TargetMode="External"/><Relationship Id="rId6" Type="http://schemas.openxmlformats.org/officeDocument/2006/relationships/hyperlink" Target="https://www.bankofengland.co.uk/prudential-regulation/letter/2018/firms-preparations-for-transition-from-libor-to-risk-free-rates" TargetMode="External"/><Relationship Id="rId7" Type="http://schemas.openxmlformats.org/officeDocument/2006/relationships/hyperlink" Target="https://www.isda.org/2018/07/12/interbank-offered-rate-ibor-fallbacks-for-2006-isda-definitions"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Working Group of Sterling Risk-Free Reference Rates</dc:subject>
  <dc:title>Minutes of the Working Group of Sterling Risk-Free Reference Rates</dc:title>
  <dcterms:created xsi:type="dcterms:W3CDTF">2020-06-01T02:25:16Z</dcterms:created>
  <dcterms:modified xsi:type="dcterms:W3CDTF">2020-06-01T02:25:16Z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2018-12-12T00:00:00Z</vt:filetime>
  </property>
  <property fmtid="{D5CDD505-2E9C-101B-9397-08002B2CF9AE}" pid="3" name="Creator">
    <vt:lpwstr>Acrobat PDFMaker 10.1 for Word</vt:lpwstr>
  </property>
  <property fmtid="{D5CDD505-2E9C-101B-9397-08002B2CF9AE}" pid="4" name="LastSaved">
    <vt:filetime>2020-06-01T00:00:00Z</vt:filetime>
  </property>
</Properties>
</file>