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1665" w:right="1585"/>
        <w:jc w:val="center"/>
      </w:pPr>
      <w:r>
        <w:rPr/>
        <w:t>Minutes of the Working Group on Sterling Risk-Free Reference Rates Friday 21</w:t>
      </w:r>
      <w:r>
        <w:rPr>
          <w:vertAlign w:val="superscript"/>
        </w:rPr>
        <w:t>st</w:t>
      </w:r>
      <w:r>
        <w:rPr>
          <w:vertAlign w:val="baseline"/>
        </w:rPr>
        <w:t> September 2018</w:t>
      </w:r>
    </w:p>
    <w:p>
      <w:pPr>
        <w:spacing w:before="4"/>
        <w:ind w:left="1665" w:right="1583" w:firstLine="0"/>
        <w:jc w:val="center"/>
        <w:rPr>
          <w:b/>
          <w:sz w:val="20"/>
        </w:rPr>
      </w:pPr>
      <w:r>
        <w:rPr>
          <w:b/>
          <w:sz w:val="20"/>
        </w:rPr>
        <w:t>Shell Centre, London, SE1 7NA</w:t>
      </w:r>
    </w:p>
    <w:p>
      <w:pPr>
        <w:pStyle w:val="BodyText"/>
        <w:spacing w:before="10"/>
        <w:rPr>
          <w:b/>
          <w:sz w:val="30"/>
        </w:rPr>
      </w:pPr>
    </w:p>
    <w:p>
      <w:pPr>
        <w:spacing w:before="0"/>
        <w:ind w:left="196" w:right="0" w:firstLine="0"/>
        <w:jc w:val="both"/>
        <w:rPr>
          <w:b/>
          <w:sz w:val="20"/>
        </w:rPr>
      </w:pPr>
      <w:r>
        <w:rPr>
          <w:b/>
          <w:sz w:val="20"/>
        </w:rPr>
        <w:t>Competition law reminder</w:t>
      </w:r>
    </w:p>
    <w:p>
      <w:pPr>
        <w:pStyle w:val="BodyText"/>
        <w:spacing w:before="8"/>
        <w:rPr>
          <w:b/>
        </w:rPr>
      </w:pPr>
    </w:p>
    <w:p>
      <w:pPr>
        <w:pStyle w:val="ListParagraph"/>
        <w:numPr>
          <w:ilvl w:val="0"/>
          <w:numId w:val="1"/>
        </w:numPr>
        <w:tabs>
          <w:tab w:pos="557" w:val="left" w:leader="none"/>
        </w:tabs>
        <w:spacing w:line="360" w:lineRule="auto" w:before="0" w:after="0"/>
        <w:ind w:left="556" w:right="110" w:hanging="361"/>
        <w:jc w:val="both"/>
        <w:rPr>
          <w:sz w:val="20"/>
        </w:rPr>
      </w:pPr>
      <w:r>
        <w:rPr>
          <w:sz w:val="20"/>
        </w:rPr>
        <w:t>The Chair welcomed attendees and reminded them of their responsibilities in relation to competition law and the importance of taking their own independent advice from the legal and/or compliance teams at their respective</w:t>
      </w:r>
      <w:r>
        <w:rPr>
          <w:spacing w:val="-3"/>
          <w:sz w:val="20"/>
        </w:rPr>
        <w:t> </w:t>
      </w:r>
      <w:r>
        <w:rPr>
          <w:sz w:val="20"/>
        </w:rPr>
        <w:t>institutions.</w:t>
      </w:r>
    </w:p>
    <w:p>
      <w:pPr>
        <w:pStyle w:val="Heading1"/>
        <w:spacing w:before="117"/>
      </w:pPr>
      <w:r>
        <w:rPr/>
        <w:t>ISDA fallback criteria discussion</w:t>
      </w:r>
    </w:p>
    <w:p>
      <w:pPr>
        <w:pStyle w:val="BodyText"/>
        <w:spacing w:before="8"/>
        <w:rPr>
          <w:b/>
        </w:rPr>
      </w:pPr>
    </w:p>
    <w:p>
      <w:pPr>
        <w:pStyle w:val="ListParagraph"/>
        <w:numPr>
          <w:ilvl w:val="0"/>
          <w:numId w:val="1"/>
        </w:numPr>
        <w:tabs>
          <w:tab w:pos="557" w:val="left" w:leader="none"/>
        </w:tabs>
        <w:spacing w:line="360" w:lineRule="auto" w:before="0" w:after="0"/>
        <w:ind w:left="556" w:right="109" w:hanging="360"/>
        <w:jc w:val="both"/>
        <w:rPr>
          <w:sz w:val="20"/>
        </w:rPr>
      </w:pPr>
      <w:r>
        <w:rPr>
          <w:sz w:val="20"/>
        </w:rPr>
        <w:t>In line with the proposal agreed at the previous meeting, members had sent the secretariat views on criteria that might helpfully be considered when evaluating the various credit spread adjustment options in the ISDA fallback consultation</w:t>
      </w:r>
      <w:hyperlink w:history="true" w:anchor="_bookmark0">
        <w:r>
          <w:rPr>
            <w:sz w:val="20"/>
            <w:vertAlign w:val="superscript"/>
          </w:rPr>
          <w:t>1</w:t>
        </w:r>
      </w:hyperlink>
      <w:r>
        <w:rPr>
          <w:sz w:val="20"/>
          <w:vertAlign w:val="baseline"/>
        </w:rPr>
        <w:t>. These contributions had been amalgamated by the secretariat, and presented to the Working Group in the form of a statement that could be published in order to assist market participants in assessing the options set out in the consultation</w:t>
      </w:r>
      <w:r>
        <w:rPr>
          <w:spacing w:val="-6"/>
          <w:sz w:val="20"/>
          <w:vertAlign w:val="baseline"/>
        </w:rPr>
        <w:t> </w:t>
      </w:r>
      <w:r>
        <w:rPr>
          <w:sz w:val="20"/>
          <w:vertAlign w:val="baseline"/>
        </w:rPr>
        <w:t>paper.</w:t>
      </w:r>
    </w:p>
    <w:p>
      <w:pPr>
        <w:pStyle w:val="ListParagraph"/>
        <w:numPr>
          <w:ilvl w:val="0"/>
          <w:numId w:val="1"/>
        </w:numPr>
        <w:tabs>
          <w:tab w:pos="557" w:val="left" w:leader="none"/>
        </w:tabs>
        <w:spacing w:line="360" w:lineRule="auto" w:before="119" w:after="0"/>
        <w:ind w:left="556" w:right="110" w:hanging="360"/>
        <w:jc w:val="both"/>
        <w:rPr>
          <w:sz w:val="20"/>
        </w:rPr>
      </w:pPr>
      <w:r>
        <w:rPr>
          <w:sz w:val="20"/>
        </w:rPr>
        <w:t>The FCA outlined the parameters for the discussion given the potential risk for inside information to be inadvertently created or disclosed, coupled with potential competition law risks. It was noted that it would be appropriate and useful for members to make technical comments as part of the discussion, but the FCA counselled against members providing their firm’s non-public views on the spread adjustment options, or identifying a group consensus on a preferred spread adjustment</w:t>
      </w:r>
      <w:r>
        <w:rPr>
          <w:spacing w:val="-17"/>
          <w:sz w:val="20"/>
        </w:rPr>
        <w:t> </w:t>
      </w:r>
      <w:r>
        <w:rPr>
          <w:sz w:val="20"/>
        </w:rPr>
        <w:t>option.</w:t>
      </w:r>
    </w:p>
    <w:p>
      <w:pPr>
        <w:pStyle w:val="ListParagraph"/>
        <w:numPr>
          <w:ilvl w:val="0"/>
          <w:numId w:val="1"/>
        </w:numPr>
        <w:tabs>
          <w:tab w:pos="557" w:val="left" w:leader="none"/>
        </w:tabs>
        <w:spacing w:line="240" w:lineRule="auto" w:before="121" w:after="0"/>
        <w:ind w:left="556" w:right="0" w:hanging="361"/>
        <w:jc w:val="both"/>
        <w:rPr>
          <w:sz w:val="20"/>
        </w:rPr>
      </w:pPr>
      <w:r>
        <w:rPr>
          <w:sz w:val="20"/>
        </w:rPr>
        <w:t>A number of elements of the statement were debated</w:t>
      </w:r>
      <w:hyperlink w:history="true" w:anchor="_bookmark1">
        <w:r>
          <w:rPr>
            <w:sz w:val="20"/>
            <w:vertAlign w:val="superscript"/>
          </w:rPr>
          <w:t>2</w:t>
        </w:r>
      </w:hyperlink>
      <w:r>
        <w:rPr>
          <w:sz w:val="20"/>
          <w:vertAlign w:val="baseline"/>
        </w:rPr>
        <w:t>, in</w:t>
      </w:r>
      <w:r>
        <w:rPr>
          <w:spacing w:val="-4"/>
          <w:sz w:val="20"/>
          <w:vertAlign w:val="baseline"/>
        </w:rPr>
        <w:t> </w:t>
      </w:r>
      <w:r>
        <w:rPr>
          <w:sz w:val="20"/>
          <w:vertAlign w:val="baseline"/>
        </w:rPr>
        <w:t>particular:</w:t>
      </w:r>
    </w:p>
    <w:p>
      <w:pPr>
        <w:pStyle w:val="BodyText"/>
        <w:spacing w:before="5"/>
      </w:pPr>
    </w:p>
    <w:p>
      <w:pPr>
        <w:pStyle w:val="ListParagraph"/>
        <w:numPr>
          <w:ilvl w:val="1"/>
          <w:numId w:val="1"/>
        </w:numPr>
        <w:tabs>
          <w:tab w:pos="1277" w:val="left" w:leader="none"/>
        </w:tabs>
        <w:spacing w:line="360" w:lineRule="auto" w:before="0" w:after="0"/>
        <w:ind w:left="1276" w:right="113" w:hanging="360"/>
        <w:jc w:val="both"/>
        <w:rPr>
          <w:sz w:val="20"/>
        </w:rPr>
      </w:pPr>
      <w:r>
        <w:rPr>
          <w:sz w:val="20"/>
        </w:rPr>
        <w:t>Members agreed that ‘value transfer’ was a very important consideration. However there was diversity of views regarding how the concept of ‘value’ should be applied in a fallback</w:t>
      </w:r>
      <w:r>
        <w:rPr>
          <w:spacing w:val="-36"/>
          <w:sz w:val="20"/>
        </w:rPr>
        <w:t> </w:t>
      </w:r>
      <w:r>
        <w:rPr>
          <w:sz w:val="20"/>
        </w:rPr>
        <w:t>scenario.</w:t>
      </w:r>
    </w:p>
    <w:p>
      <w:pPr>
        <w:pStyle w:val="BodyText"/>
        <w:spacing w:line="360" w:lineRule="auto" w:before="119"/>
        <w:ind w:left="1276" w:right="110"/>
        <w:jc w:val="both"/>
      </w:pPr>
      <w:r>
        <w:rPr/>
        <w:t>There was also a debate around whether to include reference to market participants’ own balance sheets in terms of the impact of value transfer. Members came to the view that it  would be useful for respondents to consider matters from a broader perspective and the  market impact in general as opposed to mainly considering their own balance</w:t>
      </w:r>
      <w:r>
        <w:rPr>
          <w:spacing w:val="-19"/>
        </w:rPr>
        <w:t> </w:t>
      </w:r>
      <w:r>
        <w:rPr/>
        <w:t>sheets.</w:t>
      </w:r>
    </w:p>
    <w:p>
      <w:pPr>
        <w:pStyle w:val="ListParagraph"/>
        <w:numPr>
          <w:ilvl w:val="1"/>
          <w:numId w:val="1"/>
        </w:numPr>
        <w:tabs>
          <w:tab w:pos="1277" w:val="left" w:leader="none"/>
        </w:tabs>
        <w:spacing w:line="360" w:lineRule="auto" w:before="120" w:after="0"/>
        <w:ind w:left="1276" w:right="111" w:hanging="360"/>
        <w:jc w:val="both"/>
        <w:rPr>
          <w:sz w:val="20"/>
        </w:rPr>
      </w:pPr>
      <w:r>
        <w:rPr>
          <w:sz w:val="20"/>
        </w:rPr>
        <w:t>The extent to which the potential spread adjustment outcome being ‘bounded’ was positive or negative. It was agreed that there were both benefits and drawbacks of this in the context of the transition. One member noted that, in this context, there were benefits and drawbacks of uncertainty on the level of the credit spread</w:t>
      </w:r>
      <w:r>
        <w:rPr>
          <w:spacing w:val="-10"/>
          <w:sz w:val="20"/>
        </w:rPr>
        <w:t> </w:t>
      </w:r>
      <w:r>
        <w:rPr>
          <w:sz w:val="20"/>
        </w:rPr>
        <w:t>adjustment.</w:t>
      </w:r>
    </w:p>
    <w:p>
      <w:pPr>
        <w:pStyle w:val="ListParagraph"/>
        <w:numPr>
          <w:ilvl w:val="1"/>
          <w:numId w:val="1"/>
        </w:numPr>
        <w:tabs>
          <w:tab w:pos="1277" w:val="left" w:leader="none"/>
        </w:tabs>
        <w:spacing w:line="360" w:lineRule="auto" w:before="120" w:after="0"/>
        <w:ind w:left="1276" w:right="108" w:hanging="360"/>
        <w:jc w:val="both"/>
        <w:rPr>
          <w:sz w:val="20"/>
        </w:rPr>
      </w:pPr>
      <w:r>
        <w:rPr>
          <w:sz w:val="20"/>
        </w:rPr>
        <w:t>Whether to reference the importance of consistency in fallback approaches across different markets and products. Some participants highlighted the potential benefits of relatively consistent fallback approaches (including the triggers or fallbacks) between markets. The Working Group agreed to include this as a consideration but also noted that, whilst this </w:t>
      </w:r>
      <w:r>
        <w:rPr>
          <w:spacing w:val="2"/>
          <w:sz w:val="20"/>
        </w:rPr>
        <w:t>may </w:t>
      </w:r>
      <w:r>
        <w:rPr>
          <w:sz w:val="20"/>
        </w:rPr>
        <w:t>be desirable, it remained for individual market participants to consider their preferred</w:t>
      </w:r>
      <w:r>
        <w:rPr>
          <w:spacing w:val="-26"/>
          <w:sz w:val="20"/>
        </w:rPr>
        <w:t> </w:t>
      </w:r>
      <w:r>
        <w:rPr>
          <w:sz w:val="20"/>
        </w:rPr>
        <w:t>approach.</w:t>
      </w:r>
    </w:p>
    <w:p>
      <w:pPr>
        <w:pStyle w:val="BodyText"/>
      </w:pPr>
    </w:p>
    <w:p>
      <w:pPr>
        <w:pStyle w:val="BodyText"/>
      </w:pPr>
    </w:p>
    <w:p>
      <w:pPr>
        <w:pStyle w:val="BodyText"/>
        <w:spacing w:before="3"/>
        <w:rPr>
          <w:sz w:val="14"/>
        </w:rPr>
      </w:pPr>
      <w:r>
        <w:rPr/>
        <w:pict>
          <v:shape style="position:absolute;margin-left:63.84pt;margin-top:10.574219pt;width:144pt;height:.1pt;mso-position-horizontal-relative:page;mso-position-vertical-relative:paragraph;z-index:-251658240;mso-wrap-distance-left:0;mso-wrap-distance-right:0" coordorigin="1277,211" coordsize="2880,0" path="m1277,211l4157,211e" filled="false" stroked="true" strokeweight=".72pt" strokecolor="#000000">
            <v:path arrowok="t"/>
            <v:stroke dashstyle="solid"/>
            <w10:wrap type="topAndBottom"/>
          </v:shape>
        </w:pict>
      </w:r>
    </w:p>
    <w:p>
      <w:pPr>
        <w:pStyle w:val="BodyText"/>
        <w:spacing w:line="261" w:lineRule="exact" w:before="39"/>
        <w:ind w:left="196"/>
        <w:rPr>
          <w:rFonts w:ascii="Calibri"/>
        </w:rPr>
      </w:pPr>
      <w:bookmarkStart w:name="_bookmark0" w:id="1"/>
      <w:bookmarkEnd w:id="1"/>
      <w:r>
        <w:rPr/>
      </w:r>
      <w:r>
        <w:rPr>
          <w:rFonts w:ascii="Calibri"/>
          <w:position w:val="10"/>
          <w:sz w:val="13"/>
        </w:rPr>
        <w:t>1 </w:t>
      </w:r>
      <w:hyperlink r:id="rId5">
        <w:r>
          <w:rPr>
            <w:rFonts w:ascii="Calibri"/>
            <w:color w:val="0000FF"/>
            <w:u w:val="single" w:color="0000FF"/>
          </w:rPr>
          <w:t>https://www.isda.org/2018/07/12/interbank-offered-rate-ibor-fallbacks-for-2006-isda-definitions</w:t>
        </w:r>
      </w:hyperlink>
    </w:p>
    <w:p>
      <w:pPr>
        <w:pStyle w:val="BodyText"/>
        <w:spacing w:line="242" w:lineRule="exact" w:before="14"/>
        <w:ind w:left="196" w:hanging="1"/>
        <w:rPr>
          <w:rFonts w:ascii="Calibri"/>
        </w:rPr>
      </w:pPr>
      <w:bookmarkStart w:name="_bookmark1" w:id="2"/>
      <w:bookmarkEnd w:id="2"/>
      <w:r>
        <w:rPr/>
      </w:r>
      <w:r>
        <w:rPr>
          <w:rFonts w:ascii="Calibri"/>
          <w:position w:val="10"/>
          <w:sz w:val="13"/>
        </w:rPr>
        <w:t>2 </w:t>
      </w:r>
      <w:r>
        <w:rPr>
          <w:rFonts w:ascii="Calibri"/>
        </w:rPr>
        <w:t>The Working Group reiterates that market participants are free to have regard to any criteria they feel appropriate and to weight them as they see fit. Respondents should arrive at their own conclusions when responding to ISDA.</w:t>
      </w:r>
    </w:p>
    <w:p>
      <w:pPr>
        <w:spacing w:after="0" w:line="242" w:lineRule="exact"/>
        <w:rPr>
          <w:rFonts w:ascii="Calibri"/>
        </w:rPr>
        <w:sectPr>
          <w:type w:val="continuous"/>
          <w:pgSz w:w="11910" w:h="16840"/>
          <w:pgMar w:top="1180" w:bottom="280" w:left="1080" w:right="1020"/>
        </w:sectPr>
      </w:pPr>
    </w:p>
    <w:p>
      <w:pPr>
        <w:pStyle w:val="ListParagraph"/>
        <w:numPr>
          <w:ilvl w:val="1"/>
          <w:numId w:val="1"/>
        </w:numPr>
        <w:tabs>
          <w:tab w:pos="1277" w:val="left" w:leader="none"/>
        </w:tabs>
        <w:spacing w:line="360" w:lineRule="auto" w:before="75" w:after="0"/>
        <w:ind w:left="1276" w:right="108" w:hanging="360"/>
        <w:jc w:val="both"/>
        <w:rPr>
          <w:sz w:val="20"/>
        </w:rPr>
      </w:pPr>
      <w:r>
        <w:rPr>
          <w:sz w:val="20"/>
        </w:rPr>
        <w:t>Some members pointed out the importance of a widespread uptake of the fallback into legacy contracts. They considered that there would be material risks to the market and financial system associated with having large positions across old and new contractual</w:t>
      </w:r>
      <w:r>
        <w:rPr>
          <w:spacing w:val="-16"/>
          <w:sz w:val="20"/>
        </w:rPr>
        <w:t> </w:t>
      </w:r>
      <w:r>
        <w:rPr>
          <w:sz w:val="20"/>
        </w:rPr>
        <w:t>definitions.</w:t>
      </w:r>
    </w:p>
    <w:p>
      <w:pPr>
        <w:pStyle w:val="ListParagraph"/>
        <w:numPr>
          <w:ilvl w:val="0"/>
          <w:numId w:val="1"/>
        </w:numPr>
        <w:tabs>
          <w:tab w:pos="557" w:val="left" w:leader="none"/>
        </w:tabs>
        <w:spacing w:line="240" w:lineRule="auto" w:before="120" w:after="0"/>
        <w:ind w:left="556" w:right="0" w:hanging="361"/>
        <w:jc w:val="both"/>
        <w:rPr>
          <w:sz w:val="20"/>
        </w:rPr>
      </w:pPr>
      <w:r>
        <w:rPr>
          <w:sz w:val="20"/>
        </w:rPr>
        <w:t>It was agreed that the statement would be published on the working group’s</w:t>
      </w:r>
      <w:r>
        <w:rPr>
          <w:spacing w:val="-2"/>
          <w:sz w:val="20"/>
        </w:rPr>
        <w:t> </w:t>
      </w:r>
      <w:r>
        <w:rPr>
          <w:sz w:val="20"/>
        </w:rPr>
        <w:t>website</w:t>
      </w:r>
      <w:hyperlink w:history="true" w:anchor="_bookmark2">
        <w:r>
          <w:rPr>
            <w:sz w:val="20"/>
            <w:vertAlign w:val="superscript"/>
          </w:rPr>
          <w:t>3</w:t>
        </w:r>
      </w:hyperlink>
      <w:r>
        <w:rPr>
          <w:sz w:val="20"/>
          <w:vertAlign w:val="baseline"/>
        </w:rPr>
        <w:t>.</w:t>
      </w:r>
    </w:p>
    <w:p>
      <w:pPr>
        <w:pStyle w:val="Heading1"/>
        <w:spacing w:before="233"/>
      </w:pPr>
      <w:r>
        <w:rPr/>
        <w:t>Approach to legal risks associated with the Working Group’s work</w:t>
      </w:r>
    </w:p>
    <w:p>
      <w:pPr>
        <w:pStyle w:val="BodyText"/>
        <w:spacing w:before="5"/>
        <w:rPr>
          <w:b/>
        </w:rPr>
      </w:pPr>
    </w:p>
    <w:p>
      <w:pPr>
        <w:pStyle w:val="ListParagraph"/>
        <w:numPr>
          <w:ilvl w:val="0"/>
          <w:numId w:val="1"/>
        </w:numPr>
        <w:tabs>
          <w:tab w:pos="557" w:val="left" w:leader="none"/>
        </w:tabs>
        <w:spacing w:line="360" w:lineRule="auto" w:before="1" w:after="0"/>
        <w:ind w:left="556" w:right="113" w:hanging="360"/>
        <w:jc w:val="both"/>
        <w:rPr>
          <w:sz w:val="20"/>
        </w:rPr>
      </w:pPr>
      <w:r>
        <w:rPr>
          <w:sz w:val="20"/>
        </w:rPr>
        <w:t>The Bank of England highlighted some of the legislation and regulation which forms part of the legal environment in which the Working Group operates, and of which Working Group members should be cognisant when participating in</w:t>
      </w:r>
      <w:r>
        <w:rPr>
          <w:spacing w:val="2"/>
          <w:sz w:val="20"/>
        </w:rPr>
        <w:t> </w:t>
      </w:r>
      <w:r>
        <w:rPr>
          <w:sz w:val="20"/>
        </w:rPr>
        <w:t>meetings.</w:t>
      </w:r>
    </w:p>
    <w:p>
      <w:pPr>
        <w:pStyle w:val="ListParagraph"/>
        <w:numPr>
          <w:ilvl w:val="0"/>
          <w:numId w:val="1"/>
        </w:numPr>
        <w:tabs>
          <w:tab w:pos="557" w:val="left" w:leader="none"/>
        </w:tabs>
        <w:spacing w:line="360" w:lineRule="auto" w:before="121" w:after="0"/>
        <w:ind w:left="556" w:right="111" w:hanging="360"/>
        <w:jc w:val="both"/>
        <w:rPr>
          <w:sz w:val="20"/>
        </w:rPr>
      </w:pPr>
      <w:r>
        <w:rPr>
          <w:sz w:val="20"/>
        </w:rPr>
        <w:t>This legislation and regulation included the EU Market Abuse Regulation</w:t>
      </w:r>
      <w:hyperlink w:history="true" w:anchor="_bookmark3">
        <w:r>
          <w:rPr>
            <w:sz w:val="20"/>
            <w:vertAlign w:val="superscript"/>
          </w:rPr>
          <w:t>4</w:t>
        </w:r>
      </w:hyperlink>
      <w:r>
        <w:rPr>
          <w:sz w:val="20"/>
          <w:vertAlign w:val="baseline"/>
        </w:rPr>
        <w:t>, Senior Managers and Certification Regime, FCA Principles for Business and PRA Fundamental Rules for firms authorised under Part 4a of the Financial Services and Markets Act 2000, and Competition Law. The Working Group’s current approach was for individual members to obtain their own legal advice. In particular, it was highlighted that it was not the role of Bank of England and FCA in attendance at Working Group meetings to provide legal advice to members. Members had been asked to consider ahead of the meeting whether the Working Group employing external legal counsel might be</w:t>
      </w:r>
      <w:r>
        <w:rPr>
          <w:spacing w:val="-20"/>
          <w:sz w:val="20"/>
          <w:vertAlign w:val="baseline"/>
        </w:rPr>
        <w:t> </w:t>
      </w:r>
      <w:r>
        <w:rPr>
          <w:sz w:val="20"/>
          <w:vertAlign w:val="baseline"/>
        </w:rPr>
        <w:t>appropriate.</w:t>
      </w:r>
    </w:p>
    <w:p>
      <w:pPr>
        <w:pStyle w:val="ListParagraph"/>
        <w:numPr>
          <w:ilvl w:val="0"/>
          <w:numId w:val="1"/>
        </w:numPr>
        <w:tabs>
          <w:tab w:pos="557" w:val="left" w:leader="none"/>
        </w:tabs>
        <w:spacing w:line="360" w:lineRule="auto" w:before="120" w:after="0"/>
        <w:ind w:left="556" w:right="111" w:hanging="360"/>
        <w:jc w:val="both"/>
        <w:rPr>
          <w:sz w:val="20"/>
        </w:rPr>
      </w:pPr>
      <w:r>
        <w:rPr>
          <w:sz w:val="20"/>
        </w:rPr>
        <w:t>Members were asked to provide views via email to the secretariat on whether external legal counsel was desirable. The Bank of England, as secretariat, would present possible next steps at the next meeting in light of that</w:t>
      </w:r>
      <w:r>
        <w:rPr>
          <w:spacing w:val="-2"/>
          <w:sz w:val="20"/>
        </w:rPr>
        <w:t> </w:t>
      </w:r>
      <w:r>
        <w:rPr>
          <w:sz w:val="20"/>
        </w:rPr>
        <w:t>feedback.</w:t>
      </w:r>
    </w:p>
    <w:p>
      <w:pPr>
        <w:pStyle w:val="Heading1"/>
        <w:spacing w:before="117"/>
      </w:pPr>
      <w:r>
        <w:rPr/>
        <w:t>Sub-group and forum updates</w:t>
      </w:r>
    </w:p>
    <w:p>
      <w:pPr>
        <w:pStyle w:val="BodyText"/>
        <w:spacing w:before="6"/>
        <w:rPr>
          <w:b/>
        </w:rPr>
      </w:pPr>
    </w:p>
    <w:p>
      <w:pPr>
        <w:spacing w:before="0"/>
        <w:ind w:left="196" w:right="0" w:firstLine="0"/>
        <w:jc w:val="both"/>
        <w:rPr>
          <w:i/>
          <w:sz w:val="20"/>
        </w:rPr>
      </w:pPr>
      <w:r>
        <w:rPr>
          <w:i/>
          <w:sz w:val="20"/>
        </w:rPr>
        <w:t>Bond market sub-group</w:t>
      </w:r>
    </w:p>
    <w:p>
      <w:pPr>
        <w:pStyle w:val="BodyText"/>
        <w:spacing w:before="5"/>
        <w:rPr>
          <w:i/>
        </w:rPr>
      </w:pPr>
    </w:p>
    <w:p>
      <w:pPr>
        <w:pStyle w:val="ListParagraph"/>
        <w:numPr>
          <w:ilvl w:val="0"/>
          <w:numId w:val="1"/>
        </w:numPr>
        <w:tabs>
          <w:tab w:pos="612" w:val="left" w:leader="none"/>
        </w:tabs>
        <w:spacing w:line="360" w:lineRule="auto" w:before="0" w:after="0"/>
        <w:ind w:left="556" w:right="114" w:hanging="360"/>
        <w:jc w:val="both"/>
        <w:rPr>
          <w:sz w:val="20"/>
        </w:rPr>
      </w:pPr>
      <w:r>
        <w:rPr/>
        <w:tab/>
      </w:r>
      <w:r>
        <w:rPr>
          <w:sz w:val="20"/>
        </w:rPr>
        <w:t>The sub-group was drafting a consultation on proposed market conventions for referencing SONIA compounded over the interest period which would be submitted to the Working Group for approval and publication in the coming</w:t>
      </w:r>
      <w:r>
        <w:rPr>
          <w:spacing w:val="1"/>
          <w:sz w:val="20"/>
        </w:rPr>
        <w:t> </w:t>
      </w:r>
      <w:r>
        <w:rPr>
          <w:sz w:val="20"/>
        </w:rPr>
        <w:t>months.</w:t>
      </w:r>
    </w:p>
    <w:p>
      <w:pPr>
        <w:pStyle w:val="ListParagraph"/>
        <w:numPr>
          <w:ilvl w:val="0"/>
          <w:numId w:val="1"/>
        </w:numPr>
        <w:tabs>
          <w:tab w:pos="557" w:val="left" w:leader="none"/>
        </w:tabs>
        <w:spacing w:line="357" w:lineRule="auto" w:before="122" w:after="0"/>
        <w:ind w:left="556" w:right="112" w:hanging="361"/>
        <w:jc w:val="both"/>
        <w:rPr>
          <w:sz w:val="20"/>
        </w:rPr>
      </w:pPr>
      <w:r>
        <w:rPr>
          <w:sz w:val="20"/>
        </w:rPr>
        <w:t>It was noted that the Alternative Reference Rates Committee (ARRC – USD RFR committee) was planning a consultation imminently on USD LIBOR fallbacks in cash</w:t>
      </w:r>
      <w:r>
        <w:rPr>
          <w:spacing w:val="-4"/>
          <w:sz w:val="20"/>
        </w:rPr>
        <w:t> </w:t>
      </w:r>
      <w:r>
        <w:rPr>
          <w:sz w:val="20"/>
        </w:rPr>
        <w:t>products</w:t>
      </w:r>
      <w:hyperlink w:history="true" w:anchor="_bookmark4">
        <w:r>
          <w:rPr>
            <w:sz w:val="20"/>
            <w:vertAlign w:val="superscript"/>
          </w:rPr>
          <w:t>5</w:t>
        </w:r>
      </w:hyperlink>
      <w:r>
        <w:rPr>
          <w:sz w:val="20"/>
          <w:vertAlign w:val="baseline"/>
        </w:rPr>
        <w:t>.</w:t>
      </w:r>
    </w:p>
    <w:p>
      <w:pPr>
        <w:spacing w:before="121"/>
        <w:ind w:left="196" w:right="0" w:firstLine="0"/>
        <w:jc w:val="both"/>
        <w:rPr>
          <w:i/>
          <w:sz w:val="20"/>
        </w:rPr>
      </w:pPr>
      <w:r>
        <w:rPr>
          <w:i/>
          <w:sz w:val="20"/>
        </w:rPr>
        <w:t>Loan market sub-group</w:t>
      </w:r>
    </w:p>
    <w:p>
      <w:pPr>
        <w:pStyle w:val="BodyText"/>
        <w:spacing w:before="8"/>
        <w:rPr>
          <w:i/>
        </w:rPr>
      </w:pPr>
    </w:p>
    <w:p>
      <w:pPr>
        <w:pStyle w:val="ListParagraph"/>
        <w:numPr>
          <w:ilvl w:val="0"/>
          <w:numId w:val="1"/>
        </w:numPr>
        <w:tabs>
          <w:tab w:pos="557" w:val="left" w:leader="none"/>
        </w:tabs>
        <w:spacing w:line="360" w:lineRule="auto" w:before="0" w:after="0"/>
        <w:ind w:left="556" w:right="114" w:hanging="361"/>
        <w:jc w:val="both"/>
        <w:rPr>
          <w:sz w:val="20"/>
        </w:rPr>
      </w:pPr>
      <w:r>
        <w:rPr>
          <w:sz w:val="20"/>
        </w:rPr>
        <w:t>The sub-group would be participating in the drafting on the aforementioned consultation on proposed market conventions for referencing SONIA compounded over the interest period to make it relevant to loan</w:t>
      </w:r>
      <w:r>
        <w:rPr>
          <w:spacing w:val="-2"/>
          <w:sz w:val="20"/>
        </w:rPr>
        <w:t> </w:t>
      </w:r>
      <w:r>
        <w:rPr>
          <w:sz w:val="20"/>
        </w:rPr>
        <w:t>markets.</w:t>
      </w:r>
    </w:p>
    <w:p>
      <w:pPr>
        <w:pStyle w:val="BodyText"/>
      </w:pPr>
    </w:p>
    <w:p>
      <w:pPr>
        <w:pStyle w:val="BodyText"/>
      </w:pPr>
    </w:p>
    <w:p>
      <w:pPr>
        <w:pStyle w:val="BodyText"/>
      </w:pPr>
    </w:p>
    <w:p>
      <w:pPr>
        <w:pStyle w:val="BodyText"/>
      </w:pPr>
    </w:p>
    <w:p>
      <w:pPr>
        <w:pStyle w:val="BodyText"/>
        <w:spacing w:before="9"/>
        <w:rPr>
          <w:sz w:val="18"/>
        </w:rPr>
      </w:pPr>
      <w:r>
        <w:rPr/>
        <w:pict>
          <v:shape style="position:absolute;margin-left:63.84pt;margin-top:13.197832pt;width:144pt;height:.1pt;mso-position-horizontal-relative:page;mso-position-vertical-relative:paragraph;z-index:-251657216;mso-wrap-distance-left:0;mso-wrap-distance-right:0" coordorigin="1277,264" coordsize="2880,0" path="m1277,264l4157,264e" filled="false" stroked="true" strokeweight=".72pt" strokecolor="#000000">
            <v:path arrowok="t"/>
            <v:stroke dashstyle="solid"/>
            <w10:wrap type="topAndBottom"/>
          </v:shape>
        </w:pict>
      </w:r>
    </w:p>
    <w:p>
      <w:pPr>
        <w:pStyle w:val="BodyText"/>
        <w:spacing w:before="39"/>
        <w:ind w:left="196" w:right="237"/>
        <w:rPr>
          <w:rFonts w:ascii="Calibri"/>
        </w:rPr>
      </w:pPr>
      <w:bookmarkStart w:name="_bookmark2" w:id="3"/>
      <w:bookmarkEnd w:id="3"/>
      <w:r>
        <w:rPr/>
      </w:r>
      <w:r>
        <w:rPr>
          <w:rFonts w:ascii="Calibri"/>
          <w:position w:val="10"/>
          <w:sz w:val="13"/>
        </w:rPr>
        <w:t>3 </w:t>
      </w:r>
      <w:hyperlink r:id="rId6">
        <w:r>
          <w:rPr>
            <w:rFonts w:ascii="Calibri"/>
            <w:color w:val="0000FF"/>
            <w:u w:val="single" w:color="0000FF"/>
          </w:rPr>
          <w:t>https://www.bankofengland.co.uk/-/media/boe/files/markets/benchmarks/considerations-around-credit-spread-</w:t>
        </w:r>
      </w:hyperlink>
      <w:r>
        <w:rPr>
          <w:rFonts w:ascii="Calibri"/>
          <w:color w:val="0000FF"/>
        </w:rPr>
        <w:t> </w:t>
      </w:r>
      <w:hyperlink r:id="rId6">
        <w:r>
          <w:rPr>
            <w:rFonts w:ascii="Calibri"/>
            <w:color w:val="0000FF"/>
            <w:u w:val="single" w:color="0000FF"/>
          </w:rPr>
          <w:t>adjustment-options-in-isda-consultation-on-fallback-</w:t>
        </w:r>
      </w:hyperlink>
      <w:r>
        <w:rPr>
          <w:rFonts w:ascii="Calibri"/>
          <w:color w:val="0000FF"/>
        </w:rPr>
        <w:t> </w:t>
      </w:r>
      <w:hyperlink r:id="rId6">
        <w:r>
          <w:rPr>
            <w:rFonts w:ascii="Calibri"/>
            <w:color w:val="0000FF"/>
            <w:u w:val="single" w:color="0000FF"/>
          </w:rPr>
          <w:t>rates.pdf?la=en&amp;hash=3EF522B0034C85B0699CA39A81F5A45DF904474C</w:t>
        </w:r>
      </w:hyperlink>
    </w:p>
    <w:p>
      <w:pPr>
        <w:pStyle w:val="BodyText"/>
        <w:spacing w:line="244" w:lineRule="exact"/>
        <w:ind w:left="196"/>
        <w:rPr>
          <w:rFonts w:ascii="Calibri"/>
        </w:rPr>
      </w:pPr>
      <w:bookmarkStart w:name="_bookmark3" w:id="4"/>
      <w:bookmarkEnd w:id="4"/>
      <w:r>
        <w:rPr/>
      </w:r>
      <w:r>
        <w:rPr>
          <w:rFonts w:ascii="Calibri"/>
          <w:position w:val="10"/>
          <w:sz w:val="13"/>
        </w:rPr>
        <w:t>4 </w:t>
      </w:r>
      <w:r>
        <w:rPr>
          <w:rFonts w:ascii="Calibri"/>
        </w:rPr>
        <w:t>Regulation (EU) No 596/2014 of the European Parliament and of the Council of 16 April 2014 on market abuse</w:t>
      </w:r>
    </w:p>
    <w:p>
      <w:pPr>
        <w:pStyle w:val="BodyText"/>
        <w:spacing w:before="1"/>
        <w:ind w:left="196" w:right="386"/>
        <w:rPr>
          <w:rFonts w:ascii="Calibri"/>
        </w:rPr>
      </w:pPr>
      <w:r>
        <w:rPr>
          <w:rFonts w:ascii="Calibri"/>
        </w:rPr>
        <w:t>(market abuse regulation|) and repealing Directive 2003/6/EC of the European Parliament and of the Council and Commission Directives 2003/124/EC, 2003/125/EC and 2004/72/EC Text with EEA relevance</w:t>
      </w:r>
    </w:p>
    <w:p>
      <w:pPr>
        <w:pStyle w:val="BodyText"/>
        <w:spacing w:line="245" w:lineRule="exact"/>
        <w:ind w:left="196"/>
        <w:rPr>
          <w:rFonts w:ascii="Calibri"/>
        </w:rPr>
      </w:pPr>
      <w:bookmarkStart w:name="_bookmark4" w:id="5"/>
      <w:bookmarkEnd w:id="5"/>
      <w:r>
        <w:rPr/>
      </w:r>
      <w:r>
        <w:rPr>
          <w:rFonts w:ascii="Calibri"/>
          <w:position w:val="10"/>
          <w:sz w:val="13"/>
        </w:rPr>
        <w:t>5 </w:t>
      </w:r>
      <w:r>
        <w:rPr>
          <w:rFonts w:ascii="Calibri"/>
        </w:rPr>
        <w:t>The consultation was subsequently published and can be found here:</w:t>
      </w:r>
    </w:p>
    <w:p>
      <w:pPr>
        <w:pStyle w:val="BodyText"/>
        <w:spacing w:line="243" w:lineRule="exact"/>
        <w:ind w:left="196"/>
        <w:rPr>
          <w:rFonts w:ascii="Calibri"/>
        </w:rPr>
      </w:pPr>
      <w:hyperlink r:id="rId7">
        <w:r>
          <w:rPr>
            <w:rFonts w:ascii="Calibri"/>
            <w:color w:val="0000FF"/>
            <w:u w:val="single" w:color="0000FF"/>
          </w:rPr>
          <w:t>https://www.newyorkfed.org/medialibrary/Microsites/arrc/files/2018/ARRC-Sept-24-2018-announcement.pdf</w:t>
        </w:r>
      </w:hyperlink>
    </w:p>
    <w:p>
      <w:pPr>
        <w:spacing w:after="0" w:line="243" w:lineRule="exact"/>
        <w:rPr>
          <w:rFonts w:ascii="Calibri"/>
        </w:rPr>
        <w:sectPr>
          <w:pgSz w:w="11910" w:h="16840"/>
          <w:pgMar w:top="1180" w:bottom="280" w:left="1080" w:right="1020"/>
        </w:sectPr>
      </w:pPr>
    </w:p>
    <w:p>
      <w:pPr>
        <w:pStyle w:val="ListParagraph"/>
        <w:numPr>
          <w:ilvl w:val="0"/>
          <w:numId w:val="1"/>
        </w:numPr>
        <w:tabs>
          <w:tab w:pos="557" w:val="left" w:leader="none"/>
        </w:tabs>
        <w:spacing w:line="360" w:lineRule="auto" w:before="75" w:after="0"/>
        <w:ind w:left="556" w:right="111" w:hanging="361"/>
        <w:jc w:val="both"/>
        <w:rPr>
          <w:sz w:val="20"/>
        </w:rPr>
      </w:pPr>
      <w:r>
        <w:rPr>
          <w:sz w:val="20"/>
        </w:rPr>
        <w:t>The sub-group was also drafting a paper on the risks of transacting loans linked to LIBOR maturing beyond 2021, similar to the paper published by the Working Group in July on the same topic for bonds</w:t>
      </w:r>
      <w:hyperlink w:history="true" w:anchor="_bookmark5">
        <w:r>
          <w:rPr>
            <w:sz w:val="20"/>
            <w:vertAlign w:val="superscript"/>
          </w:rPr>
          <w:t>6</w:t>
        </w:r>
      </w:hyperlink>
      <w:r>
        <w:rPr>
          <w:sz w:val="20"/>
          <w:vertAlign w:val="baseline"/>
        </w:rPr>
        <w:t>, to be approved and published by the Working Group in the coming</w:t>
      </w:r>
      <w:r>
        <w:rPr>
          <w:spacing w:val="-15"/>
          <w:sz w:val="20"/>
          <w:vertAlign w:val="baseline"/>
        </w:rPr>
        <w:t> </w:t>
      </w:r>
      <w:r>
        <w:rPr>
          <w:sz w:val="20"/>
          <w:vertAlign w:val="baseline"/>
        </w:rPr>
        <w:t>weeks.</w:t>
      </w:r>
    </w:p>
    <w:p>
      <w:pPr>
        <w:pStyle w:val="ListParagraph"/>
        <w:numPr>
          <w:ilvl w:val="0"/>
          <w:numId w:val="1"/>
        </w:numPr>
        <w:tabs>
          <w:tab w:pos="557" w:val="left" w:leader="none"/>
        </w:tabs>
        <w:spacing w:line="360" w:lineRule="auto" w:before="120" w:after="0"/>
        <w:ind w:left="556" w:right="111" w:hanging="361"/>
        <w:jc w:val="both"/>
        <w:rPr>
          <w:sz w:val="20"/>
        </w:rPr>
      </w:pPr>
      <w:r>
        <w:rPr>
          <w:sz w:val="20"/>
        </w:rPr>
        <w:t>The sub-group chair (also CEO of the Loan Market Association (LMA)) flagged that the Association of Corporate Treasurers and LMA had recently updated their guide to RFR transition</w:t>
      </w:r>
      <w:hyperlink w:history="true" w:anchor="_bookmark6">
        <w:r>
          <w:rPr>
            <w:sz w:val="20"/>
            <w:vertAlign w:val="superscript"/>
          </w:rPr>
          <w:t>7</w:t>
        </w:r>
      </w:hyperlink>
      <w:r>
        <w:rPr>
          <w:sz w:val="20"/>
          <w:vertAlign w:val="baseline"/>
        </w:rPr>
        <w:t>. The forthcoming LMA conference on 25</w:t>
      </w:r>
      <w:r>
        <w:rPr>
          <w:sz w:val="20"/>
          <w:vertAlign w:val="superscript"/>
        </w:rPr>
        <w:t>th</w:t>
      </w:r>
      <w:r>
        <w:rPr>
          <w:sz w:val="20"/>
          <w:vertAlign w:val="baseline"/>
        </w:rPr>
        <w:t> September 2018 would include a panel on RFR transition. She noted that awareness of the need to transition remained low outside of the large financial</w:t>
      </w:r>
      <w:r>
        <w:rPr>
          <w:spacing w:val="-12"/>
          <w:sz w:val="20"/>
          <w:vertAlign w:val="baseline"/>
        </w:rPr>
        <w:t> </w:t>
      </w:r>
      <w:r>
        <w:rPr>
          <w:sz w:val="20"/>
          <w:vertAlign w:val="baseline"/>
        </w:rPr>
        <w:t>centres.</w:t>
      </w:r>
    </w:p>
    <w:p>
      <w:pPr>
        <w:spacing w:before="117"/>
        <w:ind w:left="197" w:right="0" w:firstLine="0"/>
        <w:jc w:val="both"/>
        <w:rPr>
          <w:i/>
          <w:sz w:val="20"/>
        </w:rPr>
      </w:pPr>
      <w:r>
        <w:rPr>
          <w:i/>
          <w:sz w:val="20"/>
        </w:rPr>
        <w:t>Communications &amp; Outreach sub-group</w:t>
      </w:r>
    </w:p>
    <w:p>
      <w:pPr>
        <w:pStyle w:val="BodyText"/>
        <w:spacing w:before="8"/>
        <w:rPr>
          <w:i/>
        </w:rPr>
      </w:pPr>
    </w:p>
    <w:p>
      <w:pPr>
        <w:pStyle w:val="ListParagraph"/>
        <w:numPr>
          <w:ilvl w:val="0"/>
          <w:numId w:val="1"/>
        </w:numPr>
        <w:tabs>
          <w:tab w:pos="558" w:val="left" w:leader="none"/>
        </w:tabs>
        <w:spacing w:line="360" w:lineRule="auto" w:before="0" w:after="0"/>
        <w:ind w:left="557" w:right="111" w:hanging="361"/>
        <w:jc w:val="both"/>
        <w:rPr>
          <w:sz w:val="20"/>
        </w:rPr>
      </w:pPr>
      <w:r>
        <w:rPr>
          <w:sz w:val="20"/>
        </w:rPr>
        <w:t>In terms of immediate deliverables, the sub-group was preparing a ‘starter pack’ of key facts and messages in relation to RFR transition designed to improve awareness amongst those with less familiarity with the topic. The pack would be presented to the Working Group for approval before publication. The sub-group was also preparing a draft newsletter to be circulated frequently (either quarterly or monthly) to give regular key updates on RFR</w:t>
      </w:r>
      <w:r>
        <w:rPr>
          <w:spacing w:val="-9"/>
          <w:sz w:val="20"/>
        </w:rPr>
        <w:t> </w:t>
      </w:r>
      <w:r>
        <w:rPr>
          <w:sz w:val="20"/>
        </w:rPr>
        <w:t>transition.</w:t>
      </w:r>
    </w:p>
    <w:p>
      <w:pPr>
        <w:pStyle w:val="ListParagraph"/>
        <w:numPr>
          <w:ilvl w:val="0"/>
          <w:numId w:val="1"/>
        </w:numPr>
        <w:tabs>
          <w:tab w:pos="558" w:val="left" w:leader="none"/>
        </w:tabs>
        <w:spacing w:line="360" w:lineRule="auto" w:before="119" w:after="0"/>
        <w:ind w:left="557" w:right="114" w:hanging="361"/>
        <w:jc w:val="both"/>
        <w:rPr>
          <w:sz w:val="20"/>
        </w:rPr>
      </w:pPr>
      <w:r>
        <w:rPr>
          <w:sz w:val="20"/>
        </w:rPr>
        <w:t>In the longer term, the sub-group would be formulating a media strategy to boost engagement as well as developing a targeted stakeholder outreach</w:t>
      </w:r>
      <w:r>
        <w:rPr>
          <w:spacing w:val="-2"/>
          <w:sz w:val="20"/>
        </w:rPr>
        <w:t> </w:t>
      </w:r>
      <w:r>
        <w:rPr>
          <w:sz w:val="20"/>
        </w:rPr>
        <w:t>approach.</w:t>
      </w:r>
    </w:p>
    <w:p>
      <w:pPr>
        <w:spacing w:before="119"/>
        <w:ind w:left="197" w:right="0" w:firstLine="0"/>
        <w:jc w:val="both"/>
        <w:rPr>
          <w:i/>
          <w:sz w:val="20"/>
        </w:rPr>
      </w:pPr>
      <w:r>
        <w:rPr>
          <w:i/>
          <w:sz w:val="20"/>
        </w:rPr>
        <w:t>Pension Funds &amp; Insurance Company sub-group</w:t>
      </w:r>
    </w:p>
    <w:p>
      <w:pPr>
        <w:pStyle w:val="BodyText"/>
        <w:spacing w:before="5"/>
        <w:rPr>
          <w:i/>
        </w:rPr>
      </w:pPr>
    </w:p>
    <w:p>
      <w:pPr>
        <w:pStyle w:val="ListParagraph"/>
        <w:numPr>
          <w:ilvl w:val="0"/>
          <w:numId w:val="1"/>
        </w:numPr>
        <w:tabs>
          <w:tab w:pos="558" w:val="left" w:leader="none"/>
        </w:tabs>
        <w:spacing w:line="360" w:lineRule="auto" w:before="0" w:after="0"/>
        <w:ind w:left="557" w:right="110" w:hanging="360"/>
        <w:jc w:val="both"/>
        <w:rPr>
          <w:sz w:val="20"/>
        </w:rPr>
      </w:pPr>
      <w:r>
        <w:rPr>
          <w:sz w:val="20"/>
        </w:rPr>
        <w:t>The sub-group was continuing to work on a forthcoming presentation to EIOPA’s working group on risk-free curves regarding RFR transition. As part of this they had engaged members of the Working Group on Euro Risk-Free Rates given the relevance of the topics to both working</w:t>
      </w:r>
      <w:r>
        <w:rPr>
          <w:spacing w:val="-13"/>
          <w:sz w:val="20"/>
        </w:rPr>
        <w:t> </w:t>
      </w:r>
      <w:r>
        <w:rPr>
          <w:sz w:val="20"/>
        </w:rPr>
        <w:t>groups.</w:t>
      </w:r>
    </w:p>
    <w:p>
      <w:pPr>
        <w:spacing w:before="120"/>
        <w:ind w:left="197" w:right="0" w:firstLine="0"/>
        <w:jc w:val="both"/>
        <w:rPr>
          <w:i/>
          <w:sz w:val="20"/>
        </w:rPr>
      </w:pPr>
      <w:r>
        <w:rPr>
          <w:i/>
          <w:sz w:val="20"/>
        </w:rPr>
        <w:t>Cross-currency swap sub-group</w:t>
      </w:r>
    </w:p>
    <w:p>
      <w:pPr>
        <w:pStyle w:val="BodyText"/>
        <w:spacing w:before="5"/>
        <w:rPr>
          <w:i/>
        </w:rPr>
      </w:pPr>
    </w:p>
    <w:p>
      <w:pPr>
        <w:pStyle w:val="ListParagraph"/>
        <w:numPr>
          <w:ilvl w:val="0"/>
          <w:numId w:val="1"/>
        </w:numPr>
        <w:tabs>
          <w:tab w:pos="558" w:val="left" w:leader="none"/>
        </w:tabs>
        <w:spacing w:line="360" w:lineRule="auto" w:before="0" w:after="0"/>
        <w:ind w:left="557" w:right="105" w:hanging="360"/>
        <w:jc w:val="both"/>
        <w:rPr>
          <w:sz w:val="20"/>
        </w:rPr>
      </w:pPr>
      <w:r>
        <w:rPr>
          <w:sz w:val="20"/>
        </w:rPr>
        <w:t>The ARRC had convened a sub-group with membership from RFR working groups in different currency jurisdictions to look at this topic. The sub-group was undertaking technical work to understand key transition issues in this</w:t>
      </w:r>
      <w:r>
        <w:rPr>
          <w:spacing w:val="-1"/>
          <w:sz w:val="20"/>
        </w:rPr>
        <w:t> </w:t>
      </w:r>
      <w:r>
        <w:rPr>
          <w:sz w:val="20"/>
        </w:rPr>
        <w:t>area.</w:t>
      </w:r>
    </w:p>
    <w:p>
      <w:pPr>
        <w:spacing w:before="120"/>
        <w:ind w:left="197" w:right="0" w:firstLine="0"/>
        <w:jc w:val="both"/>
        <w:rPr>
          <w:i/>
          <w:sz w:val="20"/>
        </w:rPr>
      </w:pPr>
      <w:r>
        <w:rPr>
          <w:i/>
          <w:sz w:val="20"/>
        </w:rPr>
        <w:t>Infrastructure sub-group</w:t>
      </w:r>
    </w:p>
    <w:p>
      <w:pPr>
        <w:pStyle w:val="BodyText"/>
        <w:spacing w:before="5"/>
        <w:rPr>
          <w:i/>
        </w:rPr>
      </w:pPr>
    </w:p>
    <w:p>
      <w:pPr>
        <w:pStyle w:val="ListParagraph"/>
        <w:numPr>
          <w:ilvl w:val="0"/>
          <w:numId w:val="1"/>
        </w:numPr>
        <w:tabs>
          <w:tab w:pos="558" w:val="left" w:leader="none"/>
        </w:tabs>
        <w:spacing w:line="360" w:lineRule="auto" w:before="0" w:after="0"/>
        <w:ind w:left="557" w:right="113" w:hanging="361"/>
        <w:jc w:val="both"/>
        <w:rPr>
          <w:sz w:val="20"/>
        </w:rPr>
      </w:pPr>
      <w:r>
        <w:rPr>
          <w:sz w:val="20"/>
        </w:rPr>
        <w:t>The Working Group briefly discussed the infrastructure sub-group, outlining that work was ongoing on drafting the Terms of References and establishing the</w:t>
      </w:r>
      <w:r>
        <w:rPr>
          <w:spacing w:val="-5"/>
          <w:sz w:val="20"/>
        </w:rPr>
        <w:t> </w:t>
      </w:r>
      <w:r>
        <w:rPr>
          <w:sz w:val="20"/>
        </w:rPr>
        <w:t>membership.</w:t>
      </w:r>
    </w:p>
    <w:p>
      <w:pPr>
        <w:spacing w:before="119"/>
        <w:ind w:left="197" w:right="0" w:firstLine="0"/>
        <w:jc w:val="both"/>
        <w:rPr>
          <w:i/>
          <w:sz w:val="20"/>
        </w:rPr>
      </w:pPr>
      <w:r>
        <w:rPr>
          <w:i/>
          <w:sz w:val="20"/>
        </w:rPr>
        <w:t>Banking Industry forum</w:t>
      </w:r>
    </w:p>
    <w:p>
      <w:pPr>
        <w:pStyle w:val="BodyText"/>
        <w:spacing w:before="8"/>
        <w:rPr>
          <w:i/>
        </w:rPr>
      </w:pPr>
    </w:p>
    <w:p>
      <w:pPr>
        <w:pStyle w:val="ListParagraph"/>
        <w:numPr>
          <w:ilvl w:val="0"/>
          <w:numId w:val="1"/>
        </w:numPr>
        <w:tabs>
          <w:tab w:pos="558" w:val="left" w:leader="none"/>
        </w:tabs>
        <w:spacing w:line="360" w:lineRule="auto" w:before="0" w:after="0"/>
        <w:ind w:left="557" w:right="114" w:hanging="361"/>
        <w:jc w:val="both"/>
        <w:rPr>
          <w:sz w:val="20"/>
        </w:rPr>
      </w:pPr>
      <w:r>
        <w:rPr>
          <w:sz w:val="20"/>
        </w:rPr>
        <w:t>The forum had discussed the ongoing work on cash market conventions for referencing SONIA compounded over the interest period and had noted the need to ensure alignment, where appropriate, with derivative market</w:t>
      </w:r>
      <w:r>
        <w:rPr>
          <w:spacing w:val="-2"/>
          <w:sz w:val="20"/>
        </w:rPr>
        <w:t> </w:t>
      </w:r>
      <w:r>
        <w:rPr>
          <w:sz w:val="20"/>
        </w:rPr>
        <w:t>conventions.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pict>
          <v:shape style="position:absolute;margin-left:63.84pt;margin-top:16.503223pt;width:144pt;height:.1pt;mso-position-horizontal-relative:page;mso-position-vertical-relative:paragraph;z-index:-251656192;mso-wrap-distance-left:0;mso-wrap-distance-right:0" coordorigin="1277,330" coordsize="2880,0" path="m1277,330l4157,330e" filled="false" stroked="true" strokeweight=".72pt" strokecolor="#000000">
            <v:path arrowok="t"/>
            <v:stroke dashstyle="solid"/>
            <w10:wrap type="topAndBottom"/>
          </v:shape>
        </w:pict>
      </w:r>
    </w:p>
    <w:p>
      <w:pPr>
        <w:pStyle w:val="BodyText"/>
        <w:spacing w:line="223" w:lineRule="auto" w:before="52"/>
        <w:ind w:left="196" w:right="448"/>
        <w:rPr>
          <w:rFonts w:ascii="Calibri"/>
        </w:rPr>
      </w:pPr>
      <w:bookmarkStart w:name="_bookmark5" w:id="6"/>
      <w:bookmarkEnd w:id="6"/>
      <w:r>
        <w:rPr/>
      </w:r>
      <w:r>
        <w:rPr>
          <w:rFonts w:ascii="Calibri"/>
          <w:position w:val="10"/>
          <w:sz w:val="13"/>
        </w:rPr>
        <w:t>6 </w:t>
      </w:r>
      <w:hyperlink r:id="rId8">
        <w:r>
          <w:rPr>
            <w:rFonts w:ascii="Calibri"/>
            <w:color w:val="0000FF"/>
            <w:u w:val="single" w:color="0000FF"/>
          </w:rPr>
          <w:t>https://www.bankofengland.co.uk/-/media/boe/files/markets/benchmarks/risk-free-reference-rates-new-</w:t>
        </w:r>
      </w:hyperlink>
      <w:r>
        <w:rPr>
          <w:rFonts w:ascii="Calibri"/>
          <w:color w:val="0000FF"/>
        </w:rPr>
        <w:t> </w:t>
      </w:r>
      <w:hyperlink r:id="rId8">
        <w:r>
          <w:rPr>
            <w:rFonts w:ascii="Calibri"/>
            <w:color w:val="0000FF"/>
            <w:w w:val="95"/>
            <w:u w:val="single" w:color="0000FF"/>
          </w:rPr>
          <w:t>issuance-of-sterling-bonds-referencing-libor.pdf?la=en&amp;hash=12F13D37E21F4B789813ED7386F34DA347370323</w:t>
        </w:r>
      </w:hyperlink>
      <w:r>
        <w:rPr>
          <w:rFonts w:ascii="Calibri"/>
          <w:color w:val="0000FF"/>
          <w:w w:val="95"/>
        </w:rPr>
        <w:t>         </w:t>
      </w:r>
      <w:bookmarkStart w:name="_bookmark6" w:id="7"/>
      <w:bookmarkEnd w:id="7"/>
      <w:r>
        <w:rPr>
          <w:rFonts w:ascii="Calibri"/>
          <w:color w:val="0000FF"/>
          <w:w w:val="95"/>
        </w:rPr>
      </w:r>
      <w:r>
        <w:rPr>
          <w:rFonts w:ascii="Calibri"/>
          <w:color w:val="0000FF"/>
          <w:w w:val="95"/>
        </w:rPr>
        <w:t> </w:t>
      </w:r>
      <w:r>
        <w:rPr>
          <w:rFonts w:ascii="Calibri"/>
          <w:position w:val="10"/>
          <w:sz w:val="13"/>
        </w:rPr>
        <w:t>7</w:t>
      </w:r>
      <w:r>
        <w:rPr>
          <w:rFonts w:ascii="Calibri"/>
          <w:spacing w:val="-4"/>
          <w:position w:val="10"/>
          <w:sz w:val="13"/>
        </w:rPr>
        <w:t> </w:t>
      </w:r>
      <w:hyperlink r:id="rId9">
        <w:r>
          <w:rPr>
            <w:rFonts w:ascii="Calibri"/>
            <w:color w:val="0000FF"/>
            <w:u w:val="single" w:color="0000FF"/>
          </w:rPr>
          <w:t>https://www.lma.eu.com/application/files/1215/3726/6638/LMA_and_ACT_LIBOR_Guide_second_edition.pdf</w:t>
        </w:r>
      </w:hyperlink>
    </w:p>
    <w:p>
      <w:pPr>
        <w:spacing w:after="0" w:line="223" w:lineRule="auto"/>
        <w:rPr>
          <w:rFonts w:ascii="Calibri"/>
        </w:rPr>
        <w:sectPr>
          <w:pgSz w:w="11910" w:h="16840"/>
          <w:pgMar w:top="1180" w:bottom="280" w:left="1080" w:right="1020"/>
        </w:sectPr>
      </w:pPr>
    </w:p>
    <w:p>
      <w:pPr>
        <w:spacing w:before="73"/>
        <w:ind w:left="196" w:right="0" w:firstLine="0"/>
        <w:jc w:val="both"/>
        <w:rPr>
          <w:i/>
          <w:sz w:val="20"/>
        </w:rPr>
      </w:pPr>
      <w:r>
        <w:rPr>
          <w:i/>
          <w:sz w:val="20"/>
        </w:rPr>
        <w:t>Non-financial corporate forum</w:t>
      </w:r>
    </w:p>
    <w:p>
      <w:pPr>
        <w:pStyle w:val="BodyText"/>
        <w:spacing w:before="5"/>
        <w:rPr>
          <w:i/>
        </w:rPr>
      </w:pPr>
    </w:p>
    <w:p>
      <w:pPr>
        <w:pStyle w:val="ListParagraph"/>
        <w:numPr>
          <w:ilvl w:val="0"/>
          <w:numId w:val="1"/>
        </w:numPr>
        <w:tabs>
          <w:tab w:pos="557" w:val="left" w:leader="none"/>
        </w:tabs>
        <w:spacing w:line="360" w:lineRule="auto" w:before="0" w:after="0"/>
        <w:ind w:left="556" w:right="113" w:hanging="360"/>
        <w:jc w:val="both"/>
        <w:rPr>
          <w:sz w:val="20"/>
        </w:rPr>
      </w:pPr>
      <w:r>
        <w:rPr>
          <w:sz w:val="20"/>
        </w:rPr>
        <w:t>The last meeting of the forum had been an educational session in which ISDA had given a presentation on the fallback consultation and the Term SONIA Reference Rates sub-group chair had presented on the recent consultation closing 30</w:t>
      </w:r>
      <w:r>
        <w:rPr>
          <w:sz w:val="20"/>
          <w:vertAlign w:val="superscript"/>
        </w:rPr>
        <w:t>th</w:t>
      </w:r>
      <w:r>
        <w:rPr>
          <w:sz w:val="20"/>
          <w:vertAlign w:val="baseline"/>
        </w:rPr>
        <w:t> September </w:t>
      </w:r>
      <w:r>
        <w:rPr>
          <w:spacing w:val="2"/>
          <w:sz w:val="20"/>
          <w:vertAlign w:val="baseline"/>
        </w:rPr>
        <w:t>2018</w:t>
      </w:r>
      <w:hyperlink w:history="true" w:anchor="_bookmark7">
        <w:r>
          <w:rPr>
            <w:spacing w:val="2"/>
            <w:sz w:val="20"/>
            <w:vertAlign w:val="superscript"/>
          </w:rPr>
          <w:t>8</w:t>
        </w:r>
        <w:r>
          <w:rPr>
            <w:spacing w:val="-6"/>
            <w:sz w:val="20"/>
            <w:vertAlign w:val="baseline"/>
          </w:rPr>
          <w:t> </w:t>
        </w:r>
      </w:hyperlink>
      <w:r>
        <w:rPr>
          <w:sz w:val="20"/>
          <w:vertAlign w:val="baseline"/>
        </w:rPr>
        <w:t>.</w:t>
      </w:r>
    </w:p>
    <w:p>
      <w:pPr>
        <w:spacing w:before="120"/>
        <w:ind w:left="196" w:right="0" w:firstLine="0"/>
        <w:jc w:val="both"/>
        <w:rPr>
          <w:i/>
          <w:sz w:val="20"/>
        </w:rPr>
      </w:pPr>
      <w:r>
        <w:rPr>
          <w:i/>
          <w:sz w:val="20"/>
        </w:rPr>
        <w:t>Investment Managers forum</w:t>
      </w:r>
    </w:p>
    <w:p>
      <w:pPr>
        <w:pStyle w:val="BodyText"/>
        <w:spacing w:before="5"/>
        <w:rPr>
          <w:i/>
        </w:rPr>
      </w:pPr>
    </w:p>
    <w:p>
      <w:pPr>
        <w:pStyle w:val="ListParagraph"/>
        <w:numPr>
          <w:ilvl w:val="0"/>
          <w:numId w:val="1"/>
        </w:numPr>
        <w:tabs>
          <w:tab w:pos="557" w:val="left" w:leader="none"/>
        </w:tabs>
        <w:spacing w:line="360" w:lineRule="auto" w:before="1" w:after="0"/>
        <w:ind w:left="556" w:right="115" w:hanging="361"/>
        <w:jc w:val="both"/>
        <w:rPr>
          <w:sz w:val="20"/>
        </w:rPr>
      </w:pPr>
      <w:r>
        <w:rPr>
          <w:sz w:val="20"/>
        </w:rPr>
        <w:t>Similarly, the last meeting of the forum had involved an update from the Bank of England on the recently published</w:t>
      </w:r>
      <w:r>
        <w:rPr>
          <w:spacing w:val="-6"/>
          <w:sz w:val="20"/>
        </w:rPr>
        <w:t> </w:t>
      </w:r>
      <w:r>
        <w:rPr>
          <w:sz w:val="20"/>
        </w:rPr>
        <w:t>consultations.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9"/>
        </w:rPr>
      </w:pPr>
      <w:r>
        <w:rPr/>
        <w:pict>
          <v:shape style="position:absolute;margin-left:63.84pt;margin-top:19.547129pt;width:144pt;height:.1pt;mso-position-horizontal-relative:page;mso-position-vertical-relative:paragraph;z-index:-251655168;mso-wrap-distance-left:0;mso-wrap-distance-right:0" coordorigin="1277,391" coordsize="2880,0" path="m1277,391l4157,391e" filled="false" stroked="true" strokeweight=".72pt" strokecolor="#000000">
            <v:path arrowok="t"/>
            <v:stroke dashstyle="solid"/>
            <w10:wrap type="topAndBottom"/>
          </v:shape>
        </w:pict>
      </w:r>
    </w:p>
    <w:p>
      <w:pPr>
        <w:pStyle w:val="BodyText"/>
        <w:spacing w:before="39"/>
        <w:ind w:left="196"/>
        <w:rPr>
          <w:rFonts w:ascii="Calibri"/>
        </w:rPr>
      </w:pPr>
      <w:bookmarkStart w:name="_bookmark7" w:id="8"/>
      <w:bookmarkEnd w:id="8"/>
      <w:r>
        <w:rPr/>
      </w:r>
      <w:r>
        <w:rPr>
          <w:rFonts w:ascii="Calibri"/>
          <w:position w:val="10"/>
          <w:sz w:val="13"/>
        </w:rPr>
        <w:t>8 </w:t>
      </w:r>
      <w:r>
        <w:rPr>
          <w:rFonts w:ascii="Calibri"/>
        </w:rPr>
        <w:t>https://</w:t>
      </w:r>
      <w:hyperlink r:id="rId10">
        <w:r>
          <w:rPr>
            <w:rFonts w:ascii="Calibri"/>
          </w:rPr>
          <w:t>www.bankofengland.co.uk/-/media/boe/files/markets/benchmarks/consultation-on-term-sonia-reference-</w:t>
        </w:r>
      </w:hyperlink>
      <w:r>
        <w:rPr>
          <w:rFonts w:ascii="Calibri"/>
        </w:rPr>
        <w:t> rates.pdf?la=en&amp;hash=6B9ABB4E8E2E226D12E1571ED20534BAFD277204</w:t>
      </w:r>
    </w:p>
    <w:p>
      <w:pPr>
        <w:spacing w:after="0"/>
        <w:rPr>
          <w:rFonts w:ascii="Calibri"/>
        </w:rPr>
        <w:sectPr>
          <w:pgSz w:w="11910" w:h="16840"/>
          <w:pgMar w:top="1180" w:bottom="280" w:left="1080" w:right="1020"/>
        </w:sectPr>
      </w:pPr>
    </w:p>
    <w:p>
      <w:pPr>
        <w:pStyle w:val="Heading1"/>
        <w:spacing w:before="73"/>
        <w:jc w:val="left"/>
      </w:pPr>
      <w:r>
        <w:rPr/>
        <w:t>Private sector</w:t>
      </w:r>
      <w:r>
        <w:rPr>
          <w:spacing w:val="-17"/>
        </w:rPr>
        <w:t> </w:t>
      </w:r>
      <w:r>
        <w:rPr/>
        <w:t>attendees</w:t>
      </w: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5732"/>
      </w:tblGrid>
      <w:tr>
        <w:trPr>
          <w:trHeight w:val="262" w:hRule="atLeast"/>
        </w:trPr>
        <w:tc>
          <w:tcPr>
            <w:tcW w:w="2863" w:type="dxa"/>
          </w:tcPr>
          <w:p>
            <w:pPr>
              <w:pStyle w:val="TableParagraph"/>
              <w:spacing w:line="225" w:lineRule="exact" w:before="0"/>
              <w:rPr>
                <w:sz w:val="20"/>
              </w:rPr>
            </w:pPr>
            <w:r>
              <w:rPr>
                <w:sz w:val="20"/>
              </w:rPr>
              <w:t>Francois Jourdain</w:t>
            </w:r>
          </w:p>
        </w:tc>
        <w:tc>
          <w:tcPr>
            <w:tcW w:w="5732" w:type="dxa"/>
          </w:tcPr>
          <w:p>
            <w:pPr>
              <w:pStyle w:val="TableParagraph"/>
              <w:spacing w:line="223" w:lineRule="exact" w:before="0"/>
              <w:ind w:left="454"/>
              <w:rPr>
                <w:b/>
                <w:sz w:val="20"/>
              </w:rPr>
            </w:pPr>
            <w:r>
              <w:rPr>
                <w:b/>
                <w:sz w:val="20"/>
              </w:rPr>
              <w:t>Barclays (Chair)</w:t>
            </w:r>
          </w:p>
        </w:tc>
      </w:tr>
      <w:tr>
        <w:trPr>
          <w:trHeight w:val="300" w:hRule="atLeast"/>
        </w:trPr>
        <w:tc>
          <w:tcPr>
            <w:tcW w:w="2863" w:type="dxa"/>
          </w:tcPr>
          <w:p>
            <w:pPr>
              <w:pStyle w:val="TableParagraph"/>
              <w:rPr>
                <w:sz w:val="20"/>
              </w:rPr>
            </w:pPr>
            <w:r>
              <w:rPr>
                <w:sz w:val="20"/>
              </w:rPr>
              <w:t>Andreas Giannopoulos</w:t>
            </w:r>
          </w:p>
        </w:tc>
        <w:tc>
          <w:tcPr>
            <w:tcW w:w="5732" w:type="dxa"/>
          </w:tcPr>
          <w:p>
            <w:pPr>
              <w:pStyle w:val="TableParagraph"/>
              <w:spacing w:before="30"/>
              <w:ind w:left="454"/>
              <w:rPr>
                <w:b/>
                <w:sz w:val="20"/>
              </w:rPr>
            </w:pPr>
            <w:r>
              <w:rPr>
                <w:b/>
                <w:sz w:val="20"/>
              </w:rPr>
              <w:t>Barclays (Chair’s office)</w:t>
            </w:r>
          </w:p>
        </w:tc>
      </w:tr>
      <w:tr>
        <w:trPr>
          <w:trHeight w:val="300" w:hRule="atLeast"/>
        </w:trPr>
        <w:tc>
          <w:tcPr>
            <w:tcW w:w="2863" w:type="dxa"/>
          </w:tcPr>
          <w:p>
            <w:pPr>
              <w:pStyle w:val="TableParagraph"/>
              <w:rPr>
                <w:sz w:val="20"/>
              </w:rPr>
            </w:pPr>
            <w:r>
              <w:rPr>
                <w:sz w:val="20"/>
              </w:rPr>
              <w:t>Frances Hinden</w:t>
            </w:r>
          </w:p>
        </w:tc>
        <w:tc>
          <w:tcPr>
            <w:tcW w:w="5732" w:type="dxa"/>
          </w:tcPr>
          <w:p>
            <w:pPr>
              <w:pStyle w:val="TableParagraph"/>
              <w:spacing w:before="30"/>
              <w:ind w:left="454"/>
              <w:rPr>
                <w:b/>
                <w:sz w:val="20"/>
              </w:rPr>
            </w:pPr>
            <w:r>
              <w:rPr>
                <w:b/>
                <w:sz w:val="20"/>
              </w:rPr>
              <w:t>Shell (Vice Chair)</w:t>
            </w:r>
          </w:p>
        </w:tc>
      </w:tr>
      <w:tr>
        <w:trPr>
          <w:trHeight w:val="300" w:hRule="atLeast"/>
        </w:trPr>
        <w:tc>
          <w:tcPr>
            <w:tcW w:w="2863" w:type="dxa"/>
          </w:tcPr>
          <w:p>
            <w:pPr>
              <w:pStyle w:val="TableParagraph"/>
              <w:rPr>
                <w:sz w:val="20"/>
              </w:rPr>
            </w:pPr>
            <w:r>
              <w:rPr>
                <w:sz w:val="20"/>
              </w:rPr>
              <w:t>Simon Wilkinson</w:t>
            </w:r>
          </w:p>
        </w:tc>
        <w:tc>
          <w:tcPr>
            <w:tcW w:w="5732" w:type="dxa"/>
          </w:tcPr>
          <w:p>
            <w:pPr>
              <w:pStyle w:val="TableParagraph"/>
              <w:spacing w:before="30"/>
              <w:ind w:left="454"/>
              <w:rPr>
                <w:b/>
                <w:sz w:val="20"/>
              </w:rPr>
            </w:pPr>
            <w:r>
              <w:rPr>
                <w:b/>
                <w:sz w:val="20"/>
              </w:rPr>
              <w:t>Legal &amp; General Investment Management (Vice Chair)</w:t>
            </w:r>
          </w:p>
        </w:tc>
      </w:tr>
      <w:tr>
        <w:trPr>
          <w:trHeight w:val="300" w:hRule="atLeast"/>
        </w:trPr>
        <w:tc>
          <w:tcPr>
            <w:tcW w:w="2863" w:type="dxa"/>
          </w:tcPr>
          <w:p>
            <w:pPr>
              <w:pStyle w:val="TableParagraph"/>
              <w:rPr>
                <w:sz w:val="20"/>
              </w:rPr>
            </w:pPr>
            <w:r>
              <w:rPr>
                <w:sz w:val="20"/>
              </w:rPr>
              <w:t>Robert de Roeck</w:t>
            </w:r>
          </w:p>
        </w:tc>
        <w:tc>
          <w:tcPr>
            <w:tcW w:w="5732" w:type="dxa"/>
          </w:tcPr>
          <w:p>
            <w:pPr>
              <w:pStyle w:val="TableParagraph"/>
              <w:spacing w:before="30"/>
              <w:ind w:left="454"/>
              <w:rPr>
                <w:b/>
                <w:sz w:val="20"/>
              </w:rPr>
            </w:pPr>
            <w:r>
              <w:rPr>
                <w:b/>
                <w:sz w:val="20"/>
              </w:rPr>
              <w:t>Aberdeen Standard Investments</w:t>
            </w:r>
          </w:p>
        </w:tc>
      </w:tr>
      <w:tr>
        <w:trPr>
          <w:trHeight w:val="300" w:hRule="atLeast"/>
        </w:trPr>
        <w:tc>
          <w:tcPr>
            <w:tcW w:w="2863" w:type="dxa"/>
          </w:tcPr>
          <w:p>
            <w:pPr>
              <w:pStyle w:val="TableParagraph"/>
              <w:rPr>
                <w:sz w:val="20"/>
              </w:rPr>
            </w:pPr>
            <w:r>
              <w:rPr>
                <w:sz w:val="20"/>
              </w:rPr>
              <w:t>Shaun Kennedy</w:t>
            </w:r>
          </w:p>
        </w:tc>
        <w:tc>
          <w:tcPr>
            <w:tcW w:w="5732" w:type="dxa"/>
          </w:tcPr>
          <w:p>
            <w:pPr>
              <w:pStyle w:val="TableParagraph"/>
              <w:spacing w:before="30"/>
              <w:ind w:left="454"/>
              <w:rPr>
                <w:b/>
                <w:sz w:val="20"/>
              </w:rPr>
            </w:pPr>
            <w:r>
              <w:rPr>
                <w:b/>
                <w:sz w:val="20"/>
              </w:rPr>
              <w:t>Associated British Ports</w:t>
            </w:r>
          </w:p>
        </w:tc>
      </w:tr>
      <w:tr>
        <w:trPr>
          <w:trHeight w:val="300" w:hRule="atLeast"/>
        </w:trPr>
        <w:tc>
          <w:tcPr>
            <w:tcW w:w="2863" w:type="dxa"/>
          </w:tcPr>
          <w:p>
            <w:pPr>
              <w:pStyle w:val="TableParagraph"/>
              <w:rPr>
                <w:sz w:val="20"/>
              </w:rPr>
            </w:pPr>
            <w:r>
              <w:rPr>
                <w:sz w:val="20"/>
              </w:rPr>
              <w:t>Sarah Boyce</w:t>
            </w:r>
          </w:p>
        </w:tc>
        <w:tc>
          <w:tcPr>
            <w:tcW w:w="5732" w:type="dxa"/>
          </w:tcPr>
          <w:p>
            <w:pPr>
              <w:pStyle w:val="TableParagraph"/>
              <w:spacing w:before="30"/>
              <w:ind w:left="454"/>
              <w:rPr>
                <w:b/>
                <w:sz w:val="20"/>
              </w:rPr>
            </w:pPr>
            <w:r>
              <w:rPr>
                <w:b/>
                <w:sz w:val="20"/>
              </w:rPr>
              <w:t>Association of Corporate Treasurers</w:t>
            </w:r>
          </w:p>
        </w:tc>
      </w:tr>
      <w:tr>
        <w:trPr>
          <w:trHeight w:val="300" w:hRule="atLeast"/>
        </w:trPr>
        <w:tc>
          <w:tcPr>
            <w:tcW w:w="2863" w:type="dxa"/>
          </w:tcPr>
          <w:p>
            <w:pPr>
              <w:pStyle w:val="TableParagraph"/>
              <w:rPr>
                <w:sz w:val="20"/>
              </w:rPr>
            </w:pPr>
            <w:r>
              <w:rPr>
                <w:sz w:val="20"/>
              </w:rPr>
              <w:t>Nick Saggers</w:t>
            </w:r>
          </w:p>
        </w:tc>
        <w:tc>
          <w:tcPr>
            <w:tcW w:w="5732" w:type="dxa"/>
          </w:tcPr>
          <w:p>
            <w:pPr>
              <w:pStyle w:val="TableParagraph"/>
              <w:spacing w:before="30"/>
              <w:ind w:left="454"/>
              <w:rPr>
                <w:b/>
                <w:sz w:val="20"/>
              </w:rPr>
            </w:pPr>
            <w:r>
              <w:rPr>
                <w:b/>
                <w:sz w:val="20"/>
              </w:rPr>
              <w:t>Bank of America Merrill Lynch</w:t>
            </w:r>
          </w:p>
        </w:tc>
      </w:tr>
      <w:tr>
        <w:trPr>
          <w:trHeight w:val="300" w:hRule="atLeast"/>
        </w:trPr>
        <w:tc>
          <w:tcPr>
            <w:tcW w:w="2863" w:type="dxa"/>
          </w:tcPr>
          <w:p>
            <w:pPr>
              <w:pStyle w:val="TableParagraph"/>
              <w:rPr>
                <w:sz w:val="20"/>
              </w:rPr>
            </w:pPr>
            <w:r>
              <w:rPr>
                <w:sz w:val="20"/>
              </w:rPr>
              <w:t>Doug Laurie</w:t>
            </w:r>
          </w:p>
        </w:tc>
        <w:tc>
          <w:tcPr>
            <w:tcW w:w="5732" w:type="dxa"/>
          </w:tcPr>
          <w:p>
            <w:pPr>
              <w:pStyle w:val="TableParagraph"/>
              <w:spacing w:before="30"/>
              <w:ind w:left="454"/>
              <w:rPr>
                <w:b/>
                <w:sz w:val="20"/>
              </w:rPr>
            </w:pPr>
            <w:r>
              <w:rPr>
                <w:b/>
                <w:sz w:val="20"/>
              </w:rPr>
              <w:t>Barclays</w:t>
            </w:r>
          </w:p>
        </w:tc>
      </w:tr>
      <w:tr>
        <w:trPr>
          <w:trHeight w:val="300" w:hRule="atLeast"/>
        </w:trPr>
        <w:tc>
          <w:tcPr>
            <w:tcW w:w="2863" w:type="dxa"/>
          </w:tcPr>
          <w:p>
            <w:pPr>
              <w:pStyle w:val="TableParagraph"/>
              <w:rPr>
                <w:sz w:val="20"/>
              </w:rPr>
            </w:pPr>
            <w:r>
              <w:rPr>
                <w:sz w:val="20"/>
              </w:rPr>
              <w:t>Timothy Tomalin Reeves</w:t>
            </w:r>
          </w:p>
        </w:tc>
        <w:tc>
          <w:tcPr>
            <w:tcW w:w="5732" w:type="dxa"/>
          </w:tcPr>
          <w:p>
            <w:pPr>
              <w:pStyle w:val="TableParagraph"/>
              <w:spacing w:before="30"/>
              <w:ind w:left="454"/>
              <w:rPr>
                <w:b/>
                <w:sz w:val="20"/>
              </w:rPr>
            </w:pPr>
            <w:r>
              <w:rPr>
                <w:b/>
                <w:sz w:val="20"/>
              </w:rPr>
              <w:t>Citadel</w:t>
            </w:r>
          </w:p>
        </w:tc>
      </w:tr>
      <w:tr>
        <w:trPr>
          <w:trHeight w:val="300" w:hRule="atLeast"/>
        </w:trPr>
        <w:tc>
          <w:tcPr>
            <w:tcW w:w="2863" w:type="dxa"/>
          </w:tcPr>
          <w:p>
            <w:pPr>
              <w:pStyle w:val="TableParagraph"/>
              <w:rPr>
                <w:sz w:val="20"/>
              </w:rPr>
            </w:pPr>
            <w:r>
              <w:rPr>
                <w:sz w:val="20"/>
              </w:rPr>
              <w:t>Simon Goodwin</w:t>
            </w:r>
          </w:p>
        </w:tc>
        <w:tc>
          <w:tcPr>
            <w:tcW w:w="5732" w:type="dxa"/>
          </w:tcPr>
          <w:p>
            <w:pPr>
              <w:pStyle w:val="TableParagraph"/>
              <w:spacing w:before="30"/>
              <w:ind w:left="454"/>
              <w:rPr>
                <w:b/>
                <w:sz w:val="20"/>
              </w:rPr>
            </w:pPr>
            <w:r>
              <w:rPr>
                <w:b/>
                <w:sz w:val="20"/>
              </w:rPr>
              <w:t>Deutsche Bank</w:t>
            </w:r>
          </w:p>
        </w:tc>
      </w:tr>
      <w:tr>
        <w:trPr>
          <w:trHeight w:val="300" w:hRule="atLeast"/>
        </w:trPr>
        <w:tc>
          <w:tcPr>
            <w:tcW w:w="2863" w:type="dxa"/>
          </w:tcPr>
          <w:p>
            <w:pPr>
              <w:pStyle w:val="TableParagraph"/>
              <w:rPr>
                <w:sz w:val="20"/>
              </w:rPr>
            </w:pPr>
            <w:r>
              <w:rPr>
                <w:sz w:val="20"/>
              </w:rPr>
              <w:t>Jasper Lillingston</w:t>
            </w:r>
          </w:p>
        </w:tc>
        <w:tc>
          <w:tcPr>
            <w:tcW w:w="5732" w:type="dxa"/>
          </w:tcPr>
          <w:p>
            <w:pPr>
              <w:pStyle w:val="TableParagraph"/>
              <w:spacing w:before="30"/>
              <w:ind w:left="454"/>
              <w:rPr>
                <w:b/>
                <w:sz w:val="20"/>
              </w:rPr>
            </w:pPr>
            <w:r>
              <w:rPr>
                <w:b/>
                <w:sz w:val="20"/>
              </w:rPr>
              <w:t>European Bank for Reconstruction &amp; Development</w:t>
            </w:r>
          </w:p>
        </w:tc>
      </w:tr>
      <w:tr>
        <w:trPr>
          <w:trHeight w:val="300" w:hRule="atLeast"/>
        </w:trPr>
        <w:tc>
          <w:tcPr>
            <w:tcW w:w="2863" w:type="dxa"/>
          </w:tcPr>
          <w:p>
            <w:pPr>
              <w:pStyle w:val="TableParagraph"/>
              <w:rPr>
                <w:sz w:val="20"/>
              </w:rPr>
            </w:pPr>
            <w:r>
              <w:rPr>
                <w:sz w:val="20"/>
              </w:rPr>
              <w:t>Aude Pacatte</w:t>
            </w:r>
          </w:p>
        </w:tc>
        <w:tc>
          <w:tcPr>
            <w:tcW w:w="5732" w:type="dxa"/>
          </w:tcPr>
          <w:p>
            <w:pPr>
              <w:pStyle w:val="TableParagraph"/>
              <w:spacing w:before="30"/>
              <w:ind w:left="454"/>
              <w:rPr>
                <w:b/>
                <w:sz w:val="20"/>
              </w:rPr>
            </w:pPr>
            <w:r>
              <w:rPr>
                <w:b/>
                <w:sz w:val="20"/>
              </w:rPr>
              <w:t>European Bank for Reconstruction &amp; Development</w:t>
            </w:r>
          </w:p>
        </w:tc>
      </w:tr>
      <w:tr>
        <w:trPr>
          <w:trHeight w:val="300" w:hRule="atLeast"/>
        </w:trPr>
        <w:tc>
          <w:tcPr>
            <w:tcW w:w="2863" w:type="dxa"/>
          </w:tcPr>
          <w:p>
            <w:pPr>
              <w:pStyle w:val="TableParagraph"/>
              <w:rPr>
                <w:sz w:val="20"/>
              </w:rPr>
            </w:pPr>
            <w:r>
              <w:rPr>
                <w:sz w:val="20"/>
              </w:rPr>
              <w:t>Tom Gilliam</w:t>
            </w:r>
          </w:p>
        </w:tc>
        <w:tc>
          <w:tcPr>
            <w:tcW w:w="5732" w:type="dxa"/>
          </w:tcPr>
          <w:p>
            <w:pPr>
              <w:pStyle w:val="TableParagraph"/>
              <w:spacing w:before="30"/>
              <w:ind w:left="454"/>
              <w:rPr>
                <w:b/>
                <w:sz w:val="20"/>
              </w:rPr>
            </w:pPr>
            <w:r>
              <w:rPr>
                <w:b/>
                <w:sz w:val="20"/>
              </w:rPr>
              <w:t>GlaxoSmithKline</w:t>
            </w:r>
          </w:p>
        </w:tc>
      </w:tr>
      <w:tr>
        <w:trPr>
          <w:trHeight w:val="300" w:hRule="atLeast"/>
        </w:trPr>
        <w:tc>
          <w:tcPr>
            <w:tcW w:w="2863" w:type="dxa"/>
          </w:tcPr>
          <w:p>
            <w:pPr>
              <w:pStyle w:val="TableParagraph"/>
              <w:rPr>
                <w:sz w:val="20"/>
              </w:rPr>
            </w:pPr>
            <w:r>
              <w:rPr>
                <w:sz w:val="20"/>
              </w:rPr>
              <w:t>Chirag Dave</w:t>
            </w:r>
          </w:p>
        </w:tc>
        <w:tc>
          <w:tcPr>
            <w:tcW w:w="5732" w:type="dxa"/>
          </w:tcPr>
          <w:p>
            <w:pPr>
              <w:pStyle w:val="TableParagraph"/>
              <w:spacing w:before="30"/>
              <w:ind w:left="454"/>
              <w:rPr>
                <w:b/>
                <w:sz w:val="20"/>
              </w:rPr>
            </w:pPr>
            <w:r>
              <w:rPr>
                <w:b/>
                <w:sz w:val="20"/>
              </w:rPr>
              <w:t>Goldman Sachs</w:t>
            </w:r>
          </w:p>
        </w:tc>
      </w:tr>
      <w:tr>
        <w:trPr>
          <w:trHeight w:val="300" w:hRule="atLeast"/>
        </w:trPr>
        <w:tc>
          <w:tcPr>
            <w:tcW w:w="2863" w:type="dxa"/>
          </w:tcPr>
          <w:p>
            <w:pPr>
              <w:pStyle w:val="TableParagraph"/>
              <w:rPr>
                <w:sz w:val="20"/>
              </w:rPr>
            </w:pPr>
            <w:r>
              <w:rPr>
                <w:sz w:val="20"/>
              </w:rPr>
              <w:t>Bharat Kumar</w:t>
            </w:r>
          </w:p>
        </w:tc>
        <w:tc>
          <w:tcPr>
            <w:tcW w:w="5732" w:type="dxa"/>
          </w:tcPr>
          <w:p>
            <w:pPr>
              <w:pStyle w:val="TableParagraph"/>
              <w:spacing w:before="30"/>
              <w:ind w:left="454"/>
              <w:rPr>
                <w:b/>
                <w:sz w:val="20"/>
              </w:rPr>
            </w:pPr>
            <w:r>
              <w:rPr>
                <w:b/>
                <w:sz w:val="20"/>
              </w:rPr>
              <w:t>HSBC</w:t>
            </w:r>
          </w:p>
        </w:tc>
      </w:tr>
      <w:tr>
        <w:trPr>
          <w:trHeight w:val="300" w:hRule="atLeast"/>
        </w:trPr>
        <w:tc>
          <w:tcPr>
            <w:tcW w:w="2863" w:type="dxa"/>
          </w:tcPr>
          <w:p>
            <w:pPr>
              <w:pStyle w:val="TableParagraph"/>
              <w:rPr>
                <w:sz w:val="20"/>
              </w:rPr>
            </w:pPr>
            <w:r>
              <w:rPr>
                <w:sz w:val="20"/>
              </w:rPr>
              <w:t>Chris Rhodes</w:t>
            </w:r>
          </w:p>
        </w:tc>
        <w:tc>
          <w:tcPr>
            <w:tcW w:w="5732" w:type="dxa"/>
          </w:tcPr>
          <w:p>
            <w:pPr>
              <w:pStyle w:val="TableParagraph"/>
              <w:spacing w:before="30"/>
              <w:ind w:left="454"/>
              <w:rPr>
                <w:b/>
                <w:sz w:val="20"/>
              </w:rPr>
            </w:pPr>
            <w:r>
              <w:rPr>
                <w:b/>
                <w:sz w:val="20"/>
              </w:rPr>
              <w:t>ICE Group</w:t>
            </w:r>
          </w:p>
        </w:tc>
      </w:tr>
      <w:tr>
        <w:trPr>
          <w:trHeight w:val="300" w:hRule="atLeast"/>
        </w:trPr>
        <w:tc>
          <w:tcPr>
            <w:tcW w:w="2863" w:type="dxa"/>
          </w:tcPr>
          <w:p>
            <w:pPr>
              <w:pStyle w:val="TableParagraph"/>
              <w:rPr>
                <w:sz w:val="20"/>
              </w:rPr>
            </w:pPr>
            <w:r>
              <w:rPr>
                <w:sz w:val="20"/>
              </w:rPr>
              <w:t>Charlotte Bellamy</w:t>
            </w:r>
          </w:p>
        </w:tc>
        <w:tc>
          <w:tcPr>
            <w:tcW w:w="5732" w:type="dxa"/>
          </w:tcPr>
          <w:p>
            <w:pPr>
              <w:pStyle w:val="TableParagraph"/>
              <w:spacing w:before="30"/>
              <w:ind w:left="454"/>
              <w:rPr>
                <w:b/>
                <w:sz w:val="20"/>
              </w:rPr>
            </w:pPr>
            <w:r>
              <w:rPr>
                <w:b/>
                <w:sz w:val="20"/>
              </w:rPr>
              <w:t>ICMA</w:t>
            </w:r>
          </w:p>
        </w:tc>
      </w:tr>
      <w:tr>
        <w:trPr>
          <w:trHeight w:val="300" w:hRule="atLeast"/>
        </w:trPr>
        <w:tc>
          <w:tcPr>
            <w:tcW w:w="2863" w:type="dxa"/>
          </w:tcPr>
          <w:p>
            <w:pPr>
              <w:pStyle w:val="TableParagraph"/>
              <w:rPr>
                <w:sz w:val="20"/>
              </w:rPr>
            </w:pPr>
            <w:r>
              <w:rPr>
                <w:sz w:val="20"/>
              </w:rPr>
              <w:t>Robert Gall</w:t>
            </w:r>
          </w:p>
        </w:tc>
        <w:tc>
          <w:tcPr>
            <w:tcW w:w="5732" w:type="dxa"/>
          </w:tcPr>
          <w:p>
            <w:pPr>
              <w:pStyle w:val="TableParagraph"/>
              <w:spacing w:before="30"/>
              <w:ind w:left="454"/>
              <w:rPr>
                <w:b/>
                <w:sz w:val="20"/>
              </w:rPr>
            </w:pPr>
            <w:r>
              <w:rPr>
                <w:b/>
                <w:sz w:val="20"/>
              </w:rPr>
              <w:t>Insight Investment</w:t>
            </w:r>
          </w:p>
        </w:tc>
      </w:tr>
      <w:tr>
        <w:trPr>
          <w:trHeight w:val="300" w:hRule="atLeast"/>
        </w:trPr>
        <w:tc>
          <w:tcPr>
            <w:tcW w:w="2863" w:type="dxa"/>
          </w:tcPr>
          <w:p>
            <w:pPr>
              <w:pStyle w:val="TableParagraph"/>
              <w:rPr>
                <w:sz w:val="20"/>
              </w:rPr>
            </w:pPr>
            <w:r>
              <w:rPr>
                <w:sz w:val="20"/>
              </w:rPr>
              <w:t>Ross Barrett</w:t>
            </w:r>
          </w:p>
        </w:tc>
        <w:tc>
          <w:tcPr>
            <w:tcW w:w="5732" w:type="dxa"/>
          </w:tcPr>
          <w:p>
            <w:pPr>
              <w:pStyle w:val="TableParagraph"/>
              <w:spacing w:before="30"/>
              <w:ind w:left="454"/>
              <w:rPr>
                <w:b/>
                <w:sz w:val="20"/>
              </w:rPr>
            </w:pPr>
            <w:r>
              <w:rPr>
                <w:b/>
                <w:sz w:val="20"/>
              </w:rPr>
              <w:t>Investment Association</w:t>
            </w:r>
          </w:p>
        </w:tc>
      </w:tr>
      <w:tr>
        <w:trPr>
          <w:trHeight w:val="300" w:hRule="atLeast"/>
        </w:trPr>
        <w:tc>
          <w:tcPr>
            <w:tcW w:w="2863" w:type="dxa"/>
          </w:tcPr>
          <w:p>
            <w:pPr>
              <w:pStyle w:val="TableParagraph"/>
              <w:rPr>
                <w:sz w:val="20"/>
              </w:rPr>
            </w:pPr>
            <w:r>
              <w:rPr>
                <w:sz w:val="20"/>
              </w:rPr>
              <w:t>Clare Dawson (phone)</w:t>
            </w:r>
          </w:p>
        </w:tc>
        <w:tc>
          <w:tcPr>
            <w:tcW w:w="5732" w:type="dxa"/>
          </w:tcPr>
          <w:p>
            <w:pPr>
              <w:pStyle w:val="TableParagraph"/>
              <w:spacing w:before="30"/>
              <w:ind w:left="454"/>
              <w:rPr>
                <w:b/>
                <w:sz w:val="20"/>
              </w:rPr>
            </w:pPr>
            <w:r>
              <w:rPr>
                <w:b/>
                <w:sz w:val="20"/>
              </w:rPr>
              <w:t>Loan Market Association</w:t>
            </w:r>
          </w:p>
        </w:tc>
      </w:tr>
      <w:tr>
        <w:trPr>
          <w:trHeight w:val="300" w:hRule="atLeast"/>
        </w:trPr>
        <w:tc>
          <w:tcPr>
            <w:tcW w:w="2863" w:type="dxa"/>
          </w:tcPr>
          <w:p>
            <w:pPr>
              <w:pStyle w:val="TableParagraph"/>
              <w:rPr>
                <w:sz w:val="20"/>
              </w:rPr>
            </w:pPr>
            <w:r>
              <w:rPr>
                <w:sz w:val="20"/>
              </w:rPr>
              <w:t>Philip Whitehurst</w:t>
            </w:r>
          </w:p>
        </w:tc>
        <w:tc>
          <w:tcPr>
            <w:tcW w:w="5732" w:type="dxa"/>
          </w:tcPr>
          <w:p>
            <w:pPr>
              <w:pStyle w:val="TableParagraph"/>
              <w:spacing w:before="30"/>
              <w:ind w:left="454"/>
              <w:rPr>
                <w:b/>
                <w:sz w:val="20"/>
              </w:rPr>
            </w:pPr>
            <w:r>
              <w:rPr>
                <w:b/>
                <w:sz w:val="20"/>
              </w:rPr>
              <w:t>London Stock Exchange Group</w:t>
            </w:r>
          </w:p>
        </w:tc>
      </w:tr>
      <w:tr>
        <w:trPr>
          <w:trHeight w:val="300" w:hRule="atLeast"/>
        </w:trPr>
        <w:tc>
          <w:tcPr>
            <w:tcW w:w="2863" w:type="dxa"/>
          </w:tcPr>
          <w:p>
            <w:pPr>
              <w:pStyle w:val="TableParagraph"/>
              <w:rPr>
                <w:sz w:val="20"/>
              </w:rPr>
            </w:pPr>
            <w:r>
              <w:rPr>
                <w:sz w:val="20"/>
              </w:rPr>
              <w:t>Ian Fox</w:t>
            </w:r>
          </w:p>
        </w:tc>
        <w:tc>
          <w:tcPr>
            <w:tcW w:w="5732" w:type="dxa"/>
          </w:tcPr>
          <w:p>
            <w:pPr>
              <w:pStyle w:val="TableParagraph"/>
              <w:spacing w:before="30"/>
              <w:ind w:left="454"/>
              <w:rPr>
                <w:b/>
                <w:sz w:val="20"/>
              </w:rPr>
            </w:pPr>
            <w:r>
              <w:rPr>
                <w:b/>
                <w:sz w:val="20"/>
              </w:rPr>
              <w:t>Lloyds Banking Group</w:t>
            </w:r>
          </w:p>
        </w:tc>
      </w:tr>
      <w:tr>
        <w:trPr>
          <w:trHeight w:val="300" w:hRule="atLeast"/>
        </w:trPr>
        <w:tc>
          <w:tcPr>
            <w:tcW w:w="2863" w:type="dxa"/>
          </w:tcPr>
          <w:p>
            <w:pPr>
              <w:pStyle w:val="TableParagraph"/>
              <w:rPr>
                <w:sz w:val="20"/>
              </w:rPr>
            </w:pPr>
            <w:r>
              <w:rPr>
                <w:sz w:val="20"/>
              </w:rPr>
              <w:t>Dave Covey</w:t>
            </w:r>
          </w:p>
        </w:tc>
        <w:tc>
          <w:tcPr>
            <w:tcW w:w="5732" w:type="dxa"/>
          </w:tcPr>
          <w:p>
            <w:pPr>
              <w:pStyle w:val="TableParagraph"/>
              <w:spacing w:before="30"/>
              <w:ind w:left="454"/>
              <w:rPr>
                <w:b/>
                <w:sz w:val="20"/>
              </w:rPr>
            </w:pPr>
            <w:r>
              <w:rPr>
                <w:b/>
                <w:sz w:val="20"/>
              </w:rPr>
              <w:t>M&amp;G Investments</w:t>
            </w:r>
          </w:p>
        </w:tc>
      </w:tr>
      <w:tr>
        <w:trPr>
          <w:trHeight w:val="262" w:hRule="atLeast"/>
        </w:trPr>
        <w:tc>
          <w:tcPr>
            <w:tcW w:w="2863" w:type="dxa"/>
          </w:tcPr>
          <w:p>
            <w:pPr>
              <w:pStyle w:val="TableParagraph"/>
              <w:spacing w:line="210" w:lineRule="exact"/>
              <w:rPr>
                <w:sz w:val="20"/>
              </w:rPr>
            </w:pPr>
            <w:r>
              <w:rPr>
                <w:sz w:val="20"/>
              </w:rPr>
              <w:t>Tom Dyson</w:t>
            </w:r>
          </w:p>
        </w:tc>
        <w:tc>
          <w:tcPr>
            <w:tcW w:w="5732" w:type="dxa"/>
          </w:tcPr>
          <w:p>
            <w:pPr>
              <w:pStyle w:val="TableParagraph"/>
              <w:spacing w:line="212" w:lineRule="exact" w:before="30"/>
              <w:ind w:left="454"/>
              <w:rPr>
                <w:b/>
                <w:sz w:val="20"/>
              </w:rPr>
            </w:pPr>
            <w:r>
              <w:rPr>
                <w:b/>
                <w:sz w:val="20"/>
              </w:rPr>
              <w:t>Nationwide Building Society</w:t>
            </w:r>
          </w:p>
        </w:tc>
      </w:tr>
    </w:tbl>
    <w:p>
      <w:pPr>
        <w:pStyle w:val="BodyText"/>
        <w:rPr>
          <w:b/>
          <w:sz w:val="22"/>
        </w:rPr>
      </w:pPr>
    </w:p>
    <w:p>
      <w:pPr>
        <w:pStyle w:val="BodyText"/>
        <w:rPr>
          <w:b/>
          <w:sz w:val="22"/>
        </w:rPr>
      </w:pPr>
    </w:p>
    <w:p>
      <w:pPr>
        <w:pStyle w:val="BodyText"/>
        <w:spacing w:before="6"/>
        <w:rPr>
          <w:b/>
          <w:sz w:val="25"/>
        </w:rPr>
      </w:pPr>
    </w:p>
    <w:p>
      <w:pPr>
        <w:spacing w:before="0"/>
        <w:ind w:left="196" w:right="0" w:firstLine="0"/>
        <w:jc w:val="left"/>
        <w:rPr>
          <w:b/>
          <w:sz w:val="20"/>
        </w:rPr>
      </w:pPr>
      <w:r>
        <w:rPr>
          <w:b/>
          <w:sz w:val="20"/>
        </w:rPr>
        <w:t>Official sector</w:t>
      </w:r>
      <w:r>
        <w:rPr>
          <w:b/>
          <w:spacing w:val="-15"/>
          <w:sz w:val="20"/>
        </w:rPr>
        <w:t> </w:t>
      </w:r>
      <w:r>
        <w:rPr>
          <w:b/>
          <w:sz w:val="20"/>
        </w:rPr>
        <w:t>attendees</w:t>
      </w:r>
    </w:p>
    <w:p>
      <w:pPr>
        <w:pStyle w:val="BodyText"/>
        <w:spacing w:after="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3386"/>
      </w:tblGrid>
      <w:tr>
        <w:trPr>
          <w:trHeight w:val="263" w:hRule="atLeast"/>
        </w:trPr>
        <w:tc>
          <w:tcPr>
            <w:tcW w:w="2854" w:type="dxa"/>
          </w:tcPr>
          <w:p>
            <w:pPr>
              <w:pStyle w:val="TableParagraph"/>
              <w:spacing w:line="225" w:lineRule="exact" w:before="0"/>
              <w:rPr>
                <w:sz w:val="20"/>
              </w:rPr>
            </w:pPr>
            <w:r>
              <w:rPr>
                <w:sz w:val="20"/>
              </w:rPr>
              <w:t>Rhys Phillips</w:t>
            </w:r>
          </w:p>
        </w:tc>
        <w:tc>
          <w:tcPr>
            <w:tcW w:w="3386" w:type="dxa"/>
          </w:tcPr>
          <w:p>
            <w:pPr>
              <w:pStyle w:val="TableParagraph"/>
              <w:spacing w:line="223" w:lineRule="exact" w:before="0"/>
              <w:ind w:left="506"/>
              <w:rPr>
                <w:b/>
                <w:sz w:val="20"/>
              </w:rPr>
            </w:pPr>
            <w:r>
              <w:rPr>
                <w:b/>
                <w:sz w:val="20"/>
              </w:rPr>
              <w:t>Bank of England</w:t>
            </w:r>
          </w:p>
        </w:tc>
      </w:tr>
      <w:tr>
        <w:trPr>
          <w:trHeight w:val="284" w:hRule="atLeast"/>
        </w:trPr>
        <w:tc>
          <w:tcPr>
            <w:tcW w:w="2854" w:type="dxa"/>
          </w:tcPr>
          <w:p>
            <w:pPr>
              <w:pStyle w:val="TableParagraph"/>
              <w:spacing w:before="34"/>
              <w:rPr>
                <w:sz w:val="20"/>
              </w:rPr>
            </w:pPr>
            <w:r>
              <w:rPr>
                <w:sz w:val="20"/>
              </w:rPr>
              <w:t>Imane Bakkar</w:t>
            </w:r>
          </w:p>
        </w:tc>
        <w:tc>
          <w:tcPr>
            <w:tcW w:w="3386" w:type="dxa"/>
          </w:tcPr>
          <w:p>
            <w:pPr>
              <w:pStyle w:val="TableParagraph"/>
              <w:spacing w:before="31"/>
              <w:ind w:left="506"/>
              <w:rPr>
                <w:b/>
                <w:sz w:val="20"/>
              </w:rPr>
            </w:pPr>
            <w:r>
              <w:rPr>
                <w:b/>
                <w:sz w:val="20"/>
              </w:rPr>
              <w:t>Bank of England</w:t>
            </w:r>
          </w:p>
        </w:tc>
      </w:tr>
      <w:tr>
        <w:trPr>
          <w:trHeight w:val="496" w:hRule="atLeast"/>
        </w:trPr>
        <w:tc>
          <w:tcPr>
            <w:tcW w:w="2854" w:type="dxa"/>
          </w:tcPr>
          <w:p>
            <w:pPr>
              <w:pStyle w:val="TableParagraph"/>
              <w:spacing w:before="16"/>
              <w:rPr>
                <w:sz w:val="20"/>
              </w:rPr>
            </w:pPr>
            <w:r>
              <w:rPr>
                <w:sz w:val="20"/>
              </w:rPr>
              <w:t>Josh Jones</w:t>
            </w:r>
          </w:p>
          <w:p>
            <w:pPr>
              <w:pStyle w:val="TableParagraph"/>
              <w:spacing w:before="0"/>
              <w:rPr>
                <w:sz w:val="20"/>
              </w:rPr>
            </w:pPr>
            <w:r>
              <w:rPr>
                <w:sz w:val="20"/>
              </w:rPr>
              <w:t>Charlotte Pope-Williams</w:t>
            </w:r>
          </w:p>
        </w:tc>
        <w:tc>
          <w:tcPr>
            <w:tcW w:w="3386" w:type="dxa"/>
          </w:tcPr>
          <w:p>
            <w:pPr>
              <w:pStyle w:val="TableParagraph"/>
              <w:spacing w:before="13"/>
              <w:ind w:left="506" w:right="1282"/>
              <w:rPr>
                <w:b/>
                <w:sz w:val="20"/>
              </w:rPr>
            </w:pPr>
            <w:r>
              <w:rPr>
                <w:b/>
                <w:sz w:val="20"/>
              </w:rPr>
              <w:t>Bank of England Bank of England</w:t>
            </w:r>
          </w:p>
        </w:tc>
      </w:tr>
      <w:tr>
        <w:trPr>
          <w:trHeight w:val="284" w:hRule="atLeast"/>
        </w:trPr>
        <w:tc>
          <w:tcPr>
            <w:tcW w:w="2854" w:type="dxa"/>
          </w:tcPr>
          <w:p>
            <w:pPr>
              <w:pStyle w:val="TableParagraph"/>
              <w:spacing w:before="16"/>
              <w:rPr>
                <w:sz w:val="20"/>
              </w:rPr>
            </w:pPr>
            <w:r>
              <w:rPr>
                <w:sz w:val="20"/>
              </w:rPr>
              <w:t>Harriet Hunnable</w:t>
            </w:r>
          </w:p>
        </w:tc>
        <w:tc>
          <w:tcPr>
            <w:tcW w:w="3386" w:type="dxa"/>
          </w:tcPr>
          <w:p>
            <w:pPr>
              <w:pStyle w:val="TableParagraph"/>
              <w:spacing w:before="13"/>
              <w:ind w:left="506"/>
              <w:rPr>
                <w:b/>
                <w:sz w:val="20"/>
              </w:rPr>
            </w:pPr>
            <w:r>
              <w:rPr>
                <w:b/>
                <w:sz w:val="20"/>
              </w:rPr>
              <w:t>Financial Conduct Authority</w:t>
            </w:r>
          </w:p>
        </w:tc>
      </w:tr>
      <w:tr>
        <w:trPr>
          <w:trHeight w:val="302" w:hRule="atLeast"/>
        </w:trPr>
        <w:tc>
          <w:tcPr>
            <w:tcW w:w="2854" w:type="dxa"/>
          </w:tcPr>
          <w:p>
            <w:pPr>
              <w:pStyle w:val="TableParagraph"/>
              <w:spacing w:before="34"/>
              <w:rPr>
                <w:sz w:val="20"/>
              </w:rPr>
            </w:pPr>
            <w:r>
              <w:rPr>
                <w:sz w:val="20"/>
              </w:rPr>
              <w:t>April Richardson</w:t>
            </w:r>
          </w:p>
        </w:tc>
        <w:tc>
          <w:tcPr>
            <w:tcW w:w="3386" w:type="dxa"/>
          </w:tcPr>
          <w:p>
            <w:pPr>
              <w:pStyle w:val="TableParagraph"/>
              <w:spacing w:before="31"/>
              <w:ind w:left="506"/>
              <w:rPr>
                <w:b/>
                <w:sz w:val="20"/>
              </w:rPr>
            </w:pPr>
            <w:r>
              <w:rPr>
                <w:b/>
                <w:sz w:val="20"/>
              </w:rPr>
              <w:t>Financial Conduct Authority</w:t>
            </w:r>
          </w:p>
        </w:tc>
      </w:tr>
      <w:tr>
        <w:trPr>
          <w:trHeight w:val="303" w:hRule="atLeast"/>
        </w:trPr>
        <w:tc>
          <w:tcPr>
            <w:tcW w:w="2854" w:type="dxa"/>
          </w:tcPr>
          <w:p>
            <w:pPr>
              <w:pStyle w:val="TableParagraph"/>
              <w:spacing w:before="34"/>
              <w:rPr>
                <w:sz w:val="20"/>
              </w:rPr>
            </w:pPr>
            <w:r>
              <w:rPr>
                <w:sz w:val="20"/>
              </w:rPr>
              <w:t>Devid Mazonnetto</w:t>
            </w:r>
          </w:p>
        </w:tc>
        <w:tc>
          <w:tcPr>
            <w:tcW w:w="3386" w:type="dxa"/>
          </w:tcPr>
          <w:p>
            <w:pPr>
              <w:pStyle w:val="TableParagraph"/>
              <w:spacing w:before="31"/>
              <w:ind w:left="506"/>
              <w:rPr>
                <w:b/>
                <w:sz w:val="20"/>
              </w:rPr>
            </w:pPr>
            <w:r>
              <w:rPr>
                <w:b/>
                <w:sz w:val="20"/>
              </w:rPr>
              <w:t>Financial Conduct Authority</w:t>
            </w:r>
          </w:p>
        </w:tc>
      </w:tr>
      <w:tr>
        <w:trPr>
          <w:trHeight w:val="264" w:hRule="atLeast"/>
        </w:trPr>
        <w:tc>
          <w:tcPr>
            <w:tcW w:w="2854" w:type="dxa"/>
          </w:tcPr>
          <w:p>
            <w:pPr>
              <w:pStyle w:val="TableParagraph"/>
              <w:spacing w:line="210" w:lineRule="exact" w:before="35"/>
              <w:rPr>
                <w:sz w:val="20"/>
              </w:rPr>
            </w:pPr>
            <w:r>
              <w:rPr>
                <w:sz w:val="20"/>
              </w:rPr>
              <w:t>Toby Williams</w:t>
            </w:r>
          </w:p>
        </w:tc>
        <w:tc>
          <w:tcPr>
            <w:tcW w:w="3386" w:type="dxa"/>
          </w:tcPr>
          <w:p>
            <w:pPr>
              <w:pStyle w:val="TableParagraph"/>
              <w:spacing w:line="212" w:lineRule="exact"/>
              <w:ind w:left="506"/>
              <w:rPr>
                <w:b/>
                <w:sz w:val="20"/>
              </w:rPr>
            </w:pPr>
            <w:r>
              <w:rPr>
                <w:b/>
                <w:sz w:val="20"/>
              </w:rPr>
              <w:t>Financial Conduct Authority</w:t>
            </w:r>
          </w:p>
        </w:tc>
      </w:tr>
    </w:tbl>
    <w:p>
      <w:pPr>
        <w:spacing w:after="0" w:line="212" w:lineRule="exact"/>
        <w:rPr>
          <w:sz w:val="20"/>
        </w:rPr>
        <w:sectPr>
          <w:pgSz w:w="11910" w:h="16840"/>
          <w:pgMar w:top="1180" w:bottom="280" w:left="1080" w:right="1020"/>
        </w:sectPr>
      </w:pPr>
    </w:p>
    <w:p>
      <w:pPr>
        <w:pStyle w:val="BodyText"/>
        <w:spacing w:before="4"/>
        <w:rPr>
          <w:b/>
          <w:sz w:val="17"/>
        </w:rPr>
      </w:pPr>
    </w:p>
    <w:sectPr>
      <w:pgSz w:w="11910" w:h="16840"/>
      <w:pgMar w:top="158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6" w:hanging="360"/>
        <w:jc w:val="left"/>
      </w:pPr>
      <w:rPr>
        <w:rFonts w:hint="default" w:ascii="Arial" w:hAnsi="Arial" w:eastAsia="Arial" w:cs="Arial"/>
        <w:spacing w:val="-1"/>
        <w:w w:val="99"/>
        <w:sz w:val="20"/>
        <w:szCs w:val="20"/>
      </w:rPr>
    </w:lvl>
    <w:lvl w:ilvl="1">
      <w:start w:val="1"/>
      <w:numFmt w:val="lowerLetter"/>
      <w:lvlText w:val="%2."/>
      <w:lvlJc w:val="left"/>
      <w:pPr>
        <w:ind w:left="1276" w:hanging="360"/>
        <w:jc w:val="left"/>
      </w:pPr>
      <w:rPr>
        <w:rFonts w:hint="default" w:ascii="Arial" w:hAnsi="Arial" w:eastAsia="Arial" w:cs="Arial"/>
        <w:spacing w:val="-1"/>
        <w:w w:val="99"/>
        <w:sz w:val="20"/>
        <w:szCs w:val="20"/>
      </w:rPr>
    </w:lvl>
    <w:lvl w:ilvl="2">
      <w:start w:val="0"/>
      <w:numFmt w:val="bullet"/>
      <w:lvlText w:val="•"/>
      <w:lvlJc w:val="left"/>
      <w:pPr>
        <w:ind w:left="2227" w:hanging="360"/>
      </w:pPr>
      <w:rPr>
        <w:rFonts w:hint="default"/>
      </w:rPr>
    </w:lvl>
    <w:lvl w:ilvl="3">
      <w:start w:val="0"/>
      <w:numFmt w:val="bullet"/>
      <w:lvlText w:val="•"/>
      <w:lvlJc w:val="left"/>
      <w:pPr>
        <w:ind w:left="3174" w:hanging="360"/>
      </w:pPr>
      <w:rPr>
        <w:rFonts w:hint="default"/>
      </w:rPr>
    </w:lvl>
    <w:lvl w:ilvl="4">
      <w:start w:val="0"/>
      <w:numFmt w:val="bullet"/>
      <w:lvlText w:val="•"/>
      <w:lvlJc w:val="left"/>
      <w:pPr>
        <w:ind w:left="4122" w:hanging="360"/>
      </w:pPr>
      <w:rPr>
        <w:rFonts w:hint="default"/>
      </w:rPr>
    </w:lvl>
    <w:lvl w:ilvl="5">
      <w:start w:val="0"/>
      <w:numFmt w:val="bullet"/>
      <w:lvlText w:val="•"/>
      <w:lvlJc w:val="left"/>
      <w:pPr>
        <w:ind w:left="5069" w:hanging="360"/>
      </w:pPr>
      <w:rPr>
        <w:rFonts w:hint="default"/>
      </w:rPr>
    </w:lvl>
    <w:lvl w:ilvl="6">
      <w:start w:val="0"/>
      <w:numFmt w:val="bullet"/>
      <w:lvlText w:val="•"/>
      <w:lvlJc w:val="left"/>
      <w:pPr>
        <w:ind w:left="6016"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91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96"/>
      <w:jc w:val="both"/>
      <w:outlineLvl w:val="1"/>
    </w:pPr>
    <w:rPr>
      <w:rFonts w:ascii="Arial" w:hAnsi="Arial" w:eastAsia="Arial" w:cs="Arial"/>
      <w:b/>
      <w:bCs/>
      <w:sz w:val="20"/>
      <w:szCs w:val="20"/>
    </w:rPr>
  </w:style>
  <w:style w:styleId="ListParagraph" w:type="paragraph">
    <w:name w:val="List Paragraph"/>
    <w:basedOn w:val="Normal"/>
    <w:uiPriority w:val="1"/>
    <w:qFormat/>
    <w:pPr>
      <w:ind w:left="556" w:right="111" w:hanging="360"/>
      <w:jc w:val="both"/>
    </w:pPr>
    <w:rPr>
      <w:rFonts w:ascii="Arial" w:hAnsi="Arial" w:eastAsia="Arial" w:cs="Arial"/>
    </w:rPr>
  </w:style>
  <w:style w:styleId="TableParagraph" w:type="paragraph">
    <w:name w:val="Table Paragraph"/>
    <w:basedOn w:val="Normal"/>
    <w:uiPriority w:val="1"/>
    <w:qFormat/>
    <w:pPr>
      <w:spacing w:before="3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isda.org/2018/07/12/interbank-offered-rate-ibor-fallbacks-for-2006-isda-definitions" TargetMode="External"/><Relationship Id="rId6" Type="http://schemas.openxmlformats.org/officeDocument/2006/relationships/hyperlink" Target="https://www.bankofengland.co.uk/-/media/boe/files/markets/benchmarks/considerations-around-credit-spread-adjustment-options-in-isda-consultation-on-fallback-rates.pdf?la=en&amp;hash=3EF522B0034C85B0699CA39A81F5A45DF904474C" TargetMode="External"/><Relationship Id="rId7" Type="http://schemas.openxmlformats.org/officeDocument/2006/relationships/hyperlink" Target="https://www.newyorkfed.org/medialibrary/Microsites/arrc/files/2018/ARRC-Sept-24-2018-announcement.pdf" TargetMode="External"/><Relationship Id="rId8" Type="http://schemas.openxmlformats.org/officeDocument/2006/relationships/hyperlink" Target="https://www.bankofengland.co.uk/-/media/boe/files/markets/benchmarks/risk-free-reference-rates-new-issuance-of-sterling-bonds-referencing-libor.pdf?la=en&amp;hash=12F13D37E21F4B789813ED7386F34DA347370323" TargetMode="External"/><Relationship Id="rId9" Type="http://schemas.openxmlformats.org/officeDocument/2006/relationships/hyperlink" Target="https://www.lma.eu.com/application/files/1215/3726/6638/LMA_and_ACT_LIBOR_Guide_second_edition.pdf" TargetMode="External"/><Relationship Id="rId10" Type="http://schemas.openxmlformats.org/officeDocument/2006/relationships/hyperlink" Target="http://www.bankofengland.co.uk/-/media/boe/files/markets/benchmarks/consultation-on-term-sonia-referenc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ofthe Working Group on Sterling Risk-Free Reference Rates - September 2018</dc:title>
  <dcterms:created xsi:type="dcterms:W3CDTF">2020-06-01T02:25:21Z</dcterms:created>
  <dcterms:modified xsi:type="dcterms:W3CDTF">2020-06-01T02:25:21Z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Acrobat PDFMaker 10.1 for Word</vt:lpwstr>
  </property>
  <property fmtid="{D5CDD505-2E9C-101B-9397-08002B2CF9AE}" pid="4" name="LastSaved">
    <vt:filetime>2020-06-01T00:00:00Z</vt:filetime>
  </property>
</Properties>
</file>