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62" w:lineRule="auto" w:before="73"/>
        <w:ind w:left="262" w:right="136"/>
        <w:jc w:val="center"/>
      </w:pPr>
      <w:r>
        <w:rPr/>
        <w:t>Minutes of the Working Group on Sterling Risk-Free Reference Rates new member induction event Wednesday 24</w:t>
      </w:r>
      <w:r>
        <w:rPr>
          <w:vertAlign w:val="superscript"/>
        </w:rPr>
        <w:t>th</w:t>
      </w:r>
      <w:r>
        <w:rPr>
          <w:vertAlign w:val="baseline"/>
        </w:rPr>
        <w:t> January 2018</w:t>
      </w:r>
    </w:p>
    <w:p>
      <w:pPr>
        <w:spacing w:before="4"/>
        <w:ind w:left="258" w:right="136" w:firstLine="0"/>
        <w:jc w:val="center"/>
        <w:rPr>
          <w:b/>
          <w:sz w:val="20"/>
        </w:rPr>
      </w:pPr>
      <w:r>
        <w:rPr>
          <w:b/>
          <w:sz w:val="20"/>
        </w:rPr>
        <w:t>Barclays’ offices – 5 North Colonnade</w:t>
      </w:r>
    </w:p>
    <w:p>
      <w:pPr>
        <w:pStyle w:val="BodyText"/>
        <w:spacing w:before="11"/>
        <w:rPr>
          <w:b/>
          <w:sz w:val="30"/>
        </w:rPr>
      </w:pPr>
    </w:p>
    <w:p>
      <w:pPr>
        <w:spacing w:before="0"/>
        <w:ind w:left="197" w:right="0" w:firstLine="0"/>
        <w:jc w:val="left"/>
        <w:rPr>
          <w:b/>
          <w:sz w:val="20"/>
        </w:rPr>
      </w:pPr>
      <w:r>
        <w:rPr>
          <w:b/>
          <w:sz w:val="20"/>
        </w:rPr>
        <w:t>Background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360" w:lineRule="auto" w:before="0" w:after="0"/>
        <w:ind w:left="557" w:right="193" w:hanging="360"/>
        <w:jc w:val="left"/>
        <w:rPr>
          <w:sz w:val="20"/>
        </w:rPr>
      </w:pPr>
      <w:r>
        <w:rPr>
          <w:sz w:val="20"/>
        </w:rPr>
        <w:t>In early 2018 the Working Group on Sterling Risk-Free Reference Rates was reconstituted such that it would reflect a broader range of market participants.</w:t>
      </w: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The purpose of the induction was to summarise the Group’s work up to date and to outline the progress made on technical issues discussed in sub- groups.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357" w:lineRule="auto" w:before="0" w:after="0"/>
        <w:ind w:left="557" w:right="181" w:hanging="360"/>
        <w:jc w:val="left"/>
        <w:rPr>
          <w:sz w:val="20"/>
        </w:rPr>
      </w:pPr>
      <w:r>
        <w:rPr>
          <w:sz w:val="20"/>
        </w:rPr>
        <w:t>The session covered issues previously discussed in Working Group meetings. No material new issues were</w:t>
      </w:r>
      <w:r>
        <w:rPr>
          <w:spacing w:val="-2"/>
          <w:sz w:val="20"/>
        </w:rPr>
        <w:t> </w:t>
      </w:r>
      <w:r>
        <w:rPr>
          <w:sz w:val="20"/>
        </w:rPr>
        <w:t>raised.</w:t>
      </w:r>
    </w:p>
    <w:p>
      <w:pPr>
        <w:pStyle w:val="Heading1"/>
        <w:spacing w:before="121"/>
      </w:pPr>
      <w:r>
        <w:rPr/>
        <w:t>Introductions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360" w:lineRule="auto" w:before="1" w:after="0"/>
        <w:ind w:left="557" w:right="327" w:hanging="360"/>
        <w:jc w:val="left"/>
        <w:rPr>
          <w:sz w:val="20"/>
        </w:rPr>
      </w:pPr>
      <w:r>
        <w:rPr>
          <w:sz w:val="20"/>
        </w:rPr>
        <w:t>The Bank of England and FCA introduced the event. A round of introductions took place in which the Chair and Vice Chairs explained the scope of their</w:t>
      </w:r>
      <w:r>
        <w:rPr>
          <w:spacing w:val="-1"/>
          <w:sz w:val="20"/>
        </w:rPr>
        <w:t> </w:t>
      </w:r>
      <w:r>
        <w:rPr>
          <w:sz w:val="20"/>
        </w:rPr>
        <w:t>roles.</w:t>
      </w:r>
    </w:p>
    <w:p>
      <w:pPr>
        <w:pStyle w:val="Heading1"/>
        <w:spacing w:before="116"/>
      </w:pPr>
      <w:r>
        <w:rPr/>
        <w:t>Competition law</w:t>
      </w:r>
    </w:p>
    <w:p>
      <w:pPr>
        <w:pStyle w:val="BodyText"/>
        <w:spacing w:before="8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360" w:lineRule="auto" w:before="0" w:after="0"/>
        <w:ind w:left="557" w:right="98" w:hanging="360"/>
        <w:jc w:val="left"/>
        <w:rPr>
          <w:sz w:val="20"/>
        </w:rPr>
      </w:pPr>
      <w:r>
        <w:rPr>
          <w:sz w:val="20"/>
        </w:rPr>
        <w:t>The Chair reminded all members of the Working Group of their responsibilities in relation to</w:t>
      </w:r>
      <w:r>
        <w:rPr>
          <w:spacing w:val="-31"/>
          <w:sz w:val="20"/>
        </w:rPr>
        <w:t> </w:t>
      </w:r>
      <w:r>
        <w:rPr>
          <w:sz w:val="20"/>
        </w:rPr>
        <w:t>compliance with competition law and the importance of taking their own independent competition law</w:t>
      </w:r>
      <w:r>
        <w:rPr>
          <w:spacing w:val="-22"/>
          <w:sz w:val="20"/>
        </w:rPr>
        <w:t> </w:t>
      </w:r>
      <w:r>
        <w:rPr>
          <w:sz w:val="20"/>
        </w:rPr>
        <w:t>advice.</w:t>
      </w:r>
    </w:p>
    <w:p>
      <w:pPr>
        <w:pStyle w:val="Heading1"/>
        <w:spacing w:before="119"/>
      </w:pPr>
      <w:r>
        <w:rPr/>
        <w:t>Key areas covered in induction event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240" w:lineRule="auto" w:before="1" w:after="0"/>
        <w:ind w:left="557" w:right="0" w:hanging="361"/>
        <w:jc w:val="left"/>
        <w:rPr>
          <w:sz w:val="20"/>
        </w:rPr>
      </w:pPr>
      <w:r>
        <w:rPr>
          <w:sz w:val="20"/>
        </w:rPr>
        <w:t>Members were briefed on the following key</w:t>
      </w:r>
      <w:r>
        <w:rPr>
          <w:spacing w:val="-5"/>
          <w:sz w:val="20"/>
        </w:rPr>
        <w:t> </w:t>
      </w:r>
      <w:r>
        <w:rPr>
          <w:sz w:val="20"/>
        </w:rPr>
        <w:t>areas: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</w:tabs>
        <w:spacing w:line="240" w:lineRule="auto" w:before="115" w:after="0"/>
        <w:ind w:left="1277" w:right="0" w:hanging="361"/>
        <w:jc w:val="left"/>
        <w:rPr>
          <w:sz w:val="20"/>
        </w:rPr>
      </w:pPr>
      <w:r>
        <w:rPr>
          <w:sz w:val="20"/>
        </w:rPr>
        <w:t>Rationale for SONIA as the sterling risk-free reference rate</w:t>
      </w:r>
      <w:r>
        <w:rPr>
          <w:spacing w:val="-5"/>
          <w:sz w:val="20"/>
        </w:rPr>
        <w:t> </w:t>
      </w:r>
      <w:r>
        <w:rPr>
          <w:sz w:val="20"/>
        </w:rPr>
        <w:t>(RFR);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</w:tabs>
        <w:spacing w:line="240" w:lineRule="auto" w:before="116" w:after="0"/>
        <w:ind w:left="1277" w:right="0" w:hanging="361"/>
        <w:jc w:val="left"/>
        <w:rPr>
          <w:sz w:val="20"/>
        </w:rPr>
      </w:pPr>
      <w:r>
        <w:rPr>
          <w:sz w:val="20"/>
        </w:rPr>
        <w:t>Work being done to reform</w:t>
      </w:r>
      <w:r>
        <w:rPr>
          <w:spacing w:val="1"/>
          <w:sz w:val="20"/>
        </w:rPr>
        <w:t> </w:t>
      </w:r>
      <w:r>
        <w:rPr>
          <w:sz w:val="20"/>
        </w:rPr>
        <w:t>SONIA;</w:t>
      </w:r>
    </w:p>
    <w:p>
      <w:pPr>
        <w:pStyle w:val="ListParagraph"/>
        <w:numPr>
          <w:ilvl w:val="1"/>
          <w:numId w:val="1"/>
        </w:numPr>
        <w:tabs>
          <w:tab w:pos="1277" w:val="left" w:leader="none"/>
          <w:tab w:pos="1278" w:val="left" w:leader="none"/>
        </w:tabs>
        <w:spacing w:line="240" w:lineRule="auto" w:before="116" w:after="0"/>
        <w:ind w:left="1277" w:right="0" w:hanging="361"/>
        <w:jc w:val="left"/>
        <w:rPr>
          <w:sz w:val="20"/>
        </w:rPr>
      </w:pPr>
      <w:r>
        <w:rPr>
          <w:sz w:val="20"/>
        </w:rPr>
        <w:t>The future of Libor (a recap of Andrew Bailey’s July</w:t>
      </w:r>
      <w:r>
        <w:rPr>
          <w:spacing w:val="-8"/>
          <w:sz w:val="20"/>
        </w:rPr>
        <w:t> </w:t>
      </w:r>
      <w:r>
        <w:rPr>
          <w:sz w:val="20"/>
        </w:rPr>
        <w:t>speech</w:t>
      </w:r>
      <w:r>
        <w:rPr>
          <w:sz w:val="20"/>
          <w:vertAlign w:val="superscript"/>
        </w:rPr>
        <w:t>2</w:t>
      </w:r>
      <w:r>
        <w:rPr>
          <w:sz w:val="20"/>
          <w:vertAlign w:val="baseline"/>
        </w:rPr>
        <w:t>);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</w:tabs>
        <w:spacing w:line="240" w:lineRule="auto" w:before="113" w:after="0"/>
        <w:ind w:left="1277" w:right="0" w:hanging="361"/>
        <w:jc w:val="left"/>
        <w:rPr>
          <w:sz w:val="20"/>
        </w:rPr>
      </w:pPr>
      <w:r>
        <w:rPr>
          <w:sz w:val="20"/>
        </w:rPr>
        <w:t>The work of the following sub-groups of the Working</w:t>
      </w:r>
      <w:r>
        <w:rPr>
          <w:spacing w:val="-5"/>
          <w:sz w:val="20"/>
        </w:rPr>
        <w:t> </w:t>
      </w:r>
      <w:r>
        <w:rPr>
          <w:sz w:val="20"/>
        </w:rPr>
        <w:t>Group:</w:t>
      </w:r>
    </w:p>
    <w:p>
      <w:pPr>
        <w:pStyle w:val="ListParagraph"/>
        <w:numPr>
          <w:ilvl w:val="2"/>
          <w:numId w:val="1"/>
        </w:numPr>
        <w:tabs>
          <w:tab w:pos="1998" w:val="left" w:leader="none"/>
        </w:tabs>
        <w:spacing w:line="240" w:lineRule="auto" w:before="116" w:after="0"/>
        <w:ind w:left="1997" w:right="0" w:hanging="282"/>
        <w:jc w:val="left"/>
        <w:rPr>
          <w:sz w:val="20"/>
        </w:rPr>
      </w:pPr>
      <w:r>
        <w:rPr>
          <w:sz w:val="20"/>
        </w:rPr>
        <w:t>Term reference</w:t>
      </w:r>
      <w:r>
        <w:rPr>
          <w:spacing w:val="-1"/>
          <w:sz w:val="20"/>
        </w:rPr>
        <w:t> </w:t>
      </w:r>
      <w:r>
        <w:rPr>
          <w:sz w:val="20"/>
        </w:rPr>
        <w:t>rates;</w:t>
      </w:r>
    </w:p>
    <w:p>
      <w:pPr>
        <w:pStyle w:val="ListParagraph"/>
        <w:numPr>
          <w:ilvl w:val="2"/>
          <w:numId w:val="1"/>
        </w:numPr>
        <w:tabs>
          <w:tab w:pos="1998" w:val="left" w:leader="none"/>
        </w:tabs>
        <w:spacing w:line="240" w:lineRule="auto" w:before="115" w:after="0"/>
        <w:ind w:left="1997" w:right="0" w:hanging="325"/>
        <w:jc w:val="left"/>
        <w:rPr>
          <w:sz w:val="20"/>
        </w:rPr>
      </w:pPr>
      <w:r>
        <w:rPr>
          <w:sz w:val="20"/>
        </w:rPr>
        <w:t>SONIA</w:t>
      </w:r>
      <w:r>
        <w:rPr>
          <w:spacing w:val="-2"/>
          <w:sz w:val="20"/>
        </w:rPr>
        <w:t> </w:t>
      </w:r>
      <w:r>
        <w:rPr>
          <w:sz w:val="20"/>
        </w:rPr>
        <w:t>futures;</w:t>
      </w:r>
    </w:p>
    <w:p>
      <w:pPr>
        <w:pStyle w:val="ListParagraph"/>
        <w:numPr>
          <w:ilvl w:val="2"/>
          <w:numId w:val="1"/>
        </w:numPr>
        <w:tabs>
          <w:tab w:pos="1998" w:val="left" w:leader="none"/>
        </w:tabs>
        <w:spacing w:line="240" w:lineRule="auto" w:before="116" w:after="0"/>
        <w:ind w:left="1997" w:right="0" w:hanging="371"/>
        <w:jc w:val="left"/>
        <w:rPr>
          <w:sz w:val="20"/>
        </w:rPr>
      </w:pPr>
      <w:r>
        <w:rPr>
          <w:sz w:val="20"/>
        </w:rPr>
        <w:t>Pensions and Insurance</w:t>
      </w:r>
      <w:r>
        <w:rPr>
          <w:spacing w:val="-1"/>
          <w:sz w:val="20"/>
        </w:rPr>
        <w:t> </w:t>
      </w:r>
      <w:r>
        <w:rPr>
          <w:sz w:val="20"/>
        </w:rPr>
        <w:t>adoption;</w:t>
      </w:r>
    </w:p>
    <w:p>
      <w:pPr>
        <w:pStyle w:val="ListParagraph"/>
        <w:numPr>
          <w:ilvl w:val="2"/>
          <w:numId w:val="1"/>
        </w:numPr>
        <w:tabs>
          <w:tab w:pos="1998" w:val="left" w:leader="none"/>
        </w:tabs>
        <w:spacing w:line="240" w:lineRule="auto" w:before="113" w:after="0"/>
        <w:ind w:left="1997" w:right="0" w:hanging="380"/>
        <w:jc w:val="left"/>
        <w:rPr>
          <w:sz w:val="20"/>
        </w:rPr>
      </w:pPr>
      <w:r>
        <w:rPr>
          <w:sz w:val="20"/>
        </w:rPr>
        <w:t>Transition issues in syndicated loan</w:t>
      </w:r>
      <w:r>
        <w:rPr>
          <w:spacing w:val="-1"/>
          <w:sz w:val="20"/>
        </w:rPr>
        <w:t> </w:t>
      </w:r>
      <w:r>
        <w:rPr>
          <w:sz w:val="20"/>
        </w:rPr>
        <w:t>markets;</w:t>
      </w:r>
    </w:p>
    <w:p>
      <w:pPr>
        <w:pStyle w:val="ListParagraph"/>
        <w:numPr>
          <w:ilvl w:val="2"/>
          <w:numId w:val="1"/>
        </w:numPr>
        <w:tabs>
          <w:tab w:pos="1998" w:val="left" w:leader="none"/>
        </w:tabs>
        <w:spacing w:line="240" w:lineRule="auto" w:before="116" w:after="0"/>
        <w:ind w:left="1997" w:right="0" w:hanging="337"/>
        <w:jc w:val="left"/>
        <w:rPr>
          <w:sz w:val="20"/>
        </w:rPr>
      </w:pPr>
      <w:r>
        <w:rPr>
          <w:sz w:val="20"/>
        </w:rPr>
        <w:t>Transition issues in bond markets;</w:t>
      </w:r>
    </w:p>
    <w:p>
      <w:pPr>
        <w:pStyle w:val="ListParagraph"/>
        <w:numPr>
          <w:ilvl w:val="1"/>
          <w:numId w:val="1"/>
        </w:numPr>
        <w:tabs>
          <w:tab w:pos="1278" w:val="left" w:leader="none"/>
        </w:tabs>
        <w:spacing w:line="360" w:lineRule="auto" w:before="115" w:after="0"/>
        <w:ind w:left="1277" w:right="867" w:hanging="360"/>
        <w:jc w:val="left"/>
        <w:rPr>
          <w:sz w:val="20"/>
        </w:rPr>
      </w:pPr>
      <w:r>
        <w:rPr>
          <w:sz w:val="20"/>
        </w:rPr>
        <w:t>The progress of the ISDA working group looking at fallback arrangements in</w:t>
      </w:r>
      <w:r>
        <w:rPr>
          <w:spacing w:val="-22"/>
          <w:sz w:val="20"/>
        </w:rPr>
        <w:t> </w:t>
      </w:r>
      <w:r>
        <w:rPr>
          <w:sz w:val="20"/>
        </w:rPr>
        <w:t>derivative contracts</w:t>
      </w:r>
    </w:p>
    <w:p>
      <w:pPr>
        <w:pStyle w:val="ListParagraph"/>
        <w:numPr>
          <w:ilvl w:val="0"/>
          <w:numId w:val="1"/>
        </w:numPr>
        <w:tabs>
          <w:tab w:pos="558" w:val="left" w:leader="none"/>
        </w:tabs>
        <w:spacing w:line="360" w:lineRule="auto" w:before="0" w:after="0"/>
        <w:ind w:left="557" w:right="453" w:hanging="360"/>
        <w:jc w:val="left"/>
        <w:rPr>
          <w:sz w:val="20"/>
        </w:rPr>
      </w:pPr>
      <w:r>
        <w:rPr>
          <w:sz w:val="20"/>
        </w:rPr>
        <w:t>The event concluded with a closing statement from Chris Salmon in which he thanked members</w:t>
      </w:r>
      <w:r>
        <w:rPr>
          <w:spacing w:val="-28"/>
          <w:sz w:val="20"/>
        </w:rPr>
        <w:t> </w:t>
      </w:r>
      <w:r>
        <w:rPr>
          <w:sz w:val="20"/>
        </w:rPr>
        <w:t>for their commitment to the work of the Working</w:t>
      </w:r>
      <w:r>
        <w:rPr>
          <w:spacing w:val="-6"/>
          <w:sz w:val="20"/>
        </w:rPr>
        <w:t> </w:t>
      </w:r>
      <w:r>
        <w:rPr>
          <w:sz w:val="20"/>
        </w:rPr>
        <w:t>Group.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rect style="position:absolute;margin-left:63.863998pt;margin-top:8.619347pt;width:144.020pt;height:.7199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3"/>
        <w:ind w:left="197" w:right="759"/>
        <w:rPr>
          <w:rFonts w:ascii="Carlito"/>
        </w:rPr>
      </w:pPr>
      <w:r>
        <w:rPr>
          <w:rFonts w:ascii="Carlito"/>
          <w:vertAlign w:val="superscript"/>
        </w:rPr>
        <w:t>1</w:t>
      </w:r>
      <w:r>
        <w:rPr>
          <w:rFonts w:ascii="Carlito"/>
          <w:vertAlign w:val="baseline"/>
        </w:rPr>
        <w:t> A press release announcing the reconstitution of the group can be found at the following link: </w:t>
      </w:r>
      <w:hyperlink r:id="rId5">
        <w:r>
          <w:rPr>
            <w:rFonts w:ascii="Carlito"/>
            <w:color w:val="0000FF"/>
            <w:w w:val="95"/>
            <w:u w:val="single" w:color="0000FF"/>
            <w:vertAlign w:val="baseline"/>
          </w:rPr>
          <w:t>https://www.bankofengland.co.uk/news/2017/november/bank-and-fca-launch-next-phase-of-sterling-libor-</w:t>
        </w:r>
      </w:hyperlink>
      <w:r>
        <w:rPr>
          <w:rFonts w:ascii="Carlito"/>
          <w:color w:val="0000FF"/>
          <w:w w:val="95"/>
          <w:vertAlign w:val="baseline"/>
        </w:rPr>
        <w:t> </w:t>
      </w:r>
      <w:hyperlink r:id="rId5">
        <w:r>
          <w:rPr>
            <w:rFonts w:ascii="Carlito"/>
            <w:color w:val="0000FF"/>
            <w:u w:val="single" w:color="0000FF"/>
            <w:vertAlign w:val="baseline"/>
          </w:rPr>
          <w:t>transition-work</w:t>
        </w:r>
      </w:hyperlink>
    </w:p>
    <w:p>
      <w:pPr>
        <w:pStyle w:val="BodyText"/>
        <w:spacing w:line="244" w:lineRule="exact"/>
        <w:ind w:left="197"/>
        <w:rPr>
          <w:rFonts w:ascii="Carlito"/>
        </w:rPr>
      </w:pPr>
      <w:r>
        <w:rPr>
          <w:rFonts w:ascii="Carlito"/>
          <w:vertAlign w:val="superscript"/>
        </w:rPr>
        <w:t>2</w:t>
      </w:r>
      <w:r>
        <w:rPr>
          <w:rFonts w:ascii="Carlito"/>
          <w:vertAlign w:val="baseline"/>
        </w:rPr>
        <w:t> </w:t>
      </w:r>
      <w:hyperlink r:id="rId6">
        <w:r>
          <w:rPr>
            <w:rFonts w:ascii="Carlito"/>
            <w:color w:val="0000FF"/>
            <w:u w:val="single" w:color="0000FF"/>
            <w:vertAlign w:val="baseline"/>
          </w:rPr>
          <w:t>https://www.fca.org.uk/news/speeches/the-future-of-libor</w:t>
        </w:r>
      </w:hyperlink>
    </w:p>
    <w:p>
      <w:pPr>
        <w:spacing w:after="0" w:line="244" w:lineRule="exact"/>
        <w:rPr>
          <w:rFonts w:ascii="Carlito"/>
        </w:rPr>
        <w:sectPr>
          <w:type w:val="continuous"/>
          <w:pgSz w:w="11910" w:h="16840"/>
          <w:pgMar w:top="1180" w:bottom="280" w:left="1080" w:right="1060"/>
        </w:sectPr>
      </w:pPr>
    </w:p>
    <w:p>
      <w:pPr>
        <w:pStyle w:val="Heading1"/>
        <w:spacing w:before="73"/>
      </w:pPr>
      <w:r>
        <w:rPr/>
        <w:t>Private sector</w:t>
      </w:r>
      <w:r>
        <w:rPr>
          <w:spacing w:val="-11"/>
        </w:rPr>
        <w:t> </w:t>
      </w:r>
      <w:r>
        <w:rPr/>
        <w:t>attendees</w:t>
      </w: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3"/>
        <w:gridCol w:w="5628"/>
      </w:tblGrid>
      <w:tr>
        <w:trPr>
          <w:trHeight w:val="262" w:hRule="atLeast"/>
        </w:trPr>
        <w:tc>
          <w:tcPr>
            <w:tcW w:w="2963" w:type="dxa"/>
          </w:tcPr>
          <w:p>
            <w:pPr>
              <w:pStyle w:val="TableParagraph"/>
              <w:spacing w:line="225" w:lineRule="exact" w:before="0"/>
              <w:rPr>
                <w:sz w:val="20"/>
              </w:rPr>
            </w:pPr>
            <w:r>
              <w:rPr>
                <w:sz w:val="20"/>
              </w:rPr>
              <w:t>Francois Jourdain</w:t>
            </w:r>
          </w:p>
        </w:tc>
        <w:tc>
          <w:tcPr>
            <w:tcW w:w="5628" w:type="dxa"/>
          </w:tcPr>
          <w:p>
            <w:pPr>
              <w:pStyle w:val="TableParagraph"/>
              <w:spacing w:line="223" w:lineRule="exact" w:before="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Barclays (Chair)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Andreas Giannopoulos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Barclays (Chair’s office)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Simon Wilkinson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Legal &amp; General Investment Management (Vice Chair)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Frances Hinden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Shell (Vice Chair)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Robert De Roeck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Aberdeen Standard Investments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Shaun Kennedy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Associated British Ports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Sarah Boyce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Association of Corporate Treasurers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Nick Saggers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Bank of America Merrill Lynch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Robert Mitchelson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Blackrock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Aude Pacatte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European Bank for Reconstruction &amp; Development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Jasper Lillingston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European Bank for Reconstruction &amp; Development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Sarah-Jane Chilver-Stainer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GlaxoSmithKline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Nikhil Choraria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Goldman Sachs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spacing w:before="33"/>
              <w:rPr>
                <w:sz w:val="20"/>
              </w:rPr>
            </w:pPr>
            <w:r>
              <w:rPr>
                <w:sz w:val="20"/>
              </w:rPr>
              <w:t>Chirag Dave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Goldman Sachs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Robert Gall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Insight Investment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Chris Rhodes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ICE Group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Paul Richards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ICMA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Rick Sandilands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ISDA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Galina Dimitrova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Investment Association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Ross Barrett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Investment Association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Clare Dawson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Loan Market Association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David Horner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London Stock Exchange Group</w:t>
            </w:r>
          </w:p>
        </w:tc>
      </w:tr>
      <w:tr>
        <w:trPr>
          <w:trHeight w:val="300" w:hRule="atLeast"/>
        </w:trPr>
        <w:tc>
          <w:tcPr>
            <w:tcW w:w="296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David Covey</w:t>
            </w:r>
          </w:p>
        </w:tc>
        <w:tc>
          <w:tcPr>
            <w:tcW w:w="5628" w:type="dxa"/>
          </w:tcPr>
          <w:p>
            <w:pPr>
              <w:pStyle w:val="TableParagraph"/>
              <w:spacing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M&amp;G Investments</w:t>
            </w:r>
          </w:p>
        </w:tc>
      </w:tr>
      <w:tr>
        <w:trPr>
          <w:trHeight w:val="262" w:hRule="atLeast"/>
        </w:trPr>
        <w:tc>
          <w:tcPr>
            <w:tcW w:w="2963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Tommy Chung</w:t>
            </w:r>
          </w:p>
        </w:tc>
        <w:tc>
          <w:tcPr>
            <w:tcW w:w="5628" w:type="dxa"/>
          </w:tcPr>
          <w:p>
            <w:pPr>
              <w:pStyle w:val="TableParagraph"/>
              <w:spacing w:line="212" w:lineRule="exact" w:before="30"/>
              <w:ind w:left="355"/>
              <w:rPr>
                <w:b/>
                <w:sz w:val="20"/>
              </w:rPr>
            </w:pPr>
            <w:r>
              <w:rPr>
                <w:b/>
                <w:sz w:val="20"/>
              </w:rPr>
              <w:t>Nationwide Building Society</w:t>
            </w:r>
          </w:p>
        </w:tc>
      </w:tr>
    </w:tbl>
    <w:p>
      <w:pPr>
        <w:pStyle w:val="BodyText"/>
        <w:rPr>
          <w:b/>
          <w:sz w:val="29"/>
        </w:rPr>
      </w:pPr>
    </w:p>
    <w:p>
      <w:pPr>
        <w:spacing w:before="0"/>
        <w:ind w:left="197" w:right="0" w:firstLine="0"/>
        <w:jc w:val="left"/>
        <w:rPr>
          <w:b/>
          <w:sz w:val="20"/>
        </w:rPr>
      </w:pPr>
      <w:r>
        <w:rPr>
          <w:b/>
          <w:sz w:val="20"/>
        </w:rPr>
        <w:t>Official sector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attendees</w:t>
      </w: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2"/>
        <w:gridCol w:w="3435"/>
      </w:tblGrid>
      <w:tr>
        <w:trPr>
          <w:trHeight w:val="263" w:hRule="atLeast"/>
        </w:trPr>
        <w:tc>
          <w:tcPr>
            <w:tcW w:w="2802" w:type="dxa"/>
          </w:tcPr>
          <w:p>
            <w:pPr>
              <w:pStyle w:val="TableParagraph"/>
              <w:spacing w:line="225" w:lineRule="exact" w:before="0"/>
              <w:rPr>
                <w:sz w:val="20"/>
              </w:rPr>
            </w:pPr>
            <w:r>
              <w:rPr>
                <w:sz w:val="20"/>
              </w:rPr>
              <w:t>Chris Salmon</w:t>
            </w:r>
          </w:p>
        </w:tc>
        <w:tc>
          <w:tcPr>
            <w:tcW w:w="3435" w:type="dxa"/>
          </w:tcPr>
          <w:p>
            <w:pPr>
              <w:pStyle w:val="TableParagraph"/>
              <w:spacing w:line="223" w:lineRule="exact" w:before="0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Bank of England</w:t>
            </w:r>
          </w:p>
        </w:tc>
      </w:tr>
      <w:tr>
        <w:trPr>
          <w:trHeight w:val="303" w:hRule="atLeast"/>
        </w:trPr>
        <w:tc>
          <w:tcPr>
            <w:tcW w:w="2802" w:type="dxa"/>
          </w:tcPr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Ed Ocampo</w:t>
            </w:r>
          </w:p>
        </w:tc>
        <w:tc>
          <w:tcPr>
            <w:tcW w:w="3435" w:type="dxa"/>
          </w:tcPr>
          <w:p>
            <w:pPr>
              <w:pStyle w:val="TableParagraph"/>
              <w:spacing w:before="31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Bank of England</w:t>
            </w:r>
          </w:p>
        </w:tc>
      </w:tr>
      <w:tr>
        <w:trPr>
          <w:trHeight w:val="303" w:hRule="atLeast"/>
        </w:trPr>
        <w:tc>
          <w:tcPr>
            <w:tcW w:w="2802" w:type="dxa"/>
          </w:tcPr>
          <w:p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Tim Taylor</w:t>
            </w:r>
          </w:p>
        </w:tc>
        <w:tc>
          <w:tcPr>
            <w:tcW w:w="3435" w:type="dxa"/>
          </w:tcPr>
          <w:p>
            <w:pPr>
              <w:pStyle w:val="TableParagraph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Bank of England</w:t>
            </w:r>
          </w:p>
        </w:tc>
      </w:tr>
      <w:tr>
        <w:trPr>
          <w:trHeight w:val="302" w:hRule="atLeast"/>
        </w:trPr>
        <w:tc>
          <w:tcPr>
            <w:tcW w:w="2802" w:type="dxa"/>
          </w:tcPr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Imane Bakkar</w:t>
            </w:r>
          </w:p>
        </w:tc>
        <w:tc>
          <w:tcPr>
            <w:tcW w:w="3435" w:type="dxa"/>
          </w:tcPr>
          <w:p>
            <w:pPr>
              <w:pStyle w:val="TableParagraph"/>
              <w:spacing w:before="31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Bank of England</w:t>
            </w:r>
          </w:p>
        </w:tc>
      </w:tr>
      <w:tr>
        <w:trPr>
          <w:trHeight w:val="302" w:hRule="atLeast"/>
        </w:trPr>
        <w:tc>
          <w:tcPr>
            <w:tcW w:w="2802" w:type="dxa"/>
          </w:tcPr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Will Parry</w:t>
            </w:r>
          </w:p>
        </w:tc>
        <w:tc>
          <w:tcPr>
            <w:tcW w:w="3435" w:type="dxa"/>
          </w:tcPr>
          <w:p>
            <w:pPr>
              <w:pStyle w:val="TableParagraph"/>
              <w:spacing w:before="31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Bank of England</w:t>
            </w:r>
          </w:p>
        </w:tc>
      </w:tr>
      <w:tr>
        <w:trPr>
          <w:trHeight w:val="303" w:hRule="atLeast"/>
        </w:trPr>
        <w:tc>
          <w:tcPr>
            <w:tcW w:w="2802" w:type="dxa"/>
          </w:tcPr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Rob Harris</w:t>
            </w:r>
          </w:p>
        </w:tc>
        <w:tc>
          <w:tcPr>
            <w:tcW w:w="3435" w:type="dxa"/>
          </w:tcPr>
          <w:p>
            <w:pPr>
              <w:pStyle w:val="TableParagraph"/>
              <w:spacing w:before="31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Bank of England</w:t>
            </w:r>
          </w:p>
        </w:tc>
      </w:tr>
      <w:tr>
        <w:trPr>
          <w:trHeight w:val="303" w:hRule="atLeast"/>
        </w:trPr>
        <w:tc>
          <w:tcPr>
            <w:tcW w:w="2802" w:type="dxa"/>
          </w:tcPr>
          <w:p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Josh Jones</w:t>
            </w:r>
          </w:p>
        </w:tc>
        <w:tc>
          <w:tcPr>
            <w:tcW w:w="3435" w:type="dxa"/>
          </w:tcPr>
          <w:p>
            <w:pPr>
              <w:pStyle w:val="TableParagraph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Bank of England</w:t>
            </w:r>
          </w:p>
        </w:tc>
      </w:tr>
      <w:tr>
        <w:trPr>
          <w:trHeight w:val="302" w:hRule="atLeast"/>
        </w:trPr>
        <w:tc>
          <w:tcPr>
            <w:tcW w:w="2802" w:type="dxa"/>
          </w:tcPr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Edwin Schooling Latter</w:t>
            </w:r>
          </w:p>
        </w:tc>
        <w:tc>
          <w:tcPr>
            <w:tcW w:w="3435" w:type="dxa"/>
          </w:tcPr>
          <w:p>
            <w:pPr>
              <w:pStyle w:val="TableParagraph"/>
              <w:spacing w:before="31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Financial Conduct Authority</w:t>
            </w:r>
          </w:p>
        </w:tc>
      </w:tr>
      <w:tr>
        <w:trPr>
          <w:trHeight w:val="302" w:hRule="atLeast"/>
        </w:trPr>
        <w:tc>
          <w:tcPr>
            <w:tcW w:w="2802" w:type="dxa"/>
          </w:tcPr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Harriet Hunnable</w:t>
            </w:r>
          </w:p>
        </w:tc>
        <w:tc>
          <w:tcPr>
            <w:tcW w:w="3435" w:type="dxa"/>
          </w:tcPr>
          <w:p>
            <w:pPr>
              <w:pStyle w:val="TableParagraph"/>
              <w:spacing w:before="31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Financial Conduct Authority</w:t>
            </w:r>
          </w:p>
        </w:tc>
      </w:tr>
      <w:tr>
        <w:trPr>
          <w:trHeight w:val="303" w:hRule="atLeast"/>
        </w:trPr>
        <w:tc>
          <w:tcPr>
            <w:tcW w:w="2802" w:type="dxa"/>
          </w:tcPr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Devid Mazzonetto</w:t>
            </w:r>
          </w:p>
        </w:tc>
        <w:tc>
          <w:tcPr>
            <w:tcW w:w="3435" w:type="dxa"/>
          </w:tcPr>
          <w:p>
            <w:pPr>
              <w:pStyle w:val="TableParagraph"/>
              <w:spacing w:before="31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Financial Conduct Authority</w:t>
            </w:r>
          </w:p>
        </w:tc>
      </w:tr>
      <w:tr>
        <w:trPr>
          <w:trHeight w:val="303" w:hRule="atLeast"/>
        </w:trPr>
        <w:tc>
          <w:tcPr>
            <w:tcW w:w="2802" w:type="dxa"/>
          </w:tcPr>
          <w:p>
            <w:pPr>
              <w:pStyle w:val="TableParagraph"/>
              <w:spacing w:before="35"/>
              <w:rPr>
                <w:sz w:val="20"/>
              </w:rPr>
            </w:pPr>
            <w:r>
              <w:rPr>
                <w:sz w:val="20"/>
              </w:rPr>
              <w:t>Heather Pilley</w:t>
            </w:r>
          </w:p>
        </w:tc>
        <w:tc>
          <w:tcPr>
            <w:tcW w:w="3435" w:type="dxa"/>
          </w:tcPr>
          <w:p>
            <w:pPr>
              <w:pStyle w:val="TableParagraph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Financial Conduct Authority</w:t>
            </w:r>
          </w:p>
        </w:tc>
      </w:tr>
      <w:tr>
        <w:trPr>
          <w:trHeight w:val="302" w:hRule="atLeast"/>
        </w:trPr>
        <w:tc>
          <w:tcPr>
            <w:tcW w:w="2802" w:type="dxa"/>
          </w:tcPr>
          <w:p>
            <w:pPr>
              <w:pStyle w:val="TableParagraph"/>
              <w:spacing w:before="34"/>
              <w:rPr>
                <w:sz w:val="20"/>
              </w:rPr>
            </w:pPr>
            <w:r>
              <w:rPr>
                <w:sz w:val="20"/>
              </w:rPr>
              <w:t>Adeshini Naidoo</w:t>
            </w:r>
          </w:p>
        </w:tc>
        <w:tc>
          <w:tcPr>
            <w:tcW w:w="3435" w:type="dxa"/>
          </w:tcPr>
          <w:p>
            <w:pPr>
              <w:pStyle w:val="TableParagraph"/>
              <w:spacing w:before="31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Financial Conduct Authority</w:t>
            </w:r>
          </w:p>
        </w:tc>
      </w:tr>
      <w:tr>
        <w:trPr>
          <w:trHeight w:val="263" w:hRule="atLeast"/>
        </w:trPr>
        <w:tc>
          <w:tcPr>
            <w:tcW w:w="2802" w:type="dxa"/>
          </w:tcPr>
          <w:p>
            <w:pPr>
              <w:pStyle w:val="TableParagraph"/>
              <w:spacing w:line="210" w:lineRule="exact" w:before="34"/>
              <w:rPr>
                <w:sz w:val="20"/>
              </w:rPr>
            </w:pPr>
            <w:r>
              <w:rPr>
                <w:sz w:val="20"/>
              </w:rPr>
              <w:t>Toby Williams</w:t>
            </w:r>
          </w:p>
        </w:tc>
        <w:tc>
          <w:tcPr>
            <w:tcW w:w="3435" w:type="dxa"/>
          </w:tcPr>
          <w:p>
            <w:pPr>
              <w:pStyle w:val="TableParagraph"/>
              <w:spacing w:line="212" w:lineRule="exact" w:before="31"/>
              <w:ind w:left="559"/>
              <w:rPr>
                <w:b/>
                <w:sz w:val="20"/>
              </w:rPr>
            </w:pPr>
            <w:r>
              <w:rPr>
                <w:b/>
                <w:sz w:val="20"/>
              </w:rPr>
              <w:t>Financial Conduct Authority</w:t>
            </w:r>
          </w:p>
        </w:tc>
      </w:tr>
    </w:tbl>
    <w:sectPr>
      <w:pgSz w:w="11910" w:h="16840"/>
      <w:pgMar w:top="1180" w:bottom="280" w:left="10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7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277" w:hanging="360"/>
        <w:jc w:val="left"/>
      </w:pPr>
      <w:rPr>
        <w:rFonts w:hint="default" w:ascii="Arial" w:hAnsi="Arial" w:eastAsia="Arial" w:cs="Arial"/>
        <w:spacing w:val="-1"/>
        <w:w w:val="99"/>
        <w:sz w:val="20"/>
        <w:szCs w:val="20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1997" w:hanging="281"/>
        <w:jc w:val="right"/>
      </w:pPr>
      <w:rPr>
        <w:rFonts w:hint="default" w:ascii="Arial" w:hAnsi="Arial" w:eastAsia="Arial" w:cs="Arial"/>
        <w:spacing w:val="-2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4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7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6"/>
      <w:ind w:left="557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2"/>
      <w:ind w:left="20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bankofengland.co.uk/news/2017/november/bank-and-fca-launch-next-phase-of-sterling-libor-transition-work" TargetMode="External"/><Relationship Id="rId6" Type="http://schemas.openxmlformats.org/officeDocument/2006/relationships/hyperlink" Target="https://www.fca.org.uk/news/speeches/the-future-of-libor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Minutes</dc:subject>
  <dc:title>Minutes of the Working Group on Sterling Risk-Free Reference Rates</dc:title>
  <dcterms:created xsi:type="dcterms:W3CDTF">2020-06-02T14:23:28Z</dcterms:created>
  <dcterms:modified xsi:type="dcterms:W3CDTF">2020-06-02T14:23:28Z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2018-02-21T00:00:00Z</vt:filetime>
  </property>
  <property fmtid="{D5CDD505-2E9C-101B-9397-08002B2CF9AE}" pid="3" name="LastSaved">
    <vt:filetime>2020-06-02T00:00:00Z</vt:filetime>
  </property>
</Properties>
</file>