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116" w:val="left" w:leader="none"/>
        </w:tabs>
        <w:spacing w:line="240" w:lineRule="auto"/>
        <w:ind w:left="160" w:right="0" w:firstLine="0"/>
        <w:rPr>
          <w:rFonts w:ascii="Times New Roman"/>
          <w:sz w:val="20"/>
        </w:rPr>
      </w:pPr>
      <w:r>
        <w:rPr>
          <w:rFonts w:ascii="Times New Roman"/>
          <w:sz w:val="20"/>
        </w:rPr>
        <w:drawing>
          <wp:inline distT="0" distB="0" distL="0" distR="0">
            <wp:extent cx="465798" cy="47148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65798" cy="471487"/>
                    </a:xfrm>
                    <a:prstGeom prst="rect">
                      <a:avLst/>
                    </a:prstGeom>
                  </pic:spPr>
                </pic:pic>
              </a:graphicData>
            </a:graphic>
          </wp:inline>
        </w:drawing>
      </w:r>
      <w:r>
        <w:rPr>
          <w:rFonts w:ascii="Times New Roman"/>
          <w:sz w:val="20"/>
        </w:rPr>
      </w:r>
      <w:r>
        <w:rPr>
          <w:rFonts w:ascii="Times New Roman"/>
          <w:sz w:val="20"/>
        </w:rPr>
        <w:tab/>
      </w:r>
      <w:r>
        <w:rPr>
          <w:rFonts w:ascii="Times New Roman"/>
          <w:position w:val="27"/>
          <w:sz w:val="20"/>
        </w:rPr>
        <w:pict>
          <v:group style="width:28.3pt;height:9.9pt;mso-position-horizontal-relative:char;mso-position-vertical-relative:line" coordorigin="0,0" coordsize="566,198">
            <v:shape style="position:absolute;left:0;top:0;width:126;height:197" type="#_x0000_t75" stroked="false">
              <v:imagedata r:id="rId7" o:title=""/>
            </v:shape>
            <v:shape style="position:absolute;left:167;top:0;width:175;height:198" type="#_x0000_t75" stroked="false">
              <v:imagedata r:id="rId8" o:title=""/>
            </v:shape>
            <v:shape style="position:absolute;left:394;top:0;width:171;height:197" type="#_x0000_t75" stroked="false">
              <v:imagedata r:id="rId9" o:title=""/>
            </v:shape>
          </v:group>
        </w:pict>
      </w:r>
      <w:r>
        <w:rPr>
          <w:rFonts w:ascii="Times New Roman"/>
          <w:position w:val="27"/>
          <w:sz w:val="20"/>
        </w:rPr>
      </w:r>
      <w:r>
        <w:rPr>
          <w:rFonts w:ascii="Times New Roman"/>
          <w:spacing w:val="15"/>
          <w:position w:val="27"/>
          <w:sz w:val="19"/>
        </w:rPr>
        <w:t> </w:t>
      </w:r>
      <w:r>
        <w:rPr>
          <w:rFonts w:ascii="Times New Roman"/>
          <w:spacing w:val="15"/>
          <w:position w:val="27"/>
          <w:sz w:val="20"/>
        </w:rPr>
        <w:drawing>
          <wp:inline distT="0" distB="0" distL="0" distR="0">
            <wp:extent cx="88922" cy="12382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10" cstate="print"/>
                    <a:stretch>
                      <a:fillRect/>
                    </a:stretch>
                  </pic:blipFill>
                  <pic:spPr>
                    <a:xfrm>
                      <a:off x="0" y="0"/>
                      <a:ext cx="88922" cy="123825"/>
                    </a:xfrm>
                    <a:prstGeom prst="rect">
                      <a:avLst/>
                    </a:prstGeom>
                  </pic:spPr>
                </pic:pic>
              </a:graphicData>
            </a:graphic>
          </wp:inline>
        </w:drawing>
      </w:r>
      <w:r>
        <w:rPr>
          <w:rFonts w:ascii="Times New Roman"/>
          <w:spacing w:val="15"/>
          <w:position w:val="27"/>
          <w:sz w:val="20"/>
        </w:rPr>
      </w:r>
      <w:r>
        <w:rPr>
          <w:rFonts w:ascii="Times New Roman"/>
          <w:spacing w:val="66"/>
          <w:position w:val="27"/>
          <w:sz w:val="20"/>
        </w:rPr>
        <w:t> </w:t>
      </w:r>
      <w:r>
        <w:rPr>
          <w:rFonts w:ascii="Times New Roman"/>
          <w:spacing w:val="66"/>
          <w:position w:val="27"/>
          <w:sz w:val="20"/>
        </w:rPr>
        <w:pict>
          <v:group style="width:18.55pt;height:10.1pt;mso-position-horizontal-relative:char;mso-position-vertical-relative:line" coordorigin="0,0" coordsize="371,202">
            <v:shape style="position:absolute;left:258;top:1;width:113;height:197" type="#_x0000_t75" stroked="false">
              <v:imagedata r:id="rId11" o:title=""/>
            </v:shape>
            <v:shape style="position:absolute;left:0;top:0;width:194;height:202" type="#_x0000_t75" stroked="false">
              <v:imagedata r:id="rId12" o:title=""/>
            </v:shape>
          </v:group>
        </w:pict>
      </w:r>
      <w:r>
        <w:rPr>
          <w:rFonts w:ascii="Times New Roman"/>
          <w:spacing w:val="66"/>
          <w:position w:val="27"/>
          <w:sz w:val="20"/>
        </w:rPr>
      </w:r>
      <w:r>
        <w:rPr>
          <w:rFonts w:ascii="Times New Roman"/>
          <w:spacing w:val="80"/>
          <w:position w:val="27"/>
          <w:sz w:val="20"/>
        </w:rPr>
        <w:t> </w:t>
      </w:r>
      <w:r>
        <w:rPr>
          <w:rFonts w:ascii="Times New Roman"/>
          <w:spacing w:val="80"/>
          <w:position w:val="27"/>
          <w:sz w:val="20"/>
        </w:rPr>
        <w:pict>
          <v:group style="width:29.4pt;height:10.1pt;mso-position-horizontal-relative:char;mso-position-vertical-relative:line" coordorigin="0,0" coordsize="588,202">
            <v:shape style="position:absolute;left:0;top:1;width:119;height:197" type="#_x0000_t75" stroked="false">
              <v:imagedata r:id="rId13" o:title=""/>
            </v:shape>
            <v:shape style="position:absolute;left:184;top:1;width:171;height:197" type="#_x0000_t75" stroked="false">
              <v:imagedata r:id="rId14" o:title=""/>
            </v:shape>
            <v:shape style="position:absolute;left:418;top:0;width:169;height:202" type="#_x0000_t75" stroked="false">
              <v:imagedata r:id="rId15" o:title=""/>
            </v:shape>
          </v:group>
        </w:pict>
      </w:r>
      <w:r>
        <w:rPr>
          <w:rFonts w:ascii="Times New Roman"/>
          <w:spacing w:val="80"/>
          <w:position w:val="27"/>
          <w:sz w:val="20"/>
        </w:rPr>
      </w:r>
      <w:r>
        <w:rPr>
          <w:rFonts w:ascii="Times New Roman"/>
          <w:spacing w:val="10"/>
          <w:position w:val="27"/>
          <w:sz w:val="20"/>
        </w:rPr>
        <w:t> </w:t>
      </w:r>
      <w:r>
        <w:rPr>
          <w:rFonts w:ascii="Times New Roman"/>
          <w:spacing w:val="10"/>
          <w:position w:val="27"/>
          <w:sz w:val="20"/>
        </w:rPr>
        <w:pict>
          <v:group style="width:26.65pt;height:9.9pt;mso-position-horizontal-relative:char;mso-position-vertical-relative:line" coordorigin="0,0" coordsize="533,198">
            <v:line style="position:absolute" from="15,1" to="15,172" stroked="true" strokeweight="1.549727pt" strokecolor="#231f20">
              <v:stroke dashstyle="solid"/>
            </v:line>
            <v:rect style="position:absolute;left:0;top:171;width:101;height:27" filled="true" fillcolor="#231f20" stroked="false">
              <v:fill type="solid"/>
            </v:rect>
            <v:shape style="position:absolute;left:361;top:0;width:171;height:197" type="#_x0000_t75" stroked="false">
              <v:imagedata r:id="rId16" o:title=""/>
            </v:shape>
            <v:shape style="position:absolute;left:134;top:0;width:175;height:198" type="#_x0000_t75" stroked="false">
              <v:imagedata r:id="rId8" o:title=""/>
            </v:shape>
          </v:group>
        </w:pict>
      </w:r>
      <w:r>
        <w:rPr>
          <w:rFonts w:ascii="Times New Roman"/>
          <w:spacing w:val="10"/>
          <w:position w:val="27"/>
          <w:sz w:val="20"/>
        </w:rPr>
      </w:r>
      <w:r>
        <w:rPr>
          <w:rFonts w:ascii="Times New Roman"/>
          <w:spacing w:val="29"/>
          <w:position w:val="27"/>
          <w:sz w:val="19"/>
        </w:rPr>
        <w:t> </w:t>
      </w:r>
      <w:r>
        <w:rPr>
          <w:rFonts w:ascii="Times New Roman"/>
          <w:spacing w:val="29"/>
          <w:position w:val="27"/>
          <w:sz w:val="20"/>
        </w:rPr>
        <w:drawing>
          <wp:inline distT="0" distB="0" distL="0" distR="0">
            <wp:extent cx="101361" cy="123825"/>
            <wp:effectExtent l="0" t="0" r="0" b="0"/>
            <wp:docPr id="5" name="image12.png"/>
            <wp:cNvGraphicFramePr>
              <a:graphicFrameLocks noChangeAspect="1"/>
            </wp:cNvGraphicFramePr>
            <a:graphic>
              <a:graphicData uri="http://schemas.openxmlformats.org/drawingml/2006/picture">
                <pic:pic>
                  <pic:nvPicPr>
                    <pic:cNvPr id="6" name="image12.png"/>
                    <pic:cNvPicPr/>
                  </pic:nvPicPr>
                  <pic:blipFill>
                    <a:blip r:embed="rId17" cstate="print"/>
                    <a:stretch>
                      <a:fillRect/>
                    </a:stretch>
                  </pic:blipFill>
                  <pic:spPr>
                    <a:xfrm>
                      <a:off x="0" y="0"/>
                      <a:ext cx="101361" cy="123825"/>
                    </a:xfrm>
                    <a:prstGeom prst="rect">
                      <a:avLst/>
                    </a:prstGeom>
                  </pic:spPr>
                </pic:pic>
              </a:graphicData>
            </a:graphic>
          </wp:inline>
        </w:drawing>
      </w:r>
      <w:r>
        <w:rPr>
          <w:rFonts w:ascii="Times New Roman"/>
          <w:spacing w:val="29"/>
          <w:position w:val="27"/>
          <w:sz w:val="20"/>
        </w:rPr>
      </w:r>
    </w:p>
    <w:p>
      <w:pPr>
        <w:pStyle w:val="BodyText"/>
        <w:spacing w:before="1" w:after="1"/>
        <w:rPr>
          <w:rFonts w:ascii="Times New Roman"/>
          <w:sz w:val="21"/>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5"/>
        <w:gridCol w:w="7430"/>
        <w:gridCol w:w="810"/>
      </w:tblGrid>
      <w:tr>
        <w:trPr>
          <w:trHeight w:val="538" w:hRule="atLeast"/>
        </w:trPr>
        <w:tc>
          <w:tcPr>
            <w:tcW w:w="9315" w:type="dxa"/>
            <w:gridSpan w:val="3"/>
          </w:tcPr>
          <w:p>
            <w:pPr>
              <w:pStyle w:val="TableParagraph"/>
              <w:spacing w:line="491" w:lineRule="exact"/>
              <w:ind w:left="2"/>
              <w:rPr>
                <w:sz w:val="44"/>
              </w:rPr>
            </w:pPr>
            <w:r>
              <w:rPr>
                <w:sz w:val="44"/>
              </w:rPr>
              <w:t>Minutes</w:t>
            </w:r>
          </w:p>
        </w:tc>
      </w:tr>
      <w:tr>
        <w:trPr>
          <w:trHeight w:val="346" w:hRule="atLeast"/>
        </w:trPr>
        <w:tc>
          <w:tcPr>
            <w:tcW w:w="9315" w:type="dxa"/>
            <w:gridSpan w:val="3"/>
          </w:tcPr>
          <w:p>
            <w:pPr>
              <w:pStyle w:val="TableParagraph"/>
              <w:spacing w:before="39"/>
              <w:ind w:left="2"/>
              <w:rPr>
                <w:b/>
                <w:sz w:val="24"/>
              </w:rPr>
            </w:pPr>
            <w:r>
              <w:rPr>
                <w:b/>
                <w:sz w:val="24"/>
              </w:rPr>
              <w:t>SONIA Advisory Committee</w:t>
            </w:r>
          </w:p>
        </w:tc>
      </w:tr>
      <w:tr>
        <w:trPr>
          <w:trHeight w:val="592" w:hRule="atLeast"/>
        </w:trPr>
        <w:tc>
          <w:tcPr>
            <w:tcW w:w="9315" w:type="dxa"/>
            <w:gridSpan w:val="3"/>
            <w:tcBorders>
              <w:bottom w:val="single" w:sz="4" w:space="0" w:color="000000"/>
            </w:tcBorders>
          </w:tcPr>
          <w:p>
            <w:pPr>
              <w:pStyle w:val="TableParagraph"/>
              <w:spacing w:before="23"/>
              <w:ind w:left="2"/>
              <w:rPr>
                <w:sz w:val="20"/>
              </w:rPr>
            </w:pPr>
            <w:r>
              <w:rPr>
                <w:sz w:val="20"/>
              </w:rPr>
              <w:t>11 December 2017</w:t>
            </w:r>
          </w:p>
        </w:tc>
      </w:tr>
      <w:tr>
        <w:trPr>
          <w:trHeight w:val="590" w:hRule="atLeast"/>
        </w:trPr>
        <w:tc>
          <w:tcPr>
            <w:tcW w:w="1075" w:type="dxa"/>
            <w:tcBorders>
              <w:top w:val="single" w:sz="4" w:space="0" w:color="000000"/>
            </w:tcBorders>
          </w:tcPr>
          <w:p>
            <w:pPr>
              <w:pStyle w:val="TableParagraph"/>
              <w:spacing w:before="1"/>
              <w:rPr>
                <w:rFonts w:ascii="Times New Roman"/>
                <w:sz w:val="19"/>
              </w:rPr>
            </w:pPr>
          </w:p>
          <w:p>
            <w:pPr>
              <w:pStyle w:val="TableParagraph"/>
              <w:ind w:left="2"/>
              <w:rPr>
                <w:b/>
                <w:sz w:val="20"/>
              </w:rPr>
            </w:pPr>
            <w:r>
              <w:rPr>
                <w:b/>
                <w:sz w:val="20"/>
              </w:rPr>
              <w:t>Location:</w:t>
            </w:r>
          </w:p>
        </w:tc>
        <w:tc>
          <w:tcPr>
            <w:tcW w:w="7430" w:type="dxa"/>
            <w:tcBorders>
              <w:top w:val="single" w:sz="4" w:space="0" w:color="000000"/>
            </w:tcBorders>
          </w:tcPr>
          <w:p>
            <w:pPr>
              <w:pStyle w:val="TableParagraph"/>
              <w:spacing w:before="4"/>
              <w:rPr>
                <w:rFonts w:ascii="Times New Roman"/>
                <w:sz w:val="19"/>
              </w:rPr>
            </w:pPr>
          </w:p>
          <w:p>
            <w:pPr>
              <w:pStyle w:val="TableParagraph"/>
              <w:ind w:left="40"/>
              <w:rPr>
                <w:sz w:val="20"/>
              </w:rPr>
            </w:pPr>
            <w:r>
              <w:rPr>
                <w:sz w:val="20"/>
              </w:rPr>
              <w:t>Bank of England</w:t>
            </w:r>
          </w:p>
        </w:tc>
        <w:tc>
          <w:tcPr>
            <w:tcW w:w="810" w:type="dxa"/>
            <w:tcBorders>
              <w:top w:val="single" w:sz="4" w:space="0" w:color="000000"/>
            </w:tcBorders>
          </w:tcPr>
          <w:p>
            <w:pPr>
              <w:pStyle w:val="TableParagraph"/>
              <w:rPr>
                <w:rFonts w:ascii="Times New Roman"/>
                <w:sz w:val="20"/>
              </w:rPr>
            </w:pPr>
          </w:p>
        </w:tc>
      </w:tr>
      <w:tr>
        <w:trPr>
          <w:trHeight w:val="2058" w:hRule="atLeast"/>
        </w:trPr>
        <w:tc>
          <w:tcPr>
            <w:tcW w:w="1075" w:type="dxa"/>
          </w:tcPr>
          <w:p>
            <w:pPr>
              <w:pStyle w:val="TableParagraph"/>
              <w:spacing w:before="131"/>
              <w:ind w:left="2"/>
              <w:rPr>
                <w:b/>
                <w:sz w:val="20"/>
              </w:rPr>
            </w:pPr>
            <w:r>
              <w:rPr>
                <w:b/>
                <w:sz w:val="20"/>
              </w:rPr>
              <w:t>Members:</w:t>
            </w:r>
          </w:p>
        </w:tc>
        <w:tc>
          <w:tcPr>
            <w:tcW w:w="7430" w:type="dxa"/>
          </w:tcPr>
          <w:p>
            <w:pPr>
              <w:pStyle w:val="TableParagraph"/>
              <w:spacing w:before="131"/>
              <w:ind w:left="40" w:right="5680"/>
              <w:rPr>
                <w:sz w:val="20"/>
              </w:rPr>
            </w:pPr>
            <w:r>
              <w:rPr>
                <w:sz w:val="20"/>
              </w:rPr>
              <w:t>Sarah John (Chair) Alex McDonald David Clark</w:t>
            </w:r>
          </w:p>
          <w:p>
            <w:pPr>
              <w:pStyle w:val="TableParagraph"/>
              <w:ind w:left="40" w:right="6102"/>
              <w:rPr>
                <w:sz w:val="20"/>
              </w:rPr>
            </w:pPr>
            <w:r>
              <w:rPr>
                <w:sz w:val="20"/>
              </w:rPr>
              <w:t>Philip Chilvers Ian Mair</w:t>
            </w:r>
          </w:p>
          <w:p>
            <w:pPr>
              <w:pStyle w:val="TableParagraph"/>
              <w:ind w:left="40" w:right="6236"/>
              <w:rPr>
                <w:sz w:val="20"/>
              </w:rPr>
            </w:pPr>
            <w:r>
              <w:rPr>
                <w:sz w:val="20"/>
              </w:rPr>
              <w:t>Will Parry Rob Thurlow</w:t>
            </w:r>
          </w:p>
          <w:p>
            <w:pPr>
              <w:pStyle w:val="TableParagraph"/>
              <w:ind w:left="40"/>
              <w:rPr>
                <w:sz w:val="20"/>
              </w:rPr>
            </w:pPr>
            <w:r>
              <w:rPr>
                <w:sz w:val="20"/>
              </w:rPr>
              <w:t>Philip Whitehurst</w:t>
            </w:r>
          </w:p>
        </w:tc>
        <w:tc>
          <w:tcPr>
            <w:tcW w:w="810" w:type="dxa"/>
          </w:tcPr>
          <w:p>
            <w:pPr>
              <w:pStyle w:val="TableParagraph"/>
              <w:rPr>
                <w:rFonts w:ascii="Times New Roman"/>
                <w:sz w:val="20"/>
              </w:rPr>
            </w:pPr>
          </w:p>
        </w:tc>
      </w:tr>
      <w:tr>
        <w:trPr>
          <w:trHeight w:val="842" w:hRule="atLeast"/>
        </w:trPr>
        <w:tc>
          <w:tcPr>
            <w:tcW w:w="1075" w:type="dxa"/>
          </w:tcPr>
          <w:p>
            <w:pPr>
              <w:pStyle w:val="TableParagraph"/>
              <w:spacing w:before="79"/>
              <w:ind w:left="2"/>
              <w:rPr>
                <w:b/>
                <w:sz w:val="20"/>
              </w:rPr>
            </w:pPr>
            <w:r>
              <w:rPr>
                <w:b/>
                <w:sz w:val="20"/>
              </w:rPr>
              <w:t>Attendees:</w:t>
            </w:r>
          </w:p>
        </w:tc>
        <w:tc>
          <w:tcPr>
            <w:tcW w:w="7430" w:type="dxa"/>
          </w:tcPr>
          <w:p>
            <w:pPr>
              <w:pStyle w:val="TableParagraph"/>
              <w:spacing w:line="276" w:lineRule="auto" w:before="82"/>
              <w:ind w:left="40" w:right="6225"/>
              <w:rPr>
                <w:sz w:val="20"/>
              </w:rPr>
            </w:pPr>
            <w:r>
              <w:rPr>
                <w:sz w:val="20"/>
              </w:rPr>
              <w:t>Paul Burton Steve Wright</w:t>
            </w:r>
          </w:p>
        </w:tc>
        <w:tc>
          <w:tcPr>
            <w:tcW w:w="810" w:type="dxa"/>
          </w:tcPr>
          <w:p>
            <w:pPr>
              <w:pStyle w:val="TableParagraph"/>
              <w:rPr>
                <w:rFonts w:ascii="Times New Roman"/>
                <w:sz w:val="20"/>
              </w:rPr>
            </w:pPr>
          </w:p>
        </w:tc>
      </w:tr>
      <w:tr>
        <w:trPr>
          <w:trHeight w:val="1387" w:hRule="atLeast"/>
        </w:trPr>
        <w:tc>
          <w:tcPr>
            <w:tcW w:w="1075" w:type="dxa"/>
            <w:tcBorders>
              <w:bottom w:val="single" w:sz="2" w:space="0" w:color="000000"/>
            </w:tcBorders>
          </w:tcPr>
          <w:p>
            <w:pPr>
              <w:pStyle w:val="TableParagraph"/>
              <w:spacing w:before="6"/>
              <w:rPr>
                <w:rFonts w:ascii="Times New Roman"/>
                <w:sz w:val="22"/>
              </w:rPr>
            </w:pPr>
          </w:p>
          <w:p>
            <w:pPr>
              <w:pStyle w:val="TableParagraph"/>
              <w:ind w:left="2"/>
              <w:rPr>
                <w:b/>
                <w:sz w:val="20"/>
              </w:rPr>
            </w:pPr>
            <w:r>
              <w:rPr>
                <w:b/>
                <w:sz w:val="20"/>
              </w:rPr>
              <w:t>Apologies:</w:t>
            </w:r>
          </w:p>
        </w:tc>
        <w:tc>
          <w:tcPr>
            <w:tcW w:w="7430" w:type="dxa"/>
            <w:tcBorders>
              <w:bottom w:val="single" w:sz="2" w:space="0" w:color="000000"/>
            </w:tcBorders>
          </w:tcPr>
          <w:p>
            <w:pPr>
              <w:pStyle w:val="TableParagraph"/>
              <w:spacing w:before="8"/>
              <w:rPr>
                <w:rFonts w:ascii="Times New Roman"/>
                <w:sz w:val="22"/>
              </w:rPr>
            </w:pPr>
          </w:p>
          <w:p>
            <w:pPr>
              <w:pStyle w:val="TableParagraph"/>
              <w:spacing w:line="276" w:lineRule="auto" w:before="1"/>
              <w:ind w:left="40" w:right="6158"/>
              <w:rPr>
                <w:sz w:val="20"/>
              </w:rPr>
            </w:pPr>
            <w:r>
              <w:rPr>
                <w:sz w:val="20"/>
              </w:rPr>
              <w:t>Brad Jeffery Peter Weston</w:t>
            </w:r>
          </w:p>
        </w:tc>
        <w:tc>
          <w:tcPr>
            <w:tcW w:w="810" w:type="dxa"/>
            <w:tcBorders>
              <w:bottom w:val="single" w:sz="2" w:space="0" w:color="000000"/>
            </w:tcBorders>
          </w:tcPr>
          <w:p>
            <w:pPr>
              <w:pStyle w:val="TableParagraph"/>
              <w:rPr>
                <w:rFonts w:ascii="Times New Roman"/>
                <w:sz w:val="20"/>
              </w:rPr>
            </w:pPr>
          </w:p>
        </w:tc>
      </w:tr>
      <w:tr>
        <w:trPr>
          <w:trHeight w:val="710" w:hRule="atLeast"/>
        </w:trPr>
        <w:tc>
          <w:tcPr>
            <w:tcW w:w="1075" w:type="dxa"/>
            <w:tcBorders>
              <w:top w:val="single" w:sz="2" w:space="0" w:color="000000"/>
            </w:tcBorders>
          </w:tcPr>
          <w:p>
            <w:pPr>
              <w:pStyle w:val="TableParagraph"/>
              <w:spacing w:before="11"/>
              <w:rPr>
                <w:rFonts w:ascii="Times New Roman"/>
                <w:sz w:val="19"/>
              </w:rPr>
            </w:pPr>
          </w:p>
          <w:p>
            <w:pPr>
              <w:pStyle w:val="TableParagraph"/>
              <w:ind w:left="110" w:right="300"/>
              <w:rPr>
                <w:b/>
                <w:sz w:val="20"/>
              </w:rPr>
            </w:pPr>
            <w:r>
              <w:rPr>
                <w:b/>
                <w:sz w:val="20"/>
              </w:rPr>
              <w:t>Minute no.</w:t>
            </w:r>
          </w:p>
        </w:tc>
        <w:tc>
          <w:tcPr>
            <w:tcW w:w="7430" w:type="dxa"/>
            <w:tcBorders>
              <w:top w:val="single" w:sz="2" w:space="0" w:color="000000"/>
            </w:tcBorders>
          </w:tcPr>
          <w:p>
            <w:pPr>
              <w:pStyle w:val="TableParagraph"/>
              <w:spacing w:before="11"/>
              <w:rPr>
                <w:rFonts w:ascii="Times New Roman"/>
                <w:sz w:val="19"/>
              </w:rPr>
            </w:pPr>
          </w:p>
          <w:p>
            <w:pPr>
              <w:pStyle w:val="TableParagraph"/>
              <w:ind w:left="81"/>
              <w:rPr>
                <w:b/>
                <w:sz w:val="20"/>
              </w:rPr>
            </w:pPr>
            <w:r>
              <w:rPr>
                <w:b/>
                <w:sz w:val="20"/>
              </w:rPr>
              <w:t>Minute</w:t>
            </w:r>
          </w:p>
        </w:tc>
        <w:tc>
          <w:tcPr>
            <w:tcW w:w="810" w:type="dxa"/>
            <w:tcBorders>
              <w:top w:val="single" w:sz="2" w:space="0" w:color="000000"/>
            </w:tcBorders>
          </w:tcPr>
          <w:p>
            <w:pPr>
              <w:pStyle w:val="TableParagraph"/>
              <w:spacing w:before="11"/>
              <w:rPr>
                <w:rFonts w:ascii="Times New Roman"/>
                <w:sz w:val="19"/>
              </w:rPr>
            </w:pPr>
          </w:p>
          <w:p>
            <w:pPr>
              <w:pStyle w:val="TableParagraph"/>
              <w:ind w:right="13"/>
              <w:jc w:val="right"/>
              <w:rPr>
                <w:b/>
                <w:sz w:val="20"/>
              </w:rPr>
            </w:pPr>
            <w:r>
              <w:rPr>
                <w:b/>
                <w:w w:val="95"/>
                <w:sz w:val="20"/>
              </w:rPr>
              <w:t>Action</w:t>
            </w:r>
          </w:p>
        </w:tc>
      </w:tr>
      <w:tr>
        <w:trPr>
          <w:trHeight w:val="1288" w:hRule="atLeast"/>
        </w:trPr>
        <w:tc>
          <w:tcPr>
            <w:tcW w:w="1075" w:type="dxa"/>
          </w:tcPr>
          <w:p>
            <w:pPr>
              <w:pStyle w:val="TableParagraph"/>
              <w:spacing w:before="16"/>
              <w:ind w:left="110"/>
              <w:rPr>
                <w:sz w:val="20"/>
              </w:rPr>
            </w:pPr>
            <w:r>
              <w:rPr>
                <w:sz w:val="20"/>
              </w:rPr>
              <w:t>1.</w:t>
            </w:r>
          </w:p>
        </w:tc>
        <w:tc>
          <w:tcPr>
            <w:tcW w:w="7430" w:type="dxa"/>
          </w:tcPr>
          <w:p>
            <w:pPr>
              <w:pStyle w:val="TableParagraph"/>
              <w:spacing w:before="13"/>
              <w:ind w:left="81"/>
              <w:jc w:val="both"/>
              <w:rPr>
                <w:b/>
                <w:sz w:val="20"/>
              </w:rPr>
            </w:pPr>
            <w:r>
              <w:rPr>
                <w:b/>
                <w:sz w:val="20"/>
              </w:rPr>
              <w:t>Minutes of 18 September meeting</w:t>
            </w:r>
          </w:p>
          <w:p>
            <w:pPr>
              <w:pStyle w:val="TableParagraph"/>
              <w:spacing w:before="3"/>
              <w:ind w:left="81" w:right="177"/>
              <w:jc w:val="both"/>
              <w:rPr>
                <w:sz w:val="20"/>
              </w:rPr>
            </w:pPr>
            <w:r>
              <w:rPr>
                <w:sz w:val="20"/>
              </w:rPr>
              <w:t>The Committee agreed the minutes of the previous meeting. WMBA confirmed that the statement of compliance with the IOSCO principles had been published on their website.</w:t>
            </w:r>
          </w:p>
        </w:tc>
        <w:tc>
          <w:tcPr>
            <w:tcW w:w="810" w:type="dxa"/>
          </w:tcPr>
          <w:p>
            <w:pPr>
              <w:pStyle w:val="TableParagraph"/>
              <w:spacing w:before="16"/>
              <w:ind w:right="14"/>
              <w:jc w:val="right"/>
              <w:rPr>
                <w:sz w:val="20"/>
              </w:rPr>
            </w:pPr>
            <w:r>
              <w:rPr>
                <w:w w:val="95"/>
                <w:sz w:val="20"/>
              </w:rPr>
              <w:t>N/A</w:t>
            </w:r>
          </w:p>
        </w:tc>
      </w:tr>
      <w:tr>
        <w:trPr>
          <w:trHeight w:val="3645" w:hRule="atLeast"/>
        </w:trPr>
        <w:tc>
          <w:tcPr>
            <w:tcW w:w="1075" w:type="dxa"/>
          </w:tcPr>
          <w:p>
            <w:pPr>
              <w:pStyle w:val="TableParagraph"/>
              <w:spacing w:before="2"/>
              <w:rPr>
                <w:rFonts w:ascii="Times New Roman"/>
                <w:sz w:val="30"/>
              </w:rPr>
            </w:pPr>
          </w:p>
          <w:p>
            <w:pPr>
              <w:pStyle w:val="TableParagraph"/>
              <w:ind w:left="110"/>
              <w:rPr>
                <w:sz w:val="20"/>
              </w:rPr>
            </w:pPr>
            <w:r>
              <w:rPr>
                <w:sz w:val="20"/>
              </w:rPr>
              <w:t>2.</w:t>
            </w:r>
          </w:p>
        </w:tc>
        <w:tc>
          <w:tcPr>
            <w:tcW w:w="7430" w:type="dxa"/>
          </w:tcPr>
          <w:p>
            <w:pPr>
              <w:pStyle w:val="TableParagraph"/>
              <w:spacing w:before="11"/>
              <w:rPr>
                <w:rFonts w:ascii="Times New Roman"/>
                <w:sz w:val="29"/>
              </w:rPr>
            </w:pPr>
          </w:p>
          <w:p>
            <w:pPr>
              <w:pStyle w:val="TableParagraph"/>
              <w:ind w:left="81"/>
              <w:jc w:val="both"/>
              <w:rPr>
                <w:b/>
                <w:sz w:val="20"/>
              </w:rPr>
            </w:pPr>
            <w:r>
              <w:rPr>
                <w:b/>
                <w:sz w:val="20"/>
              </w:rPr>
              <w:t>Review of the SONIA Dashboard</w:t>
            </w:r>
          </w:p>
          <w:p>
            <w:pPr>
              <w:pStyle w:val="TableParagraph"/>
              <w:spacing w:before="3"/>
              <w:ind w:left="81" w:right="181"/>
              <w:jc w:val="both"/>
              <w:rPr>
                <w:sz w:val="20"/>
              </w:rPr>
            </w:pPr>
            <w:r>
              <w:rPr>
                <w:sz w:val="20"/>
              </w:rPr>
              <w:t>The Committee reviewed the SONIA Dashboard covering the period of September to November 2017.</w:t>
            </w:r>
          </w:p>
          <w:p>
            <w:pPr>
              <w:pStyle w:val="TableParagraph"/>
              <w:spacing w:before="1"/>
              <w:rPr>
                <w:rFonts w:ascii="Times New Roman"/>
                <w:sz w:val="20"/>
              </w:rPr>
            </w:pPr>
          </w:p>
          <w:p>
            <w:pPr>
              <w:pStyle w:val="TableParagraph"/>
              <w:ind w:left="81" w:right="174"/>
              <w:jc w:val="both"/>
              <w:rPr>
                <w:sz w:val="20"/>
              </w:rPr>
            </w:pPr>
            <w:r>
              <w:rPr>
                <w:sz w:val="20"/>
              </w:rPr>
              <w:t>SONIA had behaved in line with expectations throughout the period. The month end behaviours were in line with previous month ends. It was noted that daily trading volumes had remained at heightened levels, with the daily average volumes being greater than £16bn throughout the quarter.</w:t>
            </w:r>
          </w:p>
          <w:p>
            <w:pPr>
              <w:pStyle w:val="TableParagraph"/>
              <w:spacing w:before="9"/>
              <w:rPr>
                <w:rFonts w:ascii="Times New Roman"/>
                <w:sz w:val="20"/>
              </w:rPr>
            </w:pPr>
          </w:p>
          <w:p>
            <w:pPr>
              <w:pStyle w:val="TableParagraph"/>
              <w:ind w:left="81" w:right="179"/>
              <w:jc w:val="both"/>
              <w:rPr>
                <w:sz w:val="20"/>
              </w:rPr>
            </w:pPr>
            <w:r>
              <w:rPr>
                <w:sz w:val="20"/>
              </w:rPr>
              <w:t>The MPC raised Bank Rate by 0.25% to 0.5% on 2 November. SONIA reflected the Bank Rate change and behaved as anticipated. The published SONIA rate for 2 November was slightly lower due to morning trades prior to the announcement.</w:t>
            </w:r>
          </w:p>
        </w:tc>
        <w:tc>
          <w:tcPr>
            <w:tcW w:w="810" w:type="dxa"/>
          </w:tcPr>
          <w:p>
            <w:pPr>
              <w:pStyle w:val="TableParagraph"/>
              <w:spacing w:before="2"/>
              <w:rPr>
                <w:rFonts w:ascii="Times New Roman"/>
                <w:sz w:val="30"/>
              </w:rPr>
            </w:pPr>
          </w:p>
          <w:p>
            <w:pPr>
              <w:pStyle w:val="TableParagraph"/>
              <w:ind w:right="14"/>
              <w:jc w:val="right"/>
              <w:rPr>
                <w:sz w:val="20"/>
              </w:rPr>
            </w:pPr>
            <w:r>
              <w:rPr>
                <w:w w:val="95"/>
                <w:sz w:val="20"/>
              </w:rPr>
              <w:t>N/A</w:t>
            </w:r>
          </w:p>
        </w:tc>
      </w:tr>
      <w:tr>
        <w:trPr>
          <w:trHeight w:val="1671" w:hRule="atLeast"/>
        </w:trPr>
        <w:tc>
          <w:tcPr>
            <w:tcW w:w="1075" w:type="dxa"/>
          </w:tcPr>
          <w:p>
            <w:pPr>
              <w:pStyle w:val="TableParagraph"/>
              <w:spacing w:before="4"/>
              <w:rPr>
                <w:rFonts w:ascii="Times New Roman"/>
                <w:sz w:val="25"/>
              </w:rPr>
            </w:pPr>
          </w:p>
          <w:p>
            <w:pPr>
              <w:pStyle w:val="TableParagraph"/>
              <w:ind w:left="110"/>
              <w:rPr>
                <w:sz w:val="20"/>
              </w:rPr>
            </w:pPr>
            <w:r>
              <w:rPr>
                <w:sz w:val="20"/>
              </w:rPr>
              <w:t>3.</w:t>
            </w:r>
          </w:p>
        </w:tc>
        <w:tc>
          <w:tcPr>
            <w:tcW w:w="7430" w:type="dxa"/>
          </w:tcPr>
          <w:p>
            <w:pPr>
              <w:pStyle w:val="TableParagraph"/>
              <w:spacing w:before="1"/>
              <w:rPr>
                <w:rFonts w:ascii="Times New Roman"/>
                <w:sz w:val="25"/>
              </w:rPr>
            </w:pPr>
          </w:p>
          <w:p>
            <w:pPr>
              <w:pStyle w:val="TableParagraph"/>
              <w:ind w:left="81"/>
              <w:rPr>
                <w:b/>
                <w:sz w:val="20"/>
              </w:rPr>
            </w:pPr>
            <w:r>
              <w:rPr>
                <w:b/>
                <w:sz w:val="20"/>
              </w:rPr>
              <w:t>Reformed SONIA Go Live Announcement</w:t>
            </w:r>
          </w:p>
          <w:p>
            <w:pPr>
              <w:pStyle w:val="TableParagraph"/>
              <w:spacing w:before="3"/>
              <w:ind w:left="81" w:right="142"/>
              <w:rPr>
                <w:sz w:val="20"/>
              </w:rPr>
            </w:pPr>
            <w:r>
              <w:rPr>
                <w:sz w:val="20"/>
              </w:rPr>
              <w:t>The Bank attendees updated the Committee on the plans for the reformed SONIA, effective from 23 April 2018.</w:t>
            </w:r>
          </w:p>
          <w:p>
            <w:pPr>
              <w:pStyle w:val="TableParagraph"/>
              <w:spacing w:before="10"/>
              <w:rPr>
                <w:rFonts w:ascii="Times New Roman"/>
                <w:sz w:val="19"/>
              </w:rPr>
            </w:pPr>
          </w:p>
          <w:p>
            <w:pPr>
              <w:pStyle w:val="TableParagraph"/>
              <w:spacing w:line="230" w:lineRule="atLeast" w:before="1"/>
              <w:ind w:left="81"/>
              <w:rPr>
                <w:sz w:val="20"/>
              </w:rPr>
            </w:pPr>
            <w:r>
              <w:rPr>
                <w:sz w:val="20"/>
              </w:rPr>
              <w:t>As outlined in the SONIA Key features and policies document, The SONIA Oversight Committee reviews and provides challenge on all aspects of the</w:t>
            </w:r>
          </w:p>
        </w:tc>
        <w:tc>
          <w:tcPr>
            <w:tcW w:w="810" w:type="dxa"/>
          </w:tcPr>
          <w:p>
            <w:pPr>
              <w:pStyle w:val="TableParagraph"/>
              <w:spacing w:before="4"/>
              <w:rPr>
                <w:rFonts w:ascii="Times New Roman"/>
                <w:sz w:val="25"/>
              </w:rPr>
            </w:pPr>
          </w:p>
          <w:p>
            <w:pPr>
              <w:pStyle w:val="TableParagraph"/>
              <w:ind w:right="14"/>
              <w:jc w:val="right"/>
              <w:rPr>
                <w:sz w:val="20"/>
              </w:rPr>
            </w:pPr>
            <w:r>
              <w:rPr>
                <w:w w:val="95"/>
                <w:sz w:val="20"/>
              </w:rPr>
              <w:t>N/A</w:t>
            </w:r>
          </w:p>
        </w:tc>
      </w:tr>
    </w:tbl>
    <w:p>
      <w:pPr>
        <w:spacing w:after="0"/>
        <w:jc w:val="right"/>
        <w:rPr>
          <w:sz w:val="20"/>
        </w:rPr>
        <w:sectPr>
          <w:footerReference w:type="default" r:id="rId5"/>
          <w:type w:val="continuous"/>
          <w:pgSz w:w="11910" w:h="16840"/>
          <w:pgMar w:footer="496" w:top="860" w:bottom="680" w:left="1040" w:right="1080"/>
          <w:pgNumType w:start="1"/>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7684"/>
        <w:gridCol w:w="1061"/>
      </w:tblGrid>
      <w:tr>
        <w:trPr>
          <w:trHeight w:val="7299" w:hRule="atLeast"/>
        </w:trPr>
        <w:tc>
          <w:tcPr>
            <w:tcW w:w="806" w:type="dxa"/>
          </w:tcPr>
          <w:p>
            <w:pPr>
              <w:pStyle w:val="TableParagraph"/>
              <w:rPr>
                <w:rFonts w:ascii="Times New Roman"/>
                <w:sz w:val="18"/>
              </w:rPr>
            </w:pPr>
          </w:p>
        </w:tc>
        <w:tc>
          <w:tcPr>
            <w:tcW w:w="7684" w:type="dxa"/>
          </w:tcPr>
          <w:p>
            <w:pPr>
              <w:pStyle w:val="TableParagraph"/>
              <w:ind w:left="440" w:right="76"/>
              <w:jc w:val="both"/>
              <w:rPr>
                <w:sz w:val="20"/>
              </w:rPr>
            </w:pPr>
            <w:r>
              <w:rPr>
                <w:sz w:val="20"/>
              </w:rPr>
              <w:t>benchmark determination process and provides scrutiny of the administration of SONIA. Adverts had been placed to recruit two external members to this Committee, who will bring an independent perspective.</w:t>
            </w:r>
          </w:p>
          <w:p>
            <w:pPr>
              <w:pStyle w:val="TableParagraph"/>
              <w:spacing w:before="3"/>
              <w:rPr>
                <w:rFonts w:ascii="Times New Roman"/>
                <w:sz w:val="19"/>
              </w:rPr>
            </w:pPr>
          </w:p>
          <w:p>
            <w:pPr>
              <w:pStyle w:val="TableParagraph"/>
              <w:ind w:left="440" w:right="73"/>
              <w:jc w:val="both"/>
              <w:rPr>
                <w:sz w:val="20"/>
              </w:rPr>
            </w:pPr>
            <w:r>
              <w:rPr>
                <w:sz w:val="20"/>
              </w:rPr>
              <w:t>Supporting the SONIA Oversight Committee will be the SONIA Stakeholders Advisory Group, a group of relevant SONIA stakeholders selected on the basis of their expertise and relevant market knowledge. The SONIA Stakeholders Advisory Group will be chaired by one of the external members of the SONIA Oversight Committee. It is likely that the first meeting of the SONIA  Stakeholders Advisory Group will be in September</w:t>
            </w:r>
            <w:r>
              <w:rPr>
                <w:spacing w:val="-7"/>
                <w:sz w:val="20"/>
              </w:rPr>
              <w:t> </w:t>
            </w:r>
            <w:r>
              <w:rPr>
                <w:sz w:val="20"/>
              </w:rPr>
              <w:t>2018.</w:t>
            </w:r>
          </w:p>
          <w:p>
            <w:pPr>
              <w:pStyle w:val="TableParagraph"/>
              <w:rPr>
                <w:rFonts w:ascii="Times New Roman"/>
                <w:sz w:val="22"/>
              </w:rPr>
            </w:pPr>
          </w:p>
          <w:p>
            <w:pPr>
              <w:pStyle w:val="TableParagraph"/>
              <w:spacing w:before="1"/>
              <w:rPr>
                <w:rFonts w:ascii="Times New Roman"/>
                <w:sz w:val="18"/>
              </w:rPr>
            </w:pPr>
          </w:p>
          <w:p>
            <w:pPr>
              <w:pStyle w:val="TableParagraph"/>
              <w:ind w:left="440" w:right="74"/>
              <w:jc w:val="both"/>
              <w:rPr>
                <w:sz w:val="20"/>
              </w:rPr>
            </w:pPr>
            <w:r>
              <w:rPr>
                <w:sz w:val="20"/>
              </w:rPr>
              <w:t>The group will provide market views on whether the relevant market continues, and is expected to continue, to function sufficiently well and have sufficient volumes to form the basis for a robust and credible benchmark, and also  whether the methodology continues to appropriately measure the underlying interest.</w:t>
            </w:r>
          </w:p>
          <w:p>
            <w:pPr>
              <w:pStyle w:val="TableParagraph"/>
              <w:rPr>
                <w:rFonts w:ascii="Times New Roman"/>
                <w:sz w:val="22"/>
              </w:rPr>
            </w:pPr>
          </w:p>
          <w:p>
            <w:pPr>
              <w:pStyle w:val="TableParagraph"/>
              <w:spacing w:before="1"/>
              <w:rPr>
                <w:rFonts w:ascii="Times New Roman"/>
                <w:sz w:val="18"/>
              </w:rPr>
            </w:pPr>
          </w:p>
          <w:p>
            <w:pPr>
              <w:pStyle w:val="TableParagraph"/>
              <w:ind w:left="440" w:right="75"/>
              <w:jc w:val="both"/>
              <w:rPr>
                <w:sz w:val="20"/>
              </w:rPr>
            </w:pPr>
            <w:r>
              <w:rPr>
                <w:sz w:val="20"/>
              </w:rPr>
              <w:t>The Bank attendees also asked for views from the Committee on how to ensure a smooth transition to reformed SONIA. In particular how to promote awareness that no SONIA rate will be published on Monday 23 April 2018; the rate for 23 April will be published at 9am on Tuesday 24 April</w:t>
            </w:r>
            <w:r>
              <w:rPr>
                <w:spacing w:val="-5"/>
                <w:sz w:val="20"/>
              </w:rPr>
              <w:t> </w:t>
            </w:r>
            <w:r>
              <w:rPr>
                <w:sz w:val="20"/>
              </w:rPr>
              <w:t>2018.</w:t>
            </w:r>
          </w:p>
          <w:p>
            <w:pPr>
              <w:pStyle w:val="TableParagraph"/>
              <w:spacing w:before="11"/>
              <w:rPr>
                <w:rFonts w:ascii="Times New Roman"/>
                <w:sz w:val="19"/>
              </w:rPr>
            </w:pPr>
          </w:p>
          <w:p>
            <w:pPr>
              <w:pStyle w:val="TableParagraph"/>
              <w:ind w:left="440" w:right="73"/>
              <w:jc w:val="both"/>
              <w:rPr>
                <w:sz w:val="20"/>
              </w:rPr>
            </w:pPr>
            <w:r>
              <w:rPr>
                <w:sz w:val="20"/>
              </w:rPr>
              <w:t>The Committee agreed on the importance of getting front, middle and back offices on board with the changes. Firms’ current focus was on MiFID II implementation, therefore it would be sensible to reinforce the message after January. The wires services should be engaged to help promote the reformed SONIA go live on their forthcoming changes bulletins, and trade associations  can be used to publicise the change. SONIA licensees have had communication from the Bank so should have a good level of awareness of the</w:t>
            </w:r>
            <w:r>
              <w:rPr>
                <w:spacing w:val="-11"/>
                <w:sz w:val="20"/>
              </w:rPr>
              <w:t> </w:t>
            </w:r>
            <w:r>
              <w:rPr>
                <w:sz w:val="20"/>
              </w:rPr>
              <w:t>change.</w:t>
            </w:r>
          </w:p>
        </w:tc>
        <w:tc>
          <w:tcPr>
            <w:tcW w:w="1061" w:type="dxa"/>
          </w:tcPr>
          <w:p>
            <w:pPr>
              <w:pStyle w:val="TableParagraph"/>
              <w:rPr>
                <w:rFonts w:ascii="Times New Roman"/>
                <w:sz w:val="18"/>
              </w:rPr>
            </w:pPr>
          </w:p>
        </w:tc>
      </w:tr>
      <w:tr>
        <w:trPr>
          <w:trHeight w:val="862" w:hRule="atLeast"/>
        </w:trPr>
        <w:tc>
          <w:tcPr>
            <w:tcW w:w="806" w:type="dxa"/>
          </w:tcPr>
          <w:p>
            <w:pPr>
              <w:pStyle w:val="TableParagraph"/>
              <w:spacing w:before="171"/>
              <w:ind w:left="200"/>
              <w:rPr>
                <w:sz w:val="20"/>
              </w:rPr>
            </w:pPr>
            <w:r>
              <w:rPr>
                <w:sz w:val="20"/>
              </w:rPr>
              <w:t>4.</w:t>
            </w:r>
          </w:p>
        </w:tc>
        <w:tc>
          <w:tcPr>
            <w:tcW w:w="7684" w:type="dxa"/>
          </w:tcPr>
          <w:p>
            <w:pPr>
              <w:pStyle w:val="TableParagraph"/>
              <w:spacing w:before="169"/>
              <w:ind w:left="440"/>
              <w:rPr>
                <w:b/>
                <w:sz w:val="20"/>
              </w:rPr>
            </w:pPr>
            <w:r>
              <w:rPr>
                <w:b/>
                <w:sz w:val="20"/>
              </w:rPr>
              <w:t>Other business</w:t>
            </w:r>
          </w:p>
          <w:p>
            <w:pPr>
              <w:pStyle w:val="TableParagraph"/>
              <w:spacing w:line="230" w:lineRule="atLeast" w:before="3"/>
              <w:ind w:left="440" w:right="509"/>
              <w:rPr>
                <w:sz w:val="20"/>
              </w:rPr>
            </w:pPr>
            <w:r>
              <w:rPr>
                <w:sz w:val="20"/>
              </w:rPr>
              <w:t>The final meeting of the SONIA Advisory Committee will be held on 7 March 2018.</w:t>
            </w:r>
          </w:p>
        </w:tc>
        <w:tc>
          <w:tcPr>
            <w:tcW w:w="1061" w:type="dxa"/>
          </w:tcPr>
          <w:p>
            <w:pPr>
              <w:pStyle w:val="TableParagraph"/>
              <w:spacing w:before="171"/>
              <w:ind w:left="527"/>
              <w:rPr>
                <w:sz w:val="20"/>
              </w:rPr>
            </w:pPr>
            <w:r>
              <w:rPr>
                <w:sz w:val="20"/>
              </w:rPr>
              <w:t>N/A</w:t>
            </w:r>
          </w:p>
        </w:tc>
      </w:tr>
    </w:tbl>
    <w:sectPr>
      <w:pgSz w:w="11910" w:h="16840"/>
      <w:pgMar w:header="0" w:footer="496" w:top="1400" w:bottom="680" w:left="10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type id="_x0000_t202" o:spt="202" coordsize="21600,21600" path="m,l,21600r21600,l21600,xe">
          <v:stroke joinstyle="miter"/>
          <v:path gradientshapeok="t" o:connecttype="rect"/>
        </v:shapetype>
        <v:shape style="position:absolute;margin-left:530.039978pt;margin-top:800.583435pt;width:11.55pt;height:14.7pt;mso-position-horizontal-relative:page;mso-position-vertical-relative:page;z-index:-251878400" type="#_x0000_t202" filled="false" stroked="false">
          <v:textbox inset="0,0,0,0">
            <w:txbxContent>
              <w:p>
                <w:pPr>
                  <w:pStyle w:val="BodyText"/>
                  <w:spacing w:before="44"/>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SONIA Advisory Committee Minutes</dc:title>
  <dcterms:created xsi:type="dcterms:W3CDTF">2020-06-01T02:25:33Z</dcterms:created>
  <dcterms:modified xsi:type="dcterms:W3CDTF">2020-06-01T02:25:33Z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2018-03-08T00:00:00Z</vt:filetime>
  </property>
  <property fmtid="{D5CDD505-2E9C-101B-9397-08002B2CF9AE}" pid="3" name="Creator">
    <vt:lpwstr>Acrobat PDFMaker 10.1 for Word</vt:lpwstr>
  </property>
  <property fmtid="{D5CDD505-2E9C-101B-9397-08002B2CF9AE}" pid="4" name="LastSaved">
    <vt:filetime>2020-06-01T00:00:00Z</vt:filetime>
  </property>
</Properties>
</file>