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1056" w:val="left" w:leader="none"/>
        </w:tabs>
        <w:spacing w:line="240" w:lineRule="auto"/>
        <w:ind w:left="100" w:right="0" w:firstLine="0"/>
        <w:rPr>
          <w:rFonts w:ascii="Times New Roman"/>
          <w:sz w:val="20"/>
        </w:rPr>
      </w:pPr>
      <w:bookmarkStart w:name="_bookmark0" w:id="1"/>
      <w:bookmarkEnd w:id="1"/>
      <w:r>
        <w:rPr/>
      </w:r>
      <w:r>
        <w:rPr>
          <w:rFonts w:ascii="Times New Roman"/>
          <w:sz w:val="20"/>
        </w:rPr>
        <w:drawing>
          <wp:inline distT="0" distB="0" distL="0" distR="0">
            <wp:extent cx="465798" cy="471487"/>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65798" cy="471487"/>
                    </a:xfrm>
                    <a:prstGeom prst="rect">
                      <a:avLst/>
                    </a:prstGeom>
                  </pic:spPr>
                </pic:pic>
              </a:graphicData>
            </a:graphic>
          </wp:inline>
        </w:drawing>
      </w:r>
      <w:r>
        <w:rPr>
          <w:rFonts w:ascii="Times New Roman"/>
          <w:sz w:val="20"/>
        </w:rPr>
      </w:r>
      <w:r>
        <w:rPr>
          <w:rFonts w:ascii="Times New Roman"/>
          <w:sz w:val="20"/>
        </w:rPr>
        <w:tab/>
      </w:r>
      <w:r>
        <w:rPr>
          <w:rFonts w:ascii="Times New Roman"/>
          <w:position w:val="27"/>
          <w:sz w:val="20"/>
        </w:rPr>
        <w:pict>
          <v:group style="width:28.3pt;height:9.9pt;mso-position-horizontal-relative:char;mso-position-vertical-relative:line" coordorigin="0,0" coordsize="566,198">
            <v:shape style="position:absolute;left:0;top:0;width:126;height:197" type="#_x0000_t75" stroked="false">
              <v:imagedata r:id="rId7" o:title=""/>
            </v:shape>
            <v:shape style="position:absolute;left:167;top:0;width:175;height:198" type="#_x0000_t75" stroked="false">
              <v:imagedata r:id="rId8" o:title=""/>
            </v:shape>
            <v:shape style="position:absolute;left:394;top:0;width:171;height:197" type="#_x0000_t75" stroked="false">
              <v:imagedata r:id="rId9" o:title=""/>
            </v:shape>
          </v:group>
        </w:pict>
      </w:r>
      <w:r>
        <w:rPr>
          <w:rFonts w:ascii="Times New Roman"/>
          <w:position w:val="27"/>
          <w:sz w:val="20"/>
        </w:rPr>
      </w:r>
      <w:r>
        <w:rPr>
          <w:rFonts w:ascii="Times New Roman"/>
          <w:spacing w:val="15"/>
          <w:position w:val="27"/>
          <w:sz w:val="19"/>
        </w:rPr>
        <w:t> </w:t>
      </w:r>
      <w:r>
        <w:rPr>
          <w:rFonts w:ascii="Times New Roman"/>
          <w:spacing w:val="15"/>
          <w:position w:val="27"/>
          <w:sz w:val="20"/>
        </w:rPr>
        <w:drawing>
          <wp:inline distT="0" distB="0" distL="0" distR="0">
            <wp:extent cx="88922" cy="123825"/>
            <wp:effectExtent l="0" t="0" r="0" b="0"/>
            <wp:docPr id="3" name="image5.png"/>
            <wp:cNvGraphicFramePr>
              <a:graphicFrameLocks noChangeAspect="1"/>
            </wp:cNvGraphicFramePr>
            <a:graphic>
              <a:graphicData uri="http://schemas.openxmlformats.org/drawingml/2006/picture">
                <pic:pic>
                  <pic:nvPicPr>
                    <pic:cNvPr id="4" name="image5.png"/>
                    <pic:cNvPicPr/>
                  </pic:nvPicPr>
                  <pic:blipFill>
                    <a:blip r:embed="rId10" cstate="print"/>
                    <a:stretch>
                      <a:fillRect/>
                    </a:stretch>
                  </pic:blipFill>
                  <pic:spPr>
                    <a:xfrm>
                      <a:off x="0" y="0"/>
                      <a:ext cx="88922" cy="123825"/>
                    </a:xfrm>
                    <a:prstGeom prst="rect">
                      <a:avLst/>
                    </a:prstGeom>
                  </pic:spPr>
                </pic:pic>
              </a:graphicData>
            </a:graphic>
          </wp:inline>
        </w:drawing>
      </w:r>
      <w:r>
        <w:rPr>
          <w:rFonts w:ascii="Times New Roman"/>
          <w:spacing w:val="15"/>
          <w:position w:val="27"/>
          <w:sz w:val="20"/>
        </w:rPr>
      </w:r>
      <w:r>
        <w:rPr>
          <w:rFonts w:ascii="Times New Roman"/>
          <w:spacing w:val="66"/>
          <w:position w:val="27"/>
          <w:sz w:val="20"/>
        </w:rPr>
        <w:t> </w:t>
      </w:r>
      <w:r>
        <w:rPr>
          <w:rFonts w:ascii="Times New Roman"/>
          <w:spacing w:val="66"/>
          <w:position w:val="27"/>
          <w:sz w:val="20"/>
        </w:rPr>
        <w:pict>
          <v:group style="width:18.55pt;height:10.1pt;mso-position-horizontal-relative:char;mso-position-vertical-relative:line" coordorigin="0,0" coordsize="371,202">
            <v:shape style="position:absolute;left:258;top:1;width:113;height:197" type="#_x0000_t75" stroked="false">
              <v:imagedata r:id="rId11" o:title=""/>
            </v:shape>
            <v:shape style="position:absolute;left:0;top:0;width:194;height:202" type="#_x0000_t75" stroked="false">
              <v:imagedata r:id="rId12" o:title=""/>
            </v:shape>
          </v:group>
        </w:pict>
      </w:r>
      <w:r>
        <w:rPr>
          <w:rFonts w:ascii="Times New Roman"/>
          <w:spacing w:val="66"/>
          <w:position w:val="27"/>
          <w:sz w:val="20"/>
        </w:rPr>
      </w:r>
      <w:r>
        <w:rPr>
          <w:rFonts w:ascii="Times New Roman"/>
          <w:spacing w:val="80"/>
          <w:position w:val="27"/>
          <w:sz w:val="20"/>
        </w:rPr>
        <w:t> </w:t>
      </w:r>
      <w:r>
        <w:rPr>
          <w:rFonts w:ascii="Times New Roman"/>
          <w:spacing w:val="80"/>
          <w:position w:val="27"/>
          <w:sz w:val="20"/>
        </w:rPr>
        <w:pict>
          <v:group style="width:29.4pt;height:10.1pt;mso-position-horizontal-relative:char;mso-position-vertical-relative:line" coordorigin="0,0" coordsize="588,202">
            <v:shape style="position:absolute;left:0;top:1;width:119;height:197" type="#_x0000_t75" stroked="false">
              <v:imagedata r:id="rId13" o:title=""/>
            </v:shape>
            <v:shape style="position:absolute;left:184;top:1;width:171;height:197" type="#_x0000_t75" stroked="false">
              <v:imagedata r:id="rId14" o:title=""/>
            </v:shape>
            <v:shape style="position:absolute;left:418;top:0;width:169;height:202" type="#_x0000_t75" stroked="false">
              <v:imagedata r:id="rId15" o:title=""/>
            </v:shape>
          </v:group>
        </w:pict>
      </w:r>
      <w:r>
        <w:rPr>
          <w:rFonts w:ascii="Times New Roman"/>
          <w:spacing w:val="80"/>
          <w:position w:val="27"/>
          <w:sz w:val="20"/>
        </w:rPr>
      </w:r>
      <w:r>
        <w:rPr>
          <w:rFonts w:ascii="Times New Roman"/>
          <w:spacing w:val="10"/>
          <w:position w:val="27"/>
          <w:sz w:val="20"/>
        </w:rPr>
        <w:t> </w:t>
      </w:r>
      <w:r>
        <w:rPr>
          <w:rFonts w:ascii="Times New Roman"/>
          <w:spacing w:val="10"/>
          <w:position w:val="27"/>
          <w:sz w:val="20"/>
        </w:rPr>
        <w:pict>
          <v:group style="width:26.65pt;height:9.9pt;mso-position-horizontal-relative:char;mso-position-vertical-relative:line" coordorigin="0,0" coordsize="533,198">
            <v:line style="position:absolute" from="15,1" to="15,172" stroked="true" strokeweight="1.549727pt" strokecolor="#231f20">
              <v:stroke dashstyle="solid"/>
            </v:line>
            <v:rect style="position:absolute;left:0;top:171;width:101;height:27" filled="true" fillcolor="#231f20" stroked="false">
              <v:fill type="solid"/>
            </v:rect>
            <v:shape style="position:absolute;left:361;top:0;width:171;height:197" type="#_x0000_t75" stroked="false">
              <v:imagedata r:id="rId16" o:title=""/>
            </v:shape>
            <v:shape style="position:absolute;left:134;top:0;width:175;height:198" type="#_x0000_t75" stroked="false">
              <v:imagedata r:id="rId8" o:title=""/>
            </v:shape>
          </v:group>
        </w:pict>
      </w:r>
      <w:r>
        <w:rPr>
          <w:rFonts w:ascii="Times New Roman"/>
          <w:spacing w:val="10"/>
          <w:position w:val="27"/>
          <w:sz w:val="20"/>
        </w:rPr>
      </w:r>
      <w:r>
        <w:rPr>
          <w:rFonts w:ascii="Times New Roman"/>
          <w:spacing w:val="29"/>
          <w:position w:val="27"/>
          <w:sz w:val="19"/>
        </w:rPr>
        <w:t> </w:t>
      </w:r>
      <w:r>
        <w:rPr>
          <w:rFonts w:ascii="Times New Roman"/>
          <w:spacing w:val="29"/>
          <w:position w:val="27"/>
          <w:sz w:val="20"/>
        </w:rPr>
        <w:drawing>
          <wp:inline distT="0" distB="0" distL="0" distR="0">
            <wp:extent cx="101361" cy="123825"/>
            <wp:effectExtent l="0" t="0" r="0" b="0"/>
            <wp:docPr id="5" name="image12.png"/>
            <wp:cNvGraphicFramePr>
              <a:graphicFrameLocks noChangeAspect="1"/>
            </wp:cNvGraphicFramePr>
            <a:graphic>
              <a:graphicData uri="http://schemas.openxmlformats.org/drawingml/2006/picture">
                <pic:pic>
                  <pic:nvPicPr>
                    <pic:cNvPr id="6" name="image12.png"/>
                    <pic:cNvPicPr/>
                  </pic:nvPicPr>
                  <pic:blipFill>
                    <a:blip r:embed="rId17" cstate="print"/>
                    <a:stretch>
                      <a:fillRect/>
                    </a:stretch>
                  </pic:blipFill>
                  <pic:spPr>
                    <a:xfrm>
                      <a:off x="0" y="0"/>
                      <a:ext cx="101361" cy="123825"/>
                    </a:xfrm>
                    <a:prstGeom prst="rect">
                      <a:avLst/>
                    </a:prstGeom>
                  </pic:spPr>
                </pic:pic>
              </a:graphicData>
            </a:graphic>
          </wp:inline>
        </w:drawing>
      </w:r>
      <w:r>
        <w:rPr>
          <w:rFonts w:ascii="Times New Roman"/>
          <w:spacing w:val="29"/>
          <w:position w:val="27"/>
          <w:sz w:val="20"/>
        </w:rPr>
      </w:r>
    </w:p>
    <w:p>
      <w:pPr>
        <w:pStyle w:val="BodyText"/>
        <w:spacing w:before="1" w:after="1"/>
        <w:rPr>
          <w:rFonts w:ascii="Times New Roman"/>
          <w:sz w:val="21"/>
          <w:u w:val="none"/>
        </w:rPr>
      </w:pPr>
    </w:p>
    <w:tbl>
      <w:tblPr>
        <w:tblW w:w="0" w:type="auto"/>
        <w:jc w:val="left"/>
        <w:tblInd w:w="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6"/>
        <w:gridCol w:w="7321"/>
        <w:gridCol w:w="805"/>
      </w:tblGrid>
      <w:tr>
        <w:trPr>
          <w:trHeight w:val="535" w:hRule="atLeast"/>
        </w:trPr>
        <w:tc>
          <w:tcPr>
            <w:tcW w:w="9192" w:type="dxa"/>
            <w:gridSpan w:val="3"/>
          </w:tcPr>
          <w:p>
            <w:pPr>
              <w:pStyle w:val="TableParagraph"/>
              <w:spacing w:line="491" w:lineRule="exact"/>
              <w:ind w:left="2"/>
              <w:rPr>
                <w:sz w:val="44"/>
              </w:rPr>
            </w:pPr>
            <w:r>
              <w:rPr>
                <w:sz w:val="44"/>
              </w:rPr>
              <w:t>Minutes</w:t>
            </w:r>
          </w:p>
        </w:tc>
      </w:tr>
      <w:tr>
        <w:trPr>
          <w:trHeight w:val="338" w:hRule="atLeast"/>
        </w:trPr>
        <w:tc>
          <w:tcPr>
            <w:tcW w:w="9192" w:type="dxa"/>
            <w:gridSpan w:val="3"/>
          </w:tcPr>
          <w:p>
            <w:pPr>
              <w:pStyle w:val="TableParagraph"/>
              <w:spacing w:before="37"/>
              <w:ind w:left="2"/>
              <w:rPr>
                <w:b/>
                <w:sz w:val="24"/>
              </w:rPr>
            </w:pPr>
            <w:r>
              <w:rPr>
                <w:b/>
                <w:sz w:val="24"/>
              </w:rPr>
              <w:t>SONIA Advisory Committee</w:t>
            </w:r>
          </w:p>
        </w:tc>
      </w:tr>
      <w:tr>
        <w:trPr>
          <w:trHeight w:val="560" w:hRule="atLeast"/>
        </w:trPr>
        <w:tc>
          <w:tcPr>
            <w:tcW w:w="9192" w:type="dxa"/>
            <w:gridSpan w:val="3"/>
            <w:tcBorders>
              <w:bottom w:val="single" w:sz="4" w:space="0" w:color="000000"/>
            </w:tcBorders>
          </w:tcPr>
          <w:p>
            <w:pPr>
              <w:pStyle w:val="TableParagraph"/>
              <w:spacing w:before="17"/>
              <w:ind w:left="2"/>
              <w:rPr>
                <w:sz w:val="20"/>
              </w:rPr>
            </w:pPr>
            <w:r>
              <w:rPr>
                <w:sz w:val="20"/>
              </w:rPr>
              <w:t>18 September 2017</w:t>
            </w:r>
          </w:p>
        </w:tc>
      </w:tr>
      <w:tr>
        <w:trPr>
          <w:trHeight w:val="577" w:hRule="atLeast"/>
        </w:trPr>
        <w:tc>
          <w:tcPr>
            <w:tcW w:w="1066" w:type="dxa"/>
            <w:tcBorders>
              <w:top w:val="single" w:sz="4" w:space="0" w:color="000000"/>
            </w:tcBorders>
          </w:tcPr>
          <w:p>
            <w:pPr>
              <w:pStyle w:val="TableParagraph"/>
              <w:spacing w:before="3"/>
              <w:rPr>
                <w:rFonts w:ascii="Times New Roman"/>
                <w:sz w:val="18"/>
              </w:rPr>
            </w:pPr>
          </w:p>
          <w:p>
            <w:pPr>
              <w:pStyle w:val="TableParagraph"/>
              <w:ind w:left="2"/>
              <w:rPr>
                <w:b/>
                <w:sz w:val="20"/>
              </w:rPr>
            </w:pPr>
            <w:r>
              <w:rPr>
                <w:b/>
                <w:sz w:val="20"/>
              </w:rPr>
              <w:t>Location:</w:t>
            </w:r>
          </w:p>
        </w:tc>
        <w:tc>
          <w:tcPr>
            <w:tcW w:w="7321" w:type="dxa"/>
            <w:tcBorders>
              <w:top w:val="single" w:sz="4" w:space="0" w:color="000000"/>
            </w:tcBorders>
          </w:tcPr>
          <w:p>
            <w:pPr>
              <w:pStyle w:val="TableParagraph"/>
              <w:spacing w:before="6"/>
              <w:rPr>
                <w:rFonts w:ascii="Times New Roman"/>
                <w:sz w:val="18"/>
              </w:rPr>
            </w:pPr>
          </w:p>
          <w:p>
            <w:pPr>
              <w:pStyle w:val="TableParagraph"/>
              <w:ind w:left="33"/>
              <w:rPr>
                <w:sz w:val="20"/>
              </w:rPr>
            </w:pPr>
            <w:r>
              <w:rPr>
                <w:sz w:val="20"/>
              </w:rPr>
              <w:t>Bank of England</w:t>
            </w:r>
          </w:p>
        </w:tc>
        <w:tc>
          <w:tcPr>
            <w:tcW w:w="805" w:type="dxa"/>
            <w:tcBorders>
              <w:top w:val="single" w:sz="4" w:space="0" w:color="000000"/>
            </w:tcBorders>
          </w:tcPr>
          <w:p>
            <w:pPr>
              <w:pStyle w:val="TableParagraph"/>
              <w:rPr>
                <w:rFonts w:ascii="Times New Roman"/>
                <w:sz w:val="18"/>
              </w:rPr>
            </w:pPr>
          </w:p>
        </w:tc>
      </w:tr>
      <w:tr>
        <w:trPr>
          <w:trHeight w:val="2516" w:hRule="atLeast"/>
        </w:trPr>
        <w:tc>
          <w:tcPr>
            <w:tcW w:w="1066" w:type="dxa"/>
          </w:tcPr>
          <w:p>
            <w:pPr>
              <w:pStyle w:val="TableParagraph"/>
              <w:spacing w:before="127"/>
              <w:ind w:left="2"/>
              <w:rPr>
                <w:b/>
                <w:sz w:val="20"/>
              </w:rPr>
            </w:pPr>
            <w:r>
              <w:rPr>
                <w:b/>
                <w:sz w:val="20"/>
              </w:rPr>
              <w:t>Members:</w:t>
            </w:r>
          </w:p>
        </w:tc>
        <w:tc>
          <w:tcPr>
            <w:tcW w:w="7321" w:type="dxa"/>
          </w:tcPr>
          <w:p>
            <w:pPr>
              <w:pStyle w:val="TableParagraph"/>
              <w:spacing w:before="127"/>
              <w:ind w:left="33" w:right="5578"/>
              <w:rPr>
                <w:sz w:val="20"/>
              </w:rPr>
            </w:pPr>
            <w:r>
              <w:rPr>
                <w:sz w:val="20"/>
              </w:rPr>
              <w:t>Sarah John (Chair) Alex McDonald David Clark</w:t>
            </w:r>
          </w:p>
          <w:p>
            <w:pPr>
              <w:pStyle w:val="TableParagraph"/>
              <w:spacing w:before="1"/>
              <w:ind w:left="33" w:right="6000"/>
              <w:rPr>
                <w:sz w:val="20"/>
              </w:rPr>
            </w:pPr>
            <w:r>
              <w:rPr>
                <w:sz w:val="20"/>
              </w:rPr>
              <w:t>Philip Chilvers Brad Jeffery Ian Mair</w:t>
            </w:r>
          </w:p>
          <w:p>
            <w:pPr>
              <w:pStyle w:val="TableParagraph"/>
              <w:ind w:left="33" w:right="6065"/>
              <w:rPr>
                <w:sz w:val="20"/>
              </w:rPr>
            </w:pPr>
            <w:r>
              <w:rPr>
                <w:sz w:val="20"/>
              </w:rPr>
              <w:t>Will Parry Rob Thurlow Peter Weston</w:t>
            </w:r>
          </w:p>
          <w:p>
            <w:pPr>
              <w:pStyle w:val="TableParagraph"/>
              <w:spacing w:before="3"/>
              <w:ind w:left="33"/>
              <w:rPr>
                <w:sz w:val="20"/>
              </w:rPr>
            </w:pPr>
            <w:r>
              <w:rPr>
                <w:sz w:val="20"/>
              </w:rPr>
              <w:t>Philip Whitehurst</w:t>
            </w:r>
          </w:p>
        </w:tc>
        <w:tc>
          <w:tcPr>
            <w:tcW w:w="805" w:type="dxa"/>
          </w:tcPr>
          <w:p>
            <w:pPr>
              <w:pStyle w:val="TableParagraph"/>
              <w:rPr>
                <w:rFonts w:ascii="Times New Roman"/>
                <w:sz w:val="18"/>
              </w:rPr>
            </w:pPr>
          </w:p>
        </w:tc>
      </w:tr>
      <w:tr>
        <w:trPr>
          <w:trHeight w:val="1897" w:hRule="atLeast"/>
        </w:trPr>
        <w:tc>
          <w:tcPr>
            <w:tcW w:w="1066" w:type="dxa"/>
            <w:tcBorders>
              <w:bottom w:val="single" w:sz="2" w:space="0" w:color="000000"/>
            </w:tcBorders>
          </w:tcPr>
          <w:p>
            <w:pPr>
              <w:pStyle w:val="TableParagraph"/>
              <w:spacing w:before="78"/>
              <w:ind w:left="2"/>
              <w:rPr>
                <w:b/>
                <w:sz w:val="20"/>
              </w:rPr>
            </w:pPr>
            <w:r>
              <w:rPr>
                <w:b/>
                <w:sz w:val="20"/>
              </w:rPr>
              <w:t>Attendees:</w:t>
            </w:r>
          </w:p>
        </w:tc>
        <w:tc>
          <w:tcPr>
            <w:tcW w:w="7321" w:type="dxa"/>
            <w:tcBorders>
              <w:bottom w:val="single" w:sz="2" w:space="0" w:color="000000"/>
            </w:tcBorders>
          </w:tcPr>
          <w:p>
            <w:pPr>
              <w:pStyle w:val="TableParagraph"/>
              <w:spacing w:line="276" w:lineRule="auto" w:before="80"/>
              <w:ind w:left="33" w:right="6123"/>
              <w:rPr>
                <w:sz w:val="20"/>
              </w:rPr>
            </w:pPr>
            <w:r>
              <w:rPr>
                <w:sz w:val="20"/>
              </w:rPr>
              <w:t>Rob Harris Paul Burton Steve Wright</w:t>
            </w:r>
          </w:p>
          <w:p>
            <w:pPr>
              <w:pStyle w:val="TableParagraph"/>
              <w:spacing w:line="276" w:lineRule="auto" w:before="1"/>
              <w:ind w:left="33" w:right="4162"/>
              <w:rPr>
                <w:sz w:val="20"/>
              </w:rPr>
            </w:pPr>
            <w:r>
              <w:rPr>
                <w:sz w:val="20"/>
              </w:rPr>
              <w:t>Tony Murphy (First item only) Munib Ali (First item only)</w:t>
            </w:r>
          </w:p>
        </w:tc>
        <w:tc>
          <w:tcPr>
            <w:tcW w:w="805" w:type="dxa"/>
            <w:tcBorders>
              <w:bottom w:val="single" w:sz="2" w:space="0" w:color="000000"/>
            </w:tcBorders>
          </w:tcPr>
          <w:p>
            <w:pPr>
              <w:pStyle w:val="TableParagraph"/>
              <w:rPr>
                <w:rFonts w:ascii="Times New Roman"/>
                <w:sz w:val="18"/>
              </w:rPr>
            </w:pPr>
          </w:p>
        </w:tc>
      </w:tr>
      <w:tr>
        <w:trPr>
          <w:trHeight w:val="695" w:hRule="atLeast"/>
        </w:trPr>
        <w:tc>
          <w:tcPr>
            <w:tcW w:w="1066" w:type="dxa"/>
            <w:tcBorders>
              <w:top w:val="single" w:sz="2" w:space="0" w:color="000000"/>
            </w:tcBorders>
          </w:tcPr>
          <w:p>
            <w:pPr>
              <w:pStyle w:val="TableParagraph"/>
              <w:spacing w:before="6"/>
              <w:rPr>
                <w:rFonts w:ascii="Times New Roman"/>
                <w:sz w:val="19"/>
              </w:rPr>
            </w:pPr>
          </w:p>
          <w:p>
            <w:pPr>
              <w:pStyle w:val="TableParagraph"/>
              <w:spacing w:line="230" w:lineRule="atLeast"/>
              <w:ind w:left="110" w:right="291"/>
              <w:rPr>
                <w:b/>
                <w:sz w:val="20"/>
              </w:rPr>
            </w:pPr>
            <w:r>
              <w:rPr>
                <w:b/>
                <w:sz w:val="20"/>
              </w:rPr>
              <w:t>Minute no.</w:t>
            </w:r>
          </w:p>
        </w:tc>
        <w:tc>
          <w:tcPr>
            <w:tcW w:w="7321" w:type="dxa"/>
            <w:tcBorders>
              <w:top w:val="single" w:sz="2" w:space="0" w:color="000000"/>
            </w:tcBorders>
          </w:tcPr>
          <w:p>
            <w:pPr>
              <w:pStyle w:val="TableParagraph"/>
              <w:spacing w:before="6"/>
              <w:rPr>
                <w:rFonts w:ascii="Times New Roman"/>
                <w:sz w:val="19"/>
              </w:rPr>
            </w:pPr>
          </w:p>
          <w:p>
            <w:pPr>
              <w:pStyle w:val="TableParagraph"/>
              <w:ind w:left="76"/>
              <w:rPr>
                <w:b/>
                <w:sz w:val="20"/>
              </w:rPr>
            </w:pPr>
            <w:r>
              <w:rPr>
                <w:b/>
                <w:sz w:val="20"/>
              </w:rPr>
              <w:t>Minute</w:t>
            </w:r>
          </w:p>
        </w:tc>
        <w:tc>
          <w:tcPr>
            <w:tcW w:w="805" w:type="dxa"/>
            <w:tcBorders>
              <w:top w:val="single" w:sz="2" w:space="0" w:color="000000"/>
            </w:tcBorders>
          </w:tcPr>
          <w:p>
            <w:pPr>
              <w:pStyle w:val="TableParagraph"/>
              <w:spacing w:before="6"/>
              <w:rPr>
                <w:rFonts w:ascii="Times New Roman"/>
                <w:sz w:val="19"/>
              </w:rPr>
            </w:pPr>
          </w:p>
          <w:p>
            <w:pPr>
              <w:pStyle w:val="TableParagraph"/>
              <w:ind w:right="13"/>
              <w:jc w:val="right"/>
              <w:rPr>
                <w:b/>
                <w:sz w:val="20"/>
              </w:rPr>
            </w:pPr>
            <w:r>
              <w:rPr>
                <w:b/>
                <w:w w:val="95"/>
                <w:sz w:val="20"/>
              </w:rPr>
              <w:t>Action</w:t>
            </w:r>
          </w:p>
        </w:tc>
      </w:tr>
      <w:tr>
        <w:trPr>
          <w:trHeight w:val="6114" w:hRule="atLeast"/>
        </w:trPr>
        <w:tc>
          <w:tcPr>
            <w:tcW w:w="1066" w:type="dxa"/>
          </w:tcPr>
          <w:p>
            <w:pPr>
              <w:pStyle w:val="TableParagraph"/>
              <w:spacing w:before="5"/>
              <w:ind w:left="110"/>
              <w:rPr>
                <w:sz w:val="20"/>
              </w:rPr>
            </w:pPr>
            <w:r>
              <w:rPr>
                <w:sz w:val="20"/>
              </w:rPr>
              <w:t>1.</w:t>
            </w:r>
          </w:p>
        </w:tc>
        <w:tc>
          <w:tcPr>
            <w:tcW w:w="7321" w:type="dxa"/>
          </w:tcPr>
          <w:p>
            <w:pPr>
              <w:pStyle w:val="TableParagraph"/>
              <w:spacing w:before="2"/>
              <w:ind w:left="76" w:right="177"/>
              <w:rPr>
                <w:sz w:val="20"/>
              </w:rPr>
            </w:pPr>
            <w:r>
              <w:rPr>
                <w:b/>
                <w:sz w:val="20"/>
              </w:rPr>
              <w:t>Final Report of WMBA Assurance Review for the SONIA benchmark </w:t>
            </w:r>
            <w:r>
              <w:rPr>
                <w:sz w:val="20"/>
              </w:rPr>
              <w:t>Promontory presented their assurance assessment of WMBA’s compliance with the IOSCO Principles for Financial Benchmarks, </w:t>
            </w:r>
            <w:hyperlink w:history="true" w:anchor="_bookmark0">
              <w:r>
                <w:rPr>
                  <w:sz w:val="20"/>
                  <w:vertAlign w:val="superscript"/>
                </w:rPr>
                <w:t>1</w:t>
              </w:r>
            </w:hyperlink>
            <w:r>
              <w:rPr>
                <w:sz w:val="20"/>
                <w:vertAlign w:val="baseline"/>
              </w:rPr>
              <w:t> in relation to WMBA’s responsibilities for the SONIA benchmark. The report concluded the WMBA largely complies with the IOSCO Principles in relation to SONIA, with the following recommendations to more closely align WMBA’s policies and practices with the</w:t>
            </w:r>
            <w:r>
              <w:rPr>
                <w:spacing w:val="2"/>
                <w:sz w:val="20"/>
                <w:vertAlign w:val="baseline"/>
              </w:rPr>
              <w:t> </w:t>
            </w:r>
            <w:r>
              <w:rPr>
                <w:sz w:val="20"/>
                <w:vertAlign w:val="baseline"/>
              </w:rPr>
              <w:t>Principles:</w:t>
            </w:r>
          </w:p>
          <w:p>
            <w:pPr>
              <w:pStyle w:val="TableParagraph"/>
              <w:numPr>
                <w:ilvl w:val="0"/>
                <w:numId w:val="1"/>
              </w:numPr>
              <w:tabs>
                <w:tab w:pos="796" w:val="left" w:leader="none"/>
                <w:tab w:pos="797" w:val="left" w:leader="none"/>
              </w:tabs>
              <w:spacing w:line="268" w:lineRule="auto" w:before="5" w:after="0"/>
              <w:ind w:left="796" w:right="364" w:hanging="360"/>
              <w:jc w:val="left"/>
              <w:rPr>
                <w:sz w:val="20"/>
              </w:rPr>
            </w:pPr>
            <w:r>
              <w:rPr>
                <w:sz w:val="20"/>
              </w:rPr>
              <w:t>Defining and documenting the relative roles and responsibilities of</w:t>
            </w:r>
            <w:r>
              <w:rPr>
                <w:spacing w:val="-27"/>
                <w:sz w:val="20"/>
              </w:rPr>
              <w:t> </w:t>
            </w:r>
            <w:r>
              <w:rPr>
                <w:sz w:val="20"/>
              </w:rPr>
              <w:t>the Bank of England and WMBA for each of the individual IOSCO Principles and other applicable</w:t>
            </w:r>
            <w:r>
              <w:rPr>
                <w:spacing w:val="-2"/>
                <w:sz w:val="20"/>
              </w:rPr>
              <w:t> </w:t>
            </w:r>
            <w:r>
              <w:rPr>
                <w:sz w:val="20"/>
              </w:rPr>
              <w:t>standards</w:t>
            </w:r>
          </w:p>
          <w:p>
            <w:pPr>
              <w:pStyle w:val="TableParagraph"/>
              <w:numPr>
                <w:ilvl w:val="0"/>
                <w:numId w:val="1"/>
              </w:numPr>
              <w:tabs>
                <w:tab w:pos="796" w:val="left" w:leader="none"/>
                <w:tab w:pos="797" w:val="left" w:leader="none"/>
              </w:tabs>
              <w:spacing w:line="268" w:lineRule="auto" w:before="8" w:after="0"/>
              <w:ind w:left="795" w:right="606" w:hanging="360"/>
              <w:jc w:val="left"/>
              <w:rPr>
                <w:sz w:val="20"/>
              </w:rPr>
            </w:pPr>
            <w:r>
              <w:rPr>
                <w:sz w:val="20"/>
              </w:rPr>
              <w:t>Reviewing WMBA’s policies and procedures to tailor them to the activities conducted specifically for SONIA, to adopt a formal policy structure and to consolidate policies for consistency and</w:t>
            </w:r>
            <w:r>
              <w:rPr>
                <w:spacing w:val="-20"/>
                <w:sz w:val="20"/>
              </w:rPr>
              <w:t> </w:t>
            </w:r>
            <w:r>
              <w:rPr>
                <w:sz w:val="20"/>
              </w:rPr>
              <w:t>clarity.</w:t>
            </w:r>
          </w:p>
          <w:p>
            <w:pPr>
              <w:pStyle w:val="TableParagraph"/>
              <w:numPr>
                <w:ilvl w:val="0"/>
                <w:numId w:val="1"/>
              </w:numPr>
              <w:tabs>
                <w:tab w:pos="795" w:val="left" w:leader="none"/>
                <w:tab w:pos="796" w:val="left" w:leader="none"/>
              </w:tabs>
              <w:spacing w:line="271" w:lineRule="auto" w:before="6" w:after="0"/>
              <w:ind w:left="795" w:right="311" w:hanging="360"/>
              <w:jc w:val="left"/>
              <w:rPr>
                <w:sz w:val="20"/>
              </w:rPr>
            </w:pPr>
            <w:r>
              <w:rPr>
                <w:sz w:val="20"/>
              </w:rPr>
              <w:t>Considering how WMBA can formalise a system of measures to evaluate how data providers to SONIA adhere to the relevant codes</w:t>
            </w:r>
            <w:r>
              <w:rPr>
                <w:spacing w:val="-29"/>
                <w:sz w:val="20"/>
              </w:rPr>
              <w:t> </w:t>
            </w:r>
            <w:r>
              <w:rPr>
                <w:sz w:val="20"/>
              </w:rPr>
              <w:t>of practice and data quality.</w:t>
            </w:r>
          </w:p>
          <w:p>
            <w:pPr>
              <w:pStyle w:val="TableParagraph"/>
              <w:numPr>
                <w:ilvl w:val="0"/>
                <w:numId w:val="1"/>
              </w:numPr>
              <w:tabs>
                <w:tab w:pos="795" w:val="left" w:leader="none"/>
                <w:tab w:pos="796" w:val="left" w:leader="none"/>
              </w:tabs>
              <w:spacing w:line="264" w:lineRule="auto" w:before="1" w:after="0"/>
              <w:ind w:left="795" w:right="565" w:hanging="360"/>
              <w:jc w:val="left"/>
              <w:rPr>
                <w:sz w:val="20"/>
              </w:rPr>
            </w:pPr>
            <w:r>
              <w:rPr>
                <w:sz w:val="20"/>
              </w:rPr>
              <w:t>Reviewing recording practices for telephone communication among participants in the benchmark</w:t>
            </w:r>
            <w:r>
              <w:rPr>
                <w:spacing w:val="3"/>
                <w:sz w:val="20"/>
              </w:rPr>
              <w:t> </w:t>
            </w:r>
            <w:r>
              <w:rPr>
                <w:sz w:val="20"/>
              </w:rPr>
              <w:t>determination.</w:t>
            </w:r>
          </w:p>
          <w:p>
            <w:pPr>
              <w:pStyle w:val="TableParagraph"/>
              <w:spacing w:before="1"/>
              <w:rPr>
                <w:rFonts w:ascii="Times New Roman"/>
                <w:sz w:val="18"/>
              </w:rPr>
            </w:pPr>
          </w:p>
          <w:p>
            <w:pPr>
              <w:pStyle w:val="TableParagraph"/>
              <w:ind w:left="75" w:right="170"/>
              <w:jc w:val="both"/>
              <w:rPr>
                <w:sz w:val="20"/>
              </w:rPr>
            </w:pPr>
            <w:r>
              <w:rPr>
                <w:sz w:val="20"/>
              </w:rPr>
              <w:t>Promontory noted that WMBA had demonstrated its commitment to comply with the IOSCO Principles and had already addressed some of the issues identified. The Committee welcomed the report and noted that the Summary Report would be published.</w:t>
            </w:r>
          </w:p>
          <w:p>
            <w:pPr>
              <w:pStyle w:val="TableParagraph"/>
              <w:spacing w:line="230" w:lineRule="exact" w:before="4"/>
              <w:ind w:left="76" w:right="860"/>
              <w:jc w:val="both"/>
              <w:rPr>
                <w:sz w:val="20"/>
              </w:rPr>
            </w:pPr>
            <w:r>
              <w:rPr>
                <w:sz w:val="20"/>
              </w:rPr>
              <w:t>The Committee discussed the recommendations of the report, with most discussion around ensuring data quality from the contributors. This was</w:t>
            </w:r>
          </w:p>
        </w:tc>
        <w:tc>
          <w:tcPr>
            <w:tcW w:w="805" w:type="dxa"/>
          </w:tcPr>
          <w:p>
            <w:pPr>
              <w:pStyle w:val="TableParagraph"/>
              <w:spacing w:before="5"/>
              <w:ind w:right="14"/>
              <w:jc w:val="right"/>
              <w:rPr>
                <w:sz w:val="20"/>
              </w:rPr>
            </w:pPr>
            <w:r>
              <w:rPr>
                <w:w w:val="95"/>
                <w:sz w:val="20"/>
              </w:rPr>
              <w:t>N/A</w:t>
            </w:r>
          </w:p>
        </w:tc>
      </w:tr>
    </w:tbl>
    <w:p>
      <w:pPr>
        <w:pStyle w:val="BodyText"/>
        <w:spacing w:before="6"/>
        <w:rPr>
          <w:rFonts w:ascii="Times New Roman"/>
          <w:sz w:val="18"/>
          <w:u w:val="none"/>
        </w:rPr>
      </w:pPr>
      <w:r>
        <w:rPr/>
        <w:pict>
          <v:shape style="position:absolute;margin-left:56.639999pt;margin-top:12.888836pt;width:144pt;height:.1pt;mso-position-horizontal-relative:page;mso-position-vertical-relative:paragraph;z-index:-251654144;mso-wrap-distance-left:0;mso-wrap-distance-right:0" coordorigin="1133,258" coordsize="2880,0" path="m1133,258l4013,258e" filled="false" stroked="true" strokeweight=".481pt" strokecolor="#000000">
            <v:path arrowok="t"/>
            <v:stroke dashstyle="solid"/>
            <w10:wrap type="topAndBottom"/>
          </v:shape>
        </w:pict>
      </w:r>
    </w:p>
    <w:p>
      <w:pPr>
        <w:spacing w:after="0"/>
        <w:rPr>
          <w:rFonts w:ascii="Times New Roman"/>
          <w:sz w:val="18"/>
        </w:rPr>
        <w:sectPr>
          <w:footerReference w:type="default" r:id="rId5"/>
          <w:type w:val="continuous"/>
          <w:pgSz w:w="11910" w:h="16840"/>
          <w:pgMar w:footer="1093" w:top="860" w:bottom="1280" w:left="1100" w:right="1120"/>
        </w:sectPr>
      </w:pPr>
    </w:p>
    <w:tbl>
      <w:tblPr>
        <w:tblW w:w="0" w:type="auto"/>
        <w:jc w:val="left"/>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9"/>
        <w:gridCol w:w="7801"/>
        <w:gridCol w:w="867"/>
      </w:tblGrid>
      <w:tr>
        <w:trPr>
          <w:trHeight w:val="1034" w:hRule="atLeast"/>
        </w:trPr>
        <w:tc>
          <w:tcPr>
            <w:tcW w:w="799" w:type="dxa"/>
          </w:tcPr>
          <w:p>
            <w:pPr>
              <w:pStyle w:val="TableParagraph"/>
              <w:rPr>
                <w:rFonts w:ascii="Times New Roman"/>
                <w:sz w:val="18"/>
              </w:rPr>
            </w:pPr>
          </w:p>
        </w:tc>
        <w:tc>
          <w:tcPr>
            <w:tcW w:w="7801" w:type="dxa"/>
          </w:tcPr>
          <w:p>
            <w:pPr>
              <w:pStyle w:val="TableParagraph"/>
              <w:ind w:left="432" w:right="478"/>
              <w:rPr>
                <w:sz w:val="20"/>
              </w:rPr>
            </w:pPr>
            <w:r>
              <w:rPr>
                <w:sz w:val="20"/>
              </w:rPr>
              <w:t>discussed at the March 2017 Advisory Committee and it was agreed then that regular visits and the incident report processes were more appropriate than formal attestations to the data quality code. The Committee were still content with this decision.</w:t>
            </w:r>
          </w:p>
        </w:tc>
        <w:tc>
          <w:tcPr>
            <w:tcW w:w="867" w:type="dxa"/>
          </w:tcPr>
          <w:p>
            <w:pPr>
              <w:pStyle w:val="TableParagraph"/>
              <w:rPr>
                <w:rFonts w:ascii="Times New Roman"/>
                <w:sz w:val="18"/>
              </w:rPr>
            </w:pPr>
          </w:p>
        </w:tc>
      </w:tr>
      <w:tr>
        <w:trPr>
          <w:trHeight w:val="4105" w:hRule="atLeast"/>
        </w:trPr>
        <w:tc>
          <w:tcPr>
            <w:tcW w:w="799" w:type="dxa"/>
          </w:tcPr>
          <w:p>
            <w:pPr>
              <w:pStyle w:val="TableParagraph"/>
              <w:spacing w:before="117"/>
              <w:ind w:left="200"/>
              <w:rPr>
                <w:sz w:val="20"/>
              </w:rPr>
            </w:pPr>
            <w:r>
              <w:rPr>
                <w:sz w:val="20"/>
              </w:rPr>
              <w:t>2.</w:t>
            </w:r>
          </w:p>
        </w:tc>
        <w:tc>
          <w:tcPr>
            <w:tcW w:w="7801" w:type="dxa"/>
          </w:tcPr>
          <w:p>
            <w:pPr>
              <w:pStyle w:val="TableParagraph"/>
              <w:spacing w:before="115"/>
              <w:ind w:left="432"/>
              <w:jc w:val="both"/>
              <w:rPr>
                <w:b/>
                <w:sz w:val="20"/>
              </w:rPr>
            </w:pPr>
            <w:r>
              <w:rPr>
                <w:b/>
                <w:sz w:val="20"/>
              </w:rPr>
              <w:t>Review of the SONIA Dashboard</w:t>
            </w:r>
          </w:p>
          <w:p>
            <w:pPr>
              <w:pStyle w:val="TableParagraph"/>
              <w:spacing w:before="3"/>
              <w:ind w:left="432" w:right="295"/>
              <w:jc w:val="both"/>
              <w:rPr>
                <w:sz w:val="20"/>
              </w:rPr>
            </w:pPr>
            <w:r>
              <w:rPr>
                <w:sz w:val="20"/>
              </w:rPr>
              <w:t>The Committee reviewed the SONIA Dashboard covering the period of June to August 2017.</w:t>
            </w:r>
          </w:p>
          <w:p>
            <w:pPr>
              <w:pStyle w:val="TableParagraph"/>
              <w:spacing w:before="1"/>
              <w:ind w:left="433" w:right="295"/>
              <w:jc w:val="both"/>
              <w:rPr>
                <w:sz w:val="20"/>
              </w:rPr>
            </w:pPr>
            <w:r>
              <w:rPr>
                <w:sz w:val="20"/>
              </w:rPr>
              <w:t>SONIA had been stable throughout the period, with the exception of June quarter-end, when the rate fell slightly, in line with previous years. It was noted that daily trading volumes had increased further over the quarter, reaching</w:t>
            </w:r>
          </w:p>
          <w:p>
            <w:pPr>
              <w:pStyle w:val="TableParagraph"/>
              <w:ind w:left="433" w:right="296"/>
              <w:jc w:val="both"/>
              <w:rPr>
                <w:sz w:val="20"/>
              </w:rPr>
            </w:pPr>
            <w:r>
              <w:rPr>
                <w:sz w:val="20"/>
              </w:rPr>
              <w:t>£18.4bn in August – the highest since September 2011. Bank of England attendees noted that indicative volumes in reformed SONIA had similarly risen.</w:t>
            </w:r>
          </w:p>
          <w:p>
            <w:pPr>
              <w:pStyle w:val="TableParagraph"/>
              <w:spacing w:before="10"/>
              <w:rPr>
                <w:rFonts w:ascii="Times New Roman"/>
                <w:sz w:val="20"/>
              </w:rPr>
            </w:pPr>
          </w:p>
          <w:p>
            <w:pPr>
              <w:pStyle w:val="TableParagraph"/>
              <w:ind w:left="432" w:right="292"/>
              <w:jc w:val="both"/>
              <w:rPr>
                <w:sz w:val="20"/>
              </w:rPr>
            </w:pPr>
            <w:r>
              <w:rPr>
                <w:sz w:val="20"/>
              </w:rPr>
              <w:t>There was discussion of the possible reasons driving the volume increase. The Committee suggested it was likely to be a number of small contributing factors, including: possible easing of balance sheet constraints across some borrowing banks; increased short-term cash investments as a result of the MPC’s August 2016 monetary easing package; possible substitution of lenders away from the secured market. It was suggested that the volumes could further increase if a Bank Rate rise looks likely in the coming months.</w:t>
            </w:r>
          </w:p>
        </w:tc>
        <w:tc>
          <w:tcPr>
            <w:tcW w:w="867" w:type="dxa"/>
          </w:tcPr>
          <w:p>
            <w:pPr>
              <w:pStyle w:val="TableParagraph"/>
              <w:spacing w:before="117"/>
              <w:ind w:left="333"/>
              <w:rPr>
                <w:sz w:val="20"/>
              </w:rPr>
            </w:pPr>
            <w:r>
              <w:rPr>
                <w:sz w:val="20"/>
              </w:rPr>
              <w:t>N/A</w:t>
            </w:r>
          </w:p>
        </w:tc>
      </w:tr>
      <w:tr>
        <w:trPr>
          <w:trHeight w:val="2021" w:hRule="atLeast"/>
        </w:trPr>
        <w:tc>
          <w:tcPr>
            <w:tcW w:w="799" w:type="dxa"/>
          </w:tcPr>
          <w:p>
            <w:pPr>
              <w:pStyle w:val="TableParagraph"/>
              <w:spacing w:before="3"/>
              <w:rPr>
                <w:rFonts w:ascii="Times New Roman"/>
                <w:sz w:val="25"/>
              </w:rPr>
            </w:pPr>
          </w:p>
          <w:p>
            <w:pPr>
              <w:pStyle w:val="TableParagraph"/>
              <w:spacing w:before="1"/>
              <w:ind w:left="200"/>
              <w:rPr>
                <w:sz w:val="20"/>
              </w:rPr>
            </w:pPr>
            <w:r>
              <w:rPr>
                <w:sz w:val="20"/>
              </w:rPr>
              <w:t>3.</w:t>
            </w:r>
          </w:p>
        </w:tc>
        <w:tc>
          <w:tcPr>
            <w:tcW w:w="7801" w:type="dxa"/>
          </w:tcPr>
          <w:p>
            <w:pPr>
              <w:pStyle w:val="TableParagraph"/>
              <w:spacing w:before="1"/>
              <w:rPr>
                <w:rFonts w:ascii="Times New Roman"/>
                <w:sz w:val="25"/>
              </w:rPr>
            </w:pPr>
          </w:p>
          <w:p>
            <w:pPr>
              <w:pStyle w:val="TableParagraph"/>
              <w:ind w:left="432"/>
              <w:rPr>
                <w:b/>
                <w:sz w:val="20"/>
              </w:rPr>
            </w:pPr>
            <w:r>
              <w:rPr>
                <w:b/>
                <w:sz w:val="20"/>
              </w:rPr>
              <w:t>Other business</w:t>
            </w:r>
          </w:p>
          <w:p>
            <w:pPr>
              <w:pStyle w:val="TableParagraph"/>
              <w:spacing w:before="3"/>
              <w:ind w:left="432" w:right="344"/>
              <w:rPr>
                <w:sz w:val="20"/>
              </w:rPr>
            </w:pPr>
            <w:r>
              <w:rPr>
                <w:sz w:val="20"/>
              </w:rPr>
              <w:t>WMBA noted that they intend to publish a statement on their website that from 1 January 2018 and the introduction of the EU Benchmark Regulation, the FCA will not supervise WMBA Limited in its capacity as calculation and publication agent for SONIA.</w:t>
            </w:r>
          </w:p>
          <w:p>
            <w:pPr>
              <w:pStyle w:val="TableParagraph"/>
              <w:spacing w:line="230" w:lineRule="atLeast" w:before="120"/>
              <w:ind w:left="432"/>
              <w:rPr>
                <w:sz w:val="20"/>
              </w:rPr>
            </w:pPr>
            <w:r>
              <w:rPr>
                <w:sz w:val="20"/>
              </w:rPr>
              <w:t>The Bank reminded the Committee that the deadline for responses on the RFR Working Group White Paper is Friday 29 September.</w:t>
            </w:r>
            <w:hyperlink w:history="true" w:anchor="_bookmark1">
              <w:r>
                <w:rPr>
                  <w:sz w:val="20"/>
                  <w:vertAlign w:val="superscript"/>
                </w:rPr>
                <w:t>2</w:t>
              </w:r>
            </w:hyperlink>
          </w:p>
        </w:tc>
        <w:tc>
          <w:tcPr>
            <w:tcW w:w="867" w:type="dxa"/>
          </w:tcPr>
          <w:p>
            <w:pPr>
              <w:pStyle w:val="TableParagraph"/>
              <w:spacing w:before="3"/>
              <w:rPr>
                <w:rFonts w:ascii="Times New Roman"/>
                <w:sz w:val="25"/>
              </w:rPr>
            </w:pPr>
          </w:p>
          <w:p>
            <w:pPr>
              <w:pStyle w:val="TableParagraph"/>
              <w:spacing w:before="1"/>
              <w:ind w:left="292"/>
              <w:rPr>
                <w:sz w:val="20"/>
              </w:rPr>
            </w:pPr>
            <w:r>
              <w:rPr>
                <w:sz w:val="20"/>
              </w:rPr>
              <w:t>N/A</w:t>
            </w:r>
          </w:p>
        </w:tc>
      </w:tr>
    </w:tbl>
    <w:p>
      <w:pPr>
        <w:pStyle w:val="BodyText"/>
        <w:rPr>
          <w:u w:val="none"/>
        </w:rPr>
      </w:pPr>
      <w:bookmarkStart w:name="_bookmark1" w:id="2"/>
      <w:bookmarkEnd w:id="2"/>
      <w:r>
        <w:rPr>
          <w:u w:val="none"/>
        </w:rPr>
      </w:r>
      <w:r>
        <w:rPr>
          <w:u w:val="none"/>
        </w:rPr>
      </w:r>
    </w:p>
    <w:sectPr>
      <w:footerReference w:type="default" r:id="rId18"/>
      <w:pgSz w:w="11910" w:h="16840"/>
      <w:pgMar w:footer="1117" w:header="0" w:top="1400" w:bottom="1300" w:left="110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u w:val="none"/>
      </w:rPr>
    </w:pPr>
    <w:r>
      <w:rPr/>
      <w:pict>
        <v:shapetype id="_x0000_t202" o:spt="202" coordsize="21600,21600" path="m,l,21600r21600,l21600,xe">
          <v:stroke joinstyle="miter"/>
          <v:path gradientshapeok="t" o:connecttype="rect"/>
        </v:shapetype>
        <v:shape style="position:absolute;margin-left:55.639999pt;margin-top:772.248352pt;width:327.150pt;height:13.9pt;mso-position-horizontal-relative:page;mso-position-vertical-relative:page;z-index:-251878400" type="#_x0000_t202" filled="false" stroked="false">
          <v:textbox inset="0,0,0,0">
            <w:txbxContent>
              <w:p>
                <w:pPr>
                  <w:spacing w:before="17"/>
                  <w:ind w:left="20" w:right="0" w:firstLine="0"/>
                  <w:jc w:val="left"/>
                  <w:rPr>
                    <w:sz w:val="18"/>
                  </w:rPr>
                </w:pPr>
                <w:r>
                  <w:rPr>
                    <w:position w:val="9"/>
                    <w:sz w:val="12"/>
                  </w:rPr>
                  <w:t>1 </w:t>
                </w:r>
                <w:r>
                  <w:rPr>
                    <w:sz w:val="18"/>
                  </w:rPr>
                  <w:t>For more information, see: </w:t>
                </w:r>
                <w:hyperlink r:id="rId1">
                  <w:r>
                    <w:rPr>
                      <w:color w:val="0000FF"/>
                      <w:sz w:val="18"/>
                      <w:u w:val="single" w:color="0000FF"/>
                    </w:rPr>
                    <w:t>www.iosco.org/library/pubdocs/pdf/IOSCOPD415.pdf</w:t>
                  </w:r>
                </w:hyperlink>
              </w:p>
            </w:txbxContent>
          </v:textbox>
          <w10:wrap type="none"/>
        </v:shape>
      </w:pict>
    </w:r>
    <w:r>
      <w:rPr/>
      <w:pict>
        <v:shape style="position:absolute;margin-left:532.039978pt;margin-top:800.583435pt;width:7.55pt;height:13.15pt;mso-position-horizontal-relative:page;mso-position-vertical-relative:page;z-index:-251877376" type="#_x0000_t202" filled="false" stroked="false">
          <v:textbox inset="0,0,0,0">
            <w:txbxContent>
              <w:p>
                <w:pPr>
                  <w:pStyle w:val="BodyText"/>
                  <w:spacing w:before="12"/>
                  <w:ind w:left="20"/>
                  <w:rPr>
                    <w:u w:val="none"/>
                  </w:rPr>
                </w:pPr>
                <w:r>
                  <w:rPr>
                    <w:w w:val="99"/>
                    <w:u w:val="none"/>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u w:val="none"/>
      </w:rPr>
    </w:pPr>
    <w:r>
      <w:rPr/>
      <w:pict>
        <v:line style="position:absolute;mso-position-horizontal-relative:page;mso-position-vertical-relative:page;z-index:-251876352" from="56.639999pt,769.199463pt" to="200.639999pt,769.199463pt" stroked="true" strokeweight=".481pt" strokecolor="#000000">
          <v:stroke dashstyle="solid"/>
          <w10:wrap type="none"/>
        </v:line>
      </w:pict>
    </w:r>
    <w:r>
      <w:rPr/>
      <w:pict>
        <v:shape style="position:absolute;margin-left:55.639999pt;margin-top:771.093811pt;width:448.4pt;height:15.05pt;mso-position-horizontal-relative:page;mso-position-vertical-relative:page;z-index:-251875328" type="#_x0000_t202" filled="false" stroked="false">
          <v:textbox inset="0,0,0,0">
            <w:txbxContent>
              <w:p>
                <w:pPr>
                  <w:pStyle w:val="BodyText"/>
                  <w:spacing w:before="16"/>
                  <w:ind w:left="20"/>
                  <w:rPr>
                    <w:u w:val="none"/>
                  </w:rPr>
                </w:pPr>
                <w:r>
                  <w:rPr>
                    <w:position w:val="10"/>
                    <w:sz w:val="13"/>
                    <w:u w:val="none"/>
                  </w:rPr>
                  <w:t>2 </w:t>
                </w:r>
                <w:hyperlink r:id="rId1">
                  <w:r>
                    <w:rPr>
                      <w:color w:val="0000FF"/>
                      <w:u w:val="single" w:color="0000FF"/>
                    </w:rPr>
                    <w:t>http://www.bankofengland.co.uk/markets/Documents/sterlingoperations/rfr/rfrwgwhitepaper0617.pdf</w:t>
                  </w:r>
                </w:hyperlink>
              </w:p>
            </w:txbxContent>
          </v:textbox>
          <w10:wrap type="none"/>
        </v:shape>
      </w:pict>
    </w:r>
    <w:r>
      <w:rPr/>
      <w:pict>
        <v:shape style="position:absolute;margin-left:532.039978pt;margin-top:802.143433pt;width:7.55pt;height:13.15pt;mso-position-horizontal-relative:page;mso-position-vertical-relative:page;z-index:-251874304" type="#_x0000_t202" filled="false" stroked="false">
          <v:textbox inset="0,0,0,0">
            <w:txbxContent>
              <w:p>
                <w:pPr>
                  <w:pStyle w:val="BodyText"/>
                  <w:spacing w:before="12"/>
                  <w:ind w:left="20"/>
                  <w:rPr>
                    <w:u w:val="none"/>
                  </w:rPr>
                </w:pPr>
                <w:r>
                  <w:rPr>
                    <w:w w:val="99"/>
                    <w:u w:val="none"/>
                  </w:rPr>
                  <w:t>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796" w:hanging="360"/>
      </w:pPr>
      <w:rPr>
        <w:rFonts w:hint="default" w:ascii="Calibri" w:hAnsi="Calibri" w:eastAsia="Calibri" w:cs="Calibri"/>
        <w:w w:val="99"/>
        <w:sz w:val="20"/>
        <w:szCs w:val="20"/>
      </w:rPr>
    </w:lvl>
    <w:lvl w:ilvl="1">
      <w:start w:val="0"/>
      <w:numFmt w:val="bullet"/>
      <w:lvlText w:val="•"/>
      <w:lvlJc w:val="left"/>
      <w:pPr>
        <w:ind w:left="1452" w:hanging="360"/>
      </w:pPr>
      <w:rPr>
        <w:rFonts w:hint="default"/>
      </w:rPr>
    </w:lvl>
    <w:lvl w:ilvl="2">
      <w:start w:val="0"/>
      <w:numFmt w:val="bullet"/>
      <w:lvlText w:val="•"/>
      <w:lvlJc w:val="left"/>
      <w:pPr>
        <w:ind w:left="2104" w:hanging="360"/>
      </w:pPr>
      <w:rPr>
        <w:rFonts w:hint="default"/>
      </w:rPr>
    </w:lvl>
    <w:lvl w:ilvl="3">
      <w:start w:val="0"/>
      <w:numFmt w:val="bullet"/>
      <w:lvlText w:val="•"/>
      <w:lvlJc w:val="left"/>
      <w:pPr>
        <w:ind w:left="2756" w:hanging="360"/>
      </w:pPr>
      <w:rPr>
        <w:rFonts w:hint="default"/>
      </w:rPr>
    </w:lvl>
    <w:lvl w:ilvl="4">
      <w:start w:val="0"/>
      <w:numFmt w:val="bullet"/>
      <w:lvlText w:val="•"/>
      <w:lvlJc w:val="left"/>
      <w:pPr>
        <w:ind w:left="3408" w:hanging="360"/>
      </w:pPr>
      <w:rPr>
        <w:rFonts w:hint="default"/>
      </w:rPr>
    </w:lvl>
    <w:lvl w:ilvl="5">
      <w:start w:val="0"/>
      <w:numFmt w:val="bullet"/>
      <w:lvlText w:val="•"/>
      <w:lvlJc w:val="left"/>
      <w:pPr>
        <w:ind w:left="4060" w:hanging="360"/>
      </w:pPr>
      <w:rPr>
        <w:rFonts w:hint="default"/>
      </w:rPr>
    </w:lvl>
    <w:lvl w:ilvl="6">
      <w:start w:val="0"/>
      <w:numFmt w:val="bullet"/>
      <w:lvlText w:val="•"/>
      <w:lvlJc w:val="left"/>
      <w:pPr>
        <w:ind w:left="4712" w:hanging="360"/>
      </w:pPr>
      <w:rPr>
        <w:rFonts w:hint="default"/>
      </w:rPr>
    </w:lvl>
    <w:lvl w:ilvl="7">
      <w:start w:val="0"/>
      <w:numFmt w:val="bullet"/>
      <w:lvlText w:val="•"/>
      <w:lvlJc w:val="left"/>
      <w:pPr>
        <w:ind w:left="5364" w:hanging="360"/>
      </w:pPr>
      <w:rPr>
        <w:rFonts w:hint="default"/>
      </w:rPr>
    </w:lvl>
    <w:lvl w:ilvl="8">
      <w:start w:val="0"/>
      <w:numFmt w:val="bullet"/>
      <w:lvlText w:val="•"/>
      <w:lvlJc w:val="left"/>
      <w:pPr>
        <w:ind w:left="6016"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oter" Target="footer2.xml"/><Relationship Id="rId1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s://www.iosco.org/library/pubdocs/pdf/IOSCOPD415.pdf"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markets/Documents/sterlingoperations/rfr/rfrwgwhitepaper06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SONIA Advisory Committee 18 September 2017</dc:title>
  <dcterms:created xsi:type="dcterms:W3CDTF">2020-06-01T02:25:37Z</dcterms:created>
  <dcterms:modified xsi:type="dcterms:W3CDTF">2020-06-01T02:25:37Z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2017-12-04T00:00:00Z</vt:filetime>
  </property>
  <property fmtid="{D5CDD505-2E9C-101B-9397-08002B2CF9AE}" pid="3" name="Creator">
    <vt:lpwstr>Acrobat PDFMaker 10.1 for Word</vt:lpwstr>
  </property>
  <property fmtid="{D5CDD505-2E9C-101B-9397-08002B2CF9AE}" pid="4" name="LastSaved">
    <vt:filetime>2020-06-01T00:00:00Z</vt:filetime>
  </property>
</Properties>
</file>