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752863"/>
        </w:rPr>
        <w:t>RTGS Renewal Programme: Synchronisation Workshop</w:t>
      </w:r>
    </w:p>
    <w:p>
      <w:pPr>
        <w:pStyle w:val="BodyText"/>
        <w:spacing w:before="10"/>
        <w:rPr>
          <w:b/>
          <w:sz w:val="20"/>
        </w:rPr>
      </w:pPr>
    </w:p>
    <w:p>
      <w:pPr>
        <w:spacing w:before="0"/>
        <w:ind w:left="100" w:right="0" w:firstLine="0"/>
        <w:jc w:val="left"/>
        <w:rPr>
          <w:b/>
          <w:sz w:val="22"/>
        </w:rPr>
      </w:pPr>
      <w:r>
        <w:rPr>
          <w:b/>
          <w:color w:val="808080"/>
          <w:sz w:val="22"/>
        </w:rPr>
        <w:t>6 February 2018</w:t>
      </w:r>
    </w:p>
    <w:p>
      <w:pPr>
        <w:pStyle w:val="BodyText"/>
        <w:rPr>
          <w:b/>
          <w:sz w:val="24"/>
        </w:rPr>
      </w:pPr>
    </w:p>
    <w:p>
      <w:pPr>
        <w:pStyle w:val="BodyText"/>
        <w:spacing w:before="8"/>
        <w:rPr>
          <w:b/>
          <w:sz w:val="34"/>
        </w:rPr>
      </w:pPr>
    </w:p>
    <w:p>
      <w:pPr>
        <w:pStyle w:val="BodyText"/>
        <w:spacing w:before="1"/>
        <w:ind w:left="100"/>
      </w:pPr>
      <w:r>
        <w:rPr/>
        <w:t>Attendees:</w:t>
      </w:r>
    </w:p>
    <w:p>
      <w:pPr>
        <w:pStyle w:val="BodyText"/>
        <w:spacing w:before="10"/>
        <w:rPr>
          <w:sz w:val="17"/>
        </w:rPr>
      </w:pPr>
    </w:p>
    <w:tbl>
      <w:tblPr>
        <w:tblW w:w="0" w:type="auto"/>
        <w:jc w:val="left"/>
        <w:tblInd w:w="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6"/>
        <w:gridCol w:w="2963"/>
        <w:gridCol w:w="3084"/>
      </w:tblGrid>
      <w:tr>
        <w:trPr>
          <w:trHeight w:val="315" w:hRule="atLeast"/>
        </w:trPr>
        <w:tc>
          <w:tcPr>
            <w:tcW w:w="3116" w:type="dxa"/>
          </w:tcPr>
          <w:p>
            <w:pPr>
              <w:pStyle w:val="TableParagraph"/>
              <w:spacing w:line="236" w:lineRule="exact" w:before="0"/>
              <w:ind w:right="887"/>
              <w:rPr>
                <w:sz w:val="21"/>
              </w:rPr>
            </w:pPr>
            <w:r>
              <w:rPr>
                <w:sz w:val="21"/>
              </w:rPr>
              <w:t>A&amp;T Advisory Limited</w:t>
            </w:r>
          </w:p>
        </w:tc>
        <w:tc>
          <w:tcPr>
            <w:tcW w:w="2963" w:type="dxa"/>
          </w:tcPr>
          <w:p>
            <w:pPr>
              <w:pStyle w:val="TableParagraph"/>
              <w:spacing w:line="236" w:lineRule="exact" w:before="0"/>
              <w:ind w:left="889" w:right="899"/>
              <w:rPr>
                <w:sz w:val="21"/>
              </w:rPr>
            </w:pPr>
            <w:r>
              <w:rPr>
                <w:sz w:val="21"/>
              </w:rPr>
              <w:t>EBF</w:t>
            </w:r>
          </w:p>
        </w:tc>
        <w:tc>
          <w:tcPr>
            <w:tcW w:w="3084" w:type="dxa"/>
          </w:tcPr>
          <w:p>
            <w:pPr>
              <w:pStyle w:val="TableParagraph"/>
              <w:spacing w:line="236" w:lineRule="exact" w:before="0"/>
              <w:ind w:left="896"/>
              <w:rPr>
                <w:sz w:val="21"/>
              </w:rPr>
            </w:pPr>
            <w:r>
              <w:rPr>
                <w:sz w:val="21"/>
              </w:rPr>
              <w:t>RBS</w:t>
            </w:r>
          </w:p>
        </w:tc>
      </w:tr>
      <w:tr>
        <w:trPr>
          <w:trHeight w:val="396" w:hRule="atLeast"/>
        </w:trPr>
        <w:tc>
          <w:tcPr>
            <w:tcW w:w="3116" w:type="dxa"/>
          </w:tcPr>
          <w:p>
            <w:pPr>
              <w:pStyle w:val="TableParagraph"/>
              <w:ind w:left="179" w:right="887"/>
              <w:rPr>
                <w:sz w:val="21"/>
              </w:rPr>
            </w:pPr>
            <w:r>
              <w:rPr>
                <w:sz w:val="21"/>
              </w:rPr>
              <w:t>Barclays</w:t>
            </w:r>
          </w:p>
        </w:tc>
        <w:tc>
          <w:tcPr>
            <w:tcW w:w="2963" w:type="dxa"/>
          </w:tcPr>
          <w:p>
            <w:pPr>
              <w:pStyle w:val="TableParagraph"/>
              <w:ind w:left="889" w:right="899"/>
              <w:rPr>
                <w:sz w:val="21"/>
              </w:rPr>
            </w:pPr>
            <w:r>
              <w:rPr>
                <w:sz w:val="21"/>
              </w:rPr>
              <w:t>HMRC</w:t>
            </w:r>
          </w:p>
        </w:tc>
        <w:tc>
          <w:tcPr>
            <w:tcW w:w="3084" w:type="dxa"/>
          </w:tcPr>
          <w:p>
            <w:pPr>
              <w:pStyle w:val="TableParagraph"/>
              <w:ind w:left="897"/>
              <w:rPr>
                <w:sz w:val="21"/>
              </w:rPr>
            </w:pPr>
            <w:r>
              <w:rPr>
                <w:sz w:val="21"/>
              </w:rPr>
              <w:t>Santander</w:t>
            </w:r>
          </w:p>
        </w:tc>
      </w:tr>
      <w:tr>
        <w:trPr>
          <w:trHeight w:val="395" w:hRule="atLeast"/>
        </w:trPr>
        <w:tc>
          <w:tcPr>
            <w:tcW w:w="3116" w:type="dxa"/>
          </w:tcPr>
          <w:p>
            <w:pPr>
              <w:pStyle w:val="TableParagraph"/>
              <w:ind w:right="884"/>
              <w:rPr>
                <w:sz w:val="21"/>
              </w:rPr>
            </w:pPr>
            <w:r>
              <w:rPr>
                <w:sz w:val="21"/>
              </w:rPr>
              <w:t>BNP Paribas</w:t>
            </w:r>
          </w:p>
        </w:tc>
        <w:tc>
          <w:tcPr>
            <w:tcW w:w="2963" w:type="dxa"/>
          </w:tcPr>
          <w:p>
            <w:pPr>
              <w:pStyle w:val="TableParagraph"/>
              <w:ind w:left="890" w:right="898"/>
              <w:rPr>
                <w:sz w:val="21"/>
              </w:rPr>
            </w:pPr>
            <w:r>
              <w:rPr>
                <w:sz w:val="21"/>
              </w:rPr>
              <w:t>HSBC</w:t>
            </w:r>
          </w:p>
        </w:tc>
        <w:tc>
          <w:tcPr>
            <w:tcW w:w="3084" w:type="dxa"/>
          </w:tcPr>
          <w:p>
            <w:pPr>
              <w:pStyle w:val="TableParagraph"/>
              <w:ind w:left="900"/>
              <w:rPr>
                <w:sz w:val="21"/>
              </w:rPr>
            </w:pPr>
            <w:r>
              <w:rPr>
                <w:sz w:val="21"/>
              </w:rPr>
              <w:t>Software- Integrators</w:t>
            </w:r>
          </w:p>
        </w:tc>
      </w:tr>
      <w:tr>
        <w:trPr>
          <w:trHeight w:val="395" w:hRule="atLeast"/>
        </w:trPr>
        <w:tc>
          <w:tcPr>
            <w:tcW w:w="3116" w:type="dxa"/>
          </w:tcPr>
          <w:p>
            <w:pPr>
              <w:pStyle w:val="TableParagraph"/>
              <w:ind w:right="887"/>
              <w:rPr>
                <w:sz w:val="21"/>
              </w:rPr>
            </w:pPr>
            <w:r>
              <w:rPr>
                <w:sz w:val="21"/>
              </w:rPr>
              <w:t>BNY Mellon</w:t>
            </w:r>
          </w:p>
        </w:tc>
        <w:tc>
          <w:tcPr>
            <w:tcW w:w="2963" w:type="dxa"/>
          </w:tcPr>
          <w:p>
            <w:pPr>
              <w:pStyle w:val="TableParagraph"/>
              <w:ind w:left="890" w:right="897"/>
              <w:rPr>
                <w:sz w:val="21"/>
              </w:rPr>
            </w:pPr>
            <w:r>
              <w:rPr>
                <w:sz w:val="21"/>
              </w:rPr>
              <w:t>JP Morgan</w:t>
            </w:r>
          </w:p>
        </w:tc>
        <w:tc>
          <w:tcPr>
            <w:tcW w:w="3084" w:type="dxa"/>
          </w:tcPr>
          <w:p>
            <w:pPr>
              <w:pStyle w:val="TableParagraph"/>
              <w:ind w:left="900"/>
              <w:rPr>
                <w:sz w:val="21"/>
              </w:rPr>
            </w:pPr>
            <w:r>
              <w:rPr>
                <w:sz w:val="21"/>
              </w:rPr>
              <w:t>Transpact</w:t>
            </w:r>
          </w:p>
        </w:tc>
      </w:tr>
      <w:tr>
        <w:trPr>
          <w:trHeight w:val="395" w:hRule="atLeast"/>
        </w:trPr>
        <w:tc>
          <w:tcPr>
            <w:tcW w:w="3116" w:type="dxa"/>
          </w:tcPr>
          <w:p>
            <w:pPr>
              <w:pStyle w:val="TableParagraph"/>
              <w:ind w:right="884"/>
              <w:rPr>
                <w:sz w:val="21"/>
              </w:rPr>
            </w:pPr>
            <w:r>
              <w:rPr>
                <w:sz w:val="21"/>
              </w:rPr>
              <w:t>CHAPS</w:t>
            </w:r>
          </w:p>
        </w:tc>
        <w:tc>
          <w:tcPr>
            <w:tcW w:w="2963" w:type="dxa"/>
          </w:tcPr>
          <w:p>
            <w:pPr>
              <w:pStyle w:val="TableParagraph"/>
              <w:ind w:left="890" w:right="899"/>
              <w:rPr>
                <w:sz w:val="21"/>
              </w:rPr>
            </w:pPr>
            <w:r>
              <w:rPr>
                <w:sz w:val="21"/>
              </w:rPr>
              <w:t>Law Society</w:t>
            </w:r>
          </w:p>
        </w:tc>
        <w:tc>
          <w:tcPr>
            <w:tcW w:w="3084" w:type="dxa"/>
          </w:tcPr>
          <w:p>
            <w:pPr>
              <w:pStyle w:val="TableParagraph"/>
              <w:ind w:left="899"/>
              <w:rPr>
                <w:sz w:val="21"/>
              </w:rPr>
            </w:pPr>
            <w:r>
              <w:rPr>
                <w:sz w:val="21"/>
              </w:rPr>
              <w:t>UK Finance</w:t>
            </w:r>
          </w:p>
        </w:tc>
      </w:tr>
      <w:tr>
        <w:trPr>
          <w:trHeight w:val="396" w:hRule="atLeast"/>
        </w:trPr>
        <w:tc>
          <w:tcPr>
            <w:tcW w:w="3116" w:type="dxa"/>
          </w:tcPr>
          <w:p>
            <w:pPr>
              <w:pStyle w:val="TableParagraph"/>
              <w:ind w:right="887"/>
              <w:rPr>
                <w:sz w:val="21"/>
              </w:rPr>
            </w:pPr>
            <w:r>
              <w:rPr>
                <w:sz w:val="21"/>
              </w:rPr>
              <w:t>CLS</w:t>
            </w:r>
          </w:p>
        </w:tc>
        <w:tc>
          <w:tcPr>
            <w:tcW w:w="2963" w:type="dxa"/>
          </w:tcPr>
          <w:p>
            <w:pPr>
              <w:pStyle w:val="TableParagraph"/>
              <w:ind w:left="890" w:right="897"/>
              <w:rPr>
                <w:sz w:val="21"/>
              </w:rPr>
            </w:pPr>
            <w:r>
              <w:rPr>
                <w:sz w:val="21"/>
              </w:rPr>
              <w:t>Lloyds</w:t>
            </w:r>
          </w:p>
        </w:tc>
        <w:tc>
          <w:tcPr>
            <w:tcW w:w="3084" w:type="dxa"/>
          </w:tcPr>
          <w:p>
            <w:pPr>
              <w:pStyle w:val="TableParagraph"/>
              <w:ind w:left="896"/>
              <w:rPr>
                <w:sz w:val="21"/>
              </w:rPr>
            </w:pPr>
            <w:r>
              <w:rPr>
                <w:sz w:val="21"/>
              </w:rPr>
              <w:t>Vocalink</w:t>
            </w:r>
          </w:p>
        </w:tc>
      </w:tr>
      <w:tr>
        <w:trPr>
          <w:trHeight w:val="396" w:hRule="atLeast"/>
        </w:trPr>
        <w:tc>
          <w:tcPr>
            <w:tcW w:w="3116" w:type="dxa"/>
          </w:tcPr>
          <w:p>
            <w:pPr>
              <w:pStyle w:val="TableParagraph"/>
              <w:ind w:right="884"/>
              <w:rPr>
                <w:sz w:val="21"/>
              </w:rPr>
            </w:pPr>
            <w:r>
              <w:rPr>
                <w:sz w:val="21"/>
              </w:rPr>
              <w:t>CREST</w:t>
            </w:r>
          </w:p>
        </w:tc>
        <w:tc>
          <w:tcPr>
            <w:tcW w:w="2963" w:type="dxa"/>
          </w:tcPr>
          <w:p>
            <w:pPr>
              <w:pStyle w:val="TableParagraph"/>
              <w:ind w:left="890" w:right="898"/>
              <w:rPr>
                <w:sz w:val="21"/>
              </w:rPr>
            </w:pPr>
            <w:r>
              <w:rPr>
                <w:sz w:val="21"/>
              </w:rPr>
              <w:t>NPSO</w:t>
            </w:r>
          </w:p>
        </w:tc>
        <w:tc>
          <w:tcPr>
            <w:tcW w:w="3084" w:type="dxa"/>
          </w:tcPr>
          <w:p>
            <w:pPr>
              <w:pStyle w:val="TableParagraph"/>
              <w:ind w:left="900" w:right="181"/>
              <w:rPr>
                <w:sz w:val="21"/>
              </w:rPr>
            </w:pPr>
            <w:r>
              <w:rPr>
                <w:sz w:val="21"/>
              </w:rPr>
              <w:t>WorldPay</w:t>
            </w:r>
          </w:p>
        </w:tc>
      </w:tr>
      <w:tr>
        <w:trPr>
          <w:trHeight w:val="315" w:hRule="atLeast"/>
        </w:trPr>
        <w:tc>
          <w:tcPr>
            <w:tcW w:w="3116" w:type="dxa"/>
          </w:tcPr>
          <w:p>
            <w:pPr>
              <w:pStyle w:val="TableParagraph"/>
              <w:spacing w:line="222" w:lineRule="exact"/>
              <w:ind w:right="883"/>
              <w:rPr>
                <w:sz w:val="21"/>
              </w:rPr>
            </w:pPr>
            <w:r>
              <w:rPr>
                <w:sz w:val="21"/>
              </w:rPr>
              <w:t>Ebury</w:t>
            </w:r>
          </w:p>
        </w:tc>
        <w:tc>
          <w:tcPr>
            <w:tcW w:w="2963" w:type="dxa"/>
          </w:tcPr>
          <w:p>
            <w:pPr>
              <w:pStyle w:val="TableParagraph"/>
              <w:spacing w:before="0"/>
              <w:ind w:left="0" w:right="0"/>
              <w:jc w:val="left"/>
              <w:rPr>
                <w:rFonts w:ascii="Times New Roman"/>
                <w:sz w:val="20"/>
              </w:rPr>
            </w:pPr>
          </w:p>
        </w:tc>
        <w:tc>
          <w:tcPr>
            <w:tcW w:w="3084" w:type="dxa"/>
          </w:tcPr>
          <w:p>
            <w:pPr>
              <w:pStyle w:val="TableParagraph"/>
              <w:spacing w:before="0"/>
              <w:ind w:left="0" w:right="0"/>
              <w:jc w:val="left"/>
              <w:rPr>
                <w:rFonts w:ascii="Times New Roman"/>
                <w:sz w:val="20"/>
              </w:rPr>
            </w:pPr>
          </w:p>
        </w:tc>
      </w:tr>
    </w:tbl>
    <w:p>
      <w:pPr>
        <w:pStyle w:val="BodyText"/>
        <w:rPr>
          <w:sz w:val="24"/>
        </w:rPr>
      </w:pPr>
    </w:p>
    <w:p>
      <w:pPr>
        <w:pStyle w:val="BodyText"/>
        <w:spacing w:before="9"/>
        <w:rPr>
          <w:sz w:val="27"/>
        </w:rPr>
      </w:pPr>
    </w:p>
    <w:p>
      <w:pPr>
        <w:pStyle w:val="Heading1"/>
      </w:pPr>
      <w:r>
        <w:rPr>
          <w:color w:val="752863"/>
        </w:rPr>
        <w:t>Overview</w:t>
      </w:r>
    </w:p>
    <w:p>
      <w:pPr>
        <w:pStyle w:val="BodyText"/>
        <w:spacing w:line="276" w:lineRule="auto" w:before="155"/>
        <w:ind w:left="100" w:right="957"/>
      </w:pPr>
      <w:r>
        <w:rPr/>
        <w:t>The Bank of England (‘the Bank’) has established a programme to renew its Real Time Gross Settlement (RTGS) service. In February 2018, as part of this programme, the Bank invited members of the payments community to participate in a workshop on Synchronisation.</w:t>
      </w:r>
    </w:p>
    <w:p>
      <w:pPr>
        <w:pStyle w:val="BodyText"/>
        <w:spacing w:line="276" w:lineRule="auto" w:before="119"/>
        <w:ind w:left="100" w:right="898"/>
      </w:pPr>
      <w:r>
        <w:rPr/>
        <w:t>The purpose of the workshop was to discuss use cases and risks as well as potential benefits. The outputs of the session will be used to inform design of the new RTGS service.</w:t>
      </w:r>
    </w:p>
    <w:p>
      <w:pPr>
        <w:pStyle w:val="BodyText"/>
        <w:rPr>
          <w:sz w:val="24"/>
        </w:rPr>
      </w:pPr>
    </w:p>
    <w:p>
      <w:pPr>
        <w:pStyle w:val="BodyText"/>
      </w:pPr>
    </w:p>
    <w:p>
      <w:pPr>
        <w:pStyle w:val="Heading1"/>
        <w:spacing w:before="1"/>
      </w:pPr>
      <w:r>
        <w:rPr>
          <w:color w:val="752863"/>
        </w:rPr>
        <w:t>General discussion</w:t>
      </w:r>
    </w:p>
    <w:p>
      <w:pPr>
        <w:pStyle w:val="ListParagraph"/>
        <w:numPr>
          <w:ilvl w:val="0"/>
          <w:numId w:val="1"/>
        </w:numPr>
        <w:tabs>
          <w:tab w:pos="820" w:val="left" w:leader="none"/>
          <w:tab w:pos="821" w:val="left" w:leader="none"/>
        </w:tabs>
        <w:spacing w:line="271" w:lineRule="auto" w:before="159" w:after="0"/>
        <w:ind w:left="820" w:right="752" w:hanging="360"/>
        <w:jc w:val="left"/>
        <w:rPr>
          <w:sz w:val="21"/>
        </w:rPr>
      </w:pPr>
      <w:r>
        <w:rPr>
          <w:position w:val="1"/>
          <w:sz w:val="21"/>
        </w:rPr>
        <w:t>The Bank introduced the concept of synchronisation. It was noted that the RTGS</w:t>
      </w:r>
      <w:r>
        <w:rPr>
          <w:sz w:val="21"/>
        </w:rPr>
        <w:t> Blueprint proposed offering the ability to synchronise cash movements in RTGS with the movement of cash and assets held in other systems. Synchronisation in this context is the concept of a payment (or group of payments) settling if and only if another payment (or set) also</w:t>
      </w:r>
      <w:r>
        <w:rPr>
          <w:spacing w:val="-5"/>
          <w:sz w:val="21"/>
        </w:rPr>
        <w:t> </w:t>
      </w:r>
      <w:r>
        <w:rPr>
          <w:sz w:val="21"/>
        </w:rPr>
        <w:t>settles.</w:t>
      </w:r>
    </w:p>
    <w:p>
      <w:pPr>
        <w:pStyle w:val="ListParagraph"/>
        <w:numPr>
          <w:ilvl w:val="0"/>
          <w:numId w:val="1"/>
        </w:numPr>
        <w:tabs>
          <w:tab w:pos="820" w:val="left" w:leader="none"/>
          <w:tab w:pos="821" w:val="left" w:leader="none"/>
        </w:tabs>
        <w:spacing w:line="240" w:lineRule="auto" w:before="132" w:after="0"/>
        <w:ind w:left="820" w:right="0" w:hanging="361"/>
        <w:jc w:val="left"/>
        <w:rPr>
          <w:sz w:val="21"/>
        </w:rPr>
      </w:pPr>
      <w:r>
        <w:rPr>
          <w:position w:val="1"/>
          <w:sz w:val="21"/>
        </w:rPr>
        <w:t>The Bank described three potential layers of</w:t>
      </w:r>
      <w:r>
        <w:rPr>
          <w:spacing w:val="-11"/>
          <w:position w:val="1"/>
          <w:sz w:val="21"/>
        </w:rPr>
        <w:t> </w:t>
      </w:r>
      <w:r>
        <w:rPr>
          <w:position w:val="1"/>
          <w:sz w:val="21"/>
        </w:rPr>
        <w:t>synchronisation:</w:t>
      </w:r>
    </w:p>
    <w:p>
      <w:pPr>
        <w:pStyle w:val="ListParagraph"/>
        <w:numPr>
          <w:ilvl w:val="1"/>
          <w:numId w:val="1"/>
        </w:numPr>
        <w:tabs>
          <w:tab w:pos="1540" w:val="left" w:leader="none"/>
          <w:tab w:pos="1541" w:val="left" w:leader="none"/>
        </w:tabs>
        <w:spacing w:line="240" w:lineRule="auto" w:before="141" w:after="0"/>
        <w:ind w:left="1540" w:right="0" w:hanging="361"/>
        <w:jc w:val="left"/>
        <w:rPr>
          <w:sz w:val="21"/>
        </w:rPr>
      </w:pPr>
      <w:r>
        <w:rPr>
          <w:sz w:val="21"/>
        </w:rPr>
        <w:t>Synchronising payments within a domestic high value payment system</w:t>
      </w:r>
      <w:r>
        <w:rPr>
          <w:spacing w:val="-15"/>
          <w:sz w:val="21"/>
        </w:rPr>
        <w:t> </w:t>
      </w:r>
      <w:r>
        <w:rPr>
          <w:sz w:val="21"/>
        </w:rPr>
        <w:t>(HVPS);</w:t>
      </w:r>
    </w:p>
    <w:p>
      <w:pPr>
        <w:pStyle w:val="ListParagraph"/>
        <w:numPr>
          <w:ilvl w:val="1"/>
          <w:numId w:val="1"/>
        </w:numPr>
        <w:tabs>
          <w:tab w:pos="1540" w:val="left" w:leader="none"/>
          <w:tab w:pos="1541" w:val="left" w:leader="none"/>
        </w:tabs>
        <w:spacing w:line="266" w:lineRule="auto" w:before="149" w:after="0"/>
        <w:ind w:left="1540" w:right="963" w:hanging="360"/>
        <w:jc w:val="left"/>
        <w:rPr>
          <w:sz w:val="21"/>
        </w:rPr>
      </w:pPr>
      <w:r>
        <w:rPr>
          <w:sz w:val="21"/>
        </w:rPr>
        <w:t>Synchronising payments in a domestic HVPS with payments or movements of assets on other ledgers in the same jurisdiction;</w:t>
      </w:r>
      <w:r>
        <w:rPr>
          <w:spacing w:val="-17"/>
          <w:sz w:val="21"/>
        </w:rPr>
        <w:t> </w:t>
      </w:r>
      <w:r>
        <w:rPr>
          <w:sz w:val="21"/>
        </w:rPr>
        <w:t>and</w:t>
      </w:r>
    </w:p>
    <w:p>
      <w:pPr>
        <w:pStyle w:val="ListParagraph"/>
        <w:numPr>
          <w:ilvl w:val="1"/>
          <w:numId w:val="1"/>
        </w:numPr>
        <w:tabs>
          <w:tab w:pos="1540" w:val="left" w:leader="none"/>
          <w:tab w:pos="1541" w:val="left" w:leader="none"/>
        </w:tabs>
        <w:spacing w:line="240" w:lineRule="auto" w:before="129" w:after="0"/>
        <w:ind w:left="1540" w:right="0" w:hanging="361"/>
        <w:jc w:val="left"/>
        <w:rPr>
          <w:sz w:val="21"/>
        </w:rPr>
      </w:pPr>
      <w:r>
        <w:rPr>
          <w:sz w:val="21"/>
        </w:rPr>
        <w:t>Synchronising payments across two HVPS in different</w:t>
      </w:r>
      <w:r>
        <w:rPr>
          <w:spacing w:val="-11"/>
          <w:sz w:val="21"/>
        </w:rPr>
        <w:t> </w:t>
      </w:r>
      <w:r>
        <w:rPr>
          <w:sz w:val="21"/>
        </w:rPr>
        <w:t>countries.</w:t>
      </w:r>
    </w:p>
    <w:p>
      <w:pPr>
        <w:pStyle w:val="ListParagraph"/>
        <w:numPr>
          <w:ilvl w:val="0"/>
          <w:numId w:val="1"/>
        </w:numPr>
        <w:tabs>
          <w:tab w:pos="820" w:val="left" w:leader="none"/>
          <w:tab w:pos="821" w:val="left" w:leader="none"/>
        </w:tabs>
        <w:spacing w:line="271" w:lineRule="auto" w:before="152" w:after="0"/>
        <w:ind w:left="820" w:right="760" w:hanging="360"/>
        <w:jc w:val="left"/>
        <w:rPr>
          <w:sz w:val="21"/>
        </w:rPr>
      </w:pPr>
      <w:r>
        <w:rPr>
          <w:position w:val="1"/>
          <w:sz w:val="21"/>
        </w:rPr>
        <w:t>The Bank explained how synchronisation functionality might be introduced in RTGS. A</w:t>
      </w:r>
      <w:r>
        <w:rPr>
          <w:sz w:val="21"/>
        </w:rPr>
        <w:t> synchronisation module (which could be part of the system, or operated by a third party) would co-ordinate requests for payments to be synchronised, earmark funds, and then instruct synchronised settlement of linked</w:t>
      </w:r>
      <w:r>
        <w:rPr>
          <w:spacing w:val="-7"/>
          <w:sz w:val="21"/>
        </w:rPr>
        <w:t> </w:t>
      </w:r>
      <w:r>
        <w:rPr>
          <w:sz w:val="21"/>
        </w:rPr>
        <w:t>transactions.</w:t>
      </w:r>
    </w:p>
    <w:p>
      <w:pPr>
        <w:pStyle w:val="ListParagraph"/>
        <w:numPr>
          <w:ilvl w:val="0"/>
          <w:numId w:val="1"/>
        </w:numPr>
        <w:tabs>
          <w:tab w:pos="820" w:val="left" w:leader="none"/>
          <w:tab w:pos="821" w:val="left" w:leader="none"/>
        </w:tabs>
        <w:spacing w:line="268" w:lineRule="auto" w:before="127" w:after="0"/>
        <w:ind w:left="820" w:right="952" w:hanging="360"/>
        <w:jc w:val="left"/>
        <w:rPr>
          <w:sz w:val="21"/>
        </w:rPr>
      </w:pPr>
      <w:r>
        <w:rPr>
          <w:position w:val="1"/>
          <w:sz w:val="21"/>
        </w:rPr>
        <w:t>Participants discussed the use cases for synchronisation. Several areas were</w:t>
      </w:r>
      <w:r>
        <w:rPr>
          <w:sz w:val="21"/>
        </w:rPr>
        <w:t> highlighted, including corporate actions, trade finance, synchronising with existing and developing asset ledgers and insurance payments. Participants noted that</w:t>
      </w:r>
      <w:r>
        <w:rPr>
          <w:spacing w:val="-20"/>
          <w:sz w:val="21"/>
        </w:rPr>
        <w:t> </w:t>
      </w:r>
      <w:r>
        <w:rPr>
          <w:sz w:val="21"/>
        </w:rPr>
        <w:t>solutions</w:t>
      </w:r>
    </w:p>
    <w:p>
      <w:pPr>
        <w:spacing w:after="0" w:line="268" w:lineRule="auto"/>
        <w:jc w:val="left"/>
        <w:rPr>
          <w:sz w:val="21"/>
        </w:rPr>
        <w:sectPr>
          <w:headerReference w:type="default" r:id="rId5"/>
          <w:footerReference w:type="default" r:id="rId6"/>
          <w:type w:val="continuous"/>
          <w:pgSz w:w="11910" w:h="16840"/>
          <w:pgMar w:header="199" w:footer="962" w:top="1340" w:bottom="1160" w:left="1340" w:right="820"/>
          <w:pgNumType w:start="1"/>
        </w:sectPr>
      </w:pPr>
    </w:p>
    <w:p>
      <w:pPr>
        <w:pStyle w:val="BodyText"/>
        <w:spacing w:line="276" w:lineRule="auto" w:before="84"/>
        <w:ind w:left="820" w:right="1264"/>
      </w:pPr>
      <w:r>
        <w:rPr/>
        <w:t>were already in place for settling these payments, but these relied on settlement in commercial bank money.</w:t>
      </w:r>
    </w:p>
    <w:p>
      <w:pPr>
        <w:pStyle w:val="ListParagraph"/>
        <w:numPr>
          <w:ilvl w:val="0"/>
          <w:numId w:val="1"/>
        </w:numPr>
        <w:tabs>
          <w:tab w:pos="820" w:val="left" w:leader="none"/>
          <w:tab w:pos="821" w:val="left" w:leader="none"/>
        </w:tabs>
        <w:spacing w:line="261" w:lineRule="auto" w:before="122" w:after="0"/>
        <w:ind w:left="820" w:right="657" w:hanging="360"/>
        <w:jc w:val="left"/>
        <w:rPr>
          <w:sz w:val="21"/>
        </w:rPr>
      </w:pPr>
      <w:r>
        <w:rPr>
          <w:position w:val="1"/>
          <w:sz w:val="21"/>
        </w:rPr>
        <w:t>Several benefits were identified. These included reduced operational burden, elimination</w:t>
      </w:r>
      <w:r>
        <w:rPr>
          <w:sz w:val="21"/>
        </w:rPr>
        <w:t> of settlement risk, and the potential to increase competition, particularly for new</w:t>
      </w:r>
      <w:r>
        <w:rPr>
          <w:spacing w:val="-26"/>
          <w:sz w:val="21"/>
        </w:rPr>
        <w:t> </w:t>
      </w:r>
      <w:r>
        <w:rPr>
          <w:sz w:val="21"/>
        </w:rPr>
        <w:t>entrants.</w:t>
      </w:r>
    </w:p>
    <w:p>
      <w:pPr>
        <w:pStyle w:val="ListParagraph"/>
        <w:numPr>
          <w:ilvl w:val="0"/>
          <w:numId w:val="1"/>
        </w:numPr>
        <w:tabs>
          <w:tab w:pos="820" w:val="left" w:leader="none"/>
          <w:tab w:pos="821" w:val="left" w:leader="none"/>
        </w:tabs>
        <w:spacing w:line="271" w:lineRule="auto" w:before="138" w:after="0"/>
        <w:ind w:left="820" w:right="843" w:hanging="360"/>
        <w:jc w:val="left"/>
        <w:rPr>
          <w:sz w:val="21"/>
        </w:rPr>
      </w:pPr>
      <w:r>
        <w:rPr>
          <w:position w:val="1"/>
          <w:sz w:val="21"/>
        </w:rPr>
        <w:t>Participants also highlighted risks. The importance of a clearly defined exceptions</w:t>
      </w:r>
      <w:r>
        <w:rPr>
          <w:sz w:val="21"/>
        </w:rPr>
        <w:t> process was flagged. And participants noted the need to ensure industry knowledge of current process is retained, in case of system outage. It was also noted that any new process would require significant systems</w:t>
      </w:r>
      <w:r>
        <w:rPr>
          <w:spacing w:val="-7"/>
          <w:sz w:val="21"/>
        </w:rPr>
        <w:t> </w:t>
      </w:r>
      <w:r>
        <w:rPr>
          <w:sz w:val="21"/>
        </w:rPr>
        <w:t>changes.</w:t>
      </w:r>
    </w:p>
    <w:p>
      <w:pPr>
        <w:pStyle w:val="ListParagraph"/>
        <w:numPr>
          <w:ilvl w:val="0"/>
          <w:numId w:val="1"/>
        </w:numPr>
        <w:tabs>
          <w:tab w:pos="820" w:val="left" w:leader="none"/>
          <w:tab w:pos="821" w:val="left" w:leader="none"/>
        </w:tabs>
        <w:spacing w:line="271" w:lineRule="auto" w:before="124" w:after="0"/>
        <w:ind w:left="820" w:right="847" w:hanging="360"/>
        <w:jc w:val="left"/>
        <w:rPr>
          <w:sz w:val="21"/>
        </w:rPr>
      </w:pPr>
      <w:r>
        <w:rPr>
          <w:position w:val="1"/>
          <w:sz w:val="21"/>
        </w:rPr>
        <w:t>Participants’ discussed regulatory and legal questions that would need clarifying before</w:t>
      </w:r>
      <w:r>
        <w:rPr>
          <w:sz w:val="21"/>
        </w:rPr>
        <w:t> synchronisation could be introduced. For example, the application of earmarks could have implications for liquidity measures. And settlement finality would need </w:t>
      </w:r>
      <w:r>
        <w:rPr>
          <w:spacing w:val="-3"/>
          <w:sz w:val="21"/>
        </w:rPr>
        <w:t>to </w:t>
      </w:r>
      <w:r>
        <w:rPr>
          <w:sz w:val="21"/>
        </w:rPr>
        <w:t>be ensured, particularly in cross-ledger</w:t>
      </w:r>
      <w:r>
        <w:rPr>
          <w:spacing w:val="-10"/>
          <w:sz w:val="21"/>
        </w:rPr>
        <w:t> </w:t>
      </w:r>
      <w:r>
        <w:rPr>
          <w:sz w:val="21"/>
        </w:rPr>
        <w:t>synchronisation.</w:t>
      </w:r>
    </w:p>
    <w:p>
      <w:pPr>
        <w:pStyle w:val="ListParagraph"/>
        <w:numPr>
          <w:ilvl w:val="0"/>
          <w:numId w:val="1"/>
        </w:numPr>
        <w:tabs>
          <w:tab w:pos="820" w:val="left" w:leader="none"/>
          <w:tab w:pos="821" w:val="left" w:leader="none"/>
        </w:tabs>
        <w:spacing w:line="271" w:lineRule="auto" w:before="127" w:after="0"/>
        <w:ind w:left="820" w:right="738" w:hanging="360"/>
        <w:jc w:val="left"/>
        <w:rPr>
          <w:sz w:val="21"/>
        </w:rPr>
      </w:pPr>
      <w:r>
        <w:rPr>
          <w:position w:val="1"/>
          <w:sz w:val="21"/>
        </w:rPr>
        <w:t>The Bank will continue to investigate the case for introducing synchronisation</w:t>
      </w:r>
      <w:r>
        <w:rPr>
          <w:sz w:val="21"/>
        </w:rPr>
        <w:t> functionality. The Bank will follow up with workshop attendees for further detail on some of the use cases raised. Similar discussions may be organised in the future once thinking on this topic has</w:t>
      </w:r>
      <w:r>
        <w:rPr>
          <w:spacing w:val="-6"/>
          <w:sz w:val="21"/>
        </w:rPr>
        <w:t> </w:t>
      </w:r>
      <w:r>
        <w:rPr>
          <w:sz w:val="21"/>
        </w:rPr>
        <w:t>progressed.</w:t>
      </w:r>
    </w:p>
    <w:sectPr>
      <w:pgSz w:w="11910" w:h="16840"/>
      <w:pgMar w:header="199" w:footer="962" w:top="1340" w:bottom="1160" w:left="13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4.919983pt;margin-top:782.799438pt;width:11.55pt;height:13.15pt;mso-position-horizontal-relative:page;mso-position-vertical-relative:page;z-index:-15800832" type="#_x0000_t202" filled="false" stroked="false">
          <v:textbox inset="0,0,0,0">
            <w:txbxContent>
              <w:p>
                <w:pPr>
                  <w:spacing w:before="12"/>
                  <w:ind w:left="60" w:right="0" w:firstLine="0"/>
                  <w:jc w:val="left"/>
                  <w:rPr>
                    <w:sz w:val="20"/>
                  </w:rPr>
                </w:pPr>
                <w:r>
                  <w:rPr/>
                  <w:fldChar w:fldCharType="begin"/>
                </w:r>
                <w:r>
                  <w:rPr>
                    <w:w w:val="99"/>
                    <w:sz w:val="20"/>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5136">
          <wp:simplePos x="0" y="0"/>
          <wp:positionH relativeFrom="page">
            <wp:posOffset>4095628</wp:posOffset>
          </wp:positionH>
          <wp:positionV relativeFrom="page">
            <wp:posOffset>126364</wp:posOffset>
          </wp:positionV>
          <wp:extent cx="3328791" cy="65849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3328791" cy="65849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w w:val="100"/>
        <w:sz w:val="21"/>
        <w:szCs w:val="21"/>
        <w:lang w:val="en-US" w:eastAsia="en-US" w:bidi="ar-SA"/>
      </w:rPr>
    </w:lvl>
    <w:lvl w:ilvl="1">
      <w:start w:val="0"/>
      <w:numFmt w:val="bullet"/>
      <w:lvlText w:val="o"/>
      <w:lvlJc w:val="left"/>
      <w:pPr>
        <w:ind w:left="1540" w:hanging="360"/>
      </w:pPr>
      <w:rPr>
        <w:rFonts w:hint="default" w:ascii="Courier New" w:hAnsi="Courier New" w:eastAsia="Courier New" w:cs="Courier New"/>
        <w:w w:val="100"/>
        <w:position w:val="1"/>
        <w:sz w:val="21"/>
        <w:szCs w:val="21"/>
        <w:lang w:val="en-US" w:eastAsia="en-US" w:bidi="ar-SA"/>
      </w:rPr>
    </w:lvl>
    <w:lvl w:ilvl="2">
      <w:start w:val="0"/>
      <w:numFmt w:val="bullet"/>
      <w:lvlText w:val="•"/>
      <w:lvlJc w:val="left"/>
      <w:pPr>
        <w:ind w:left="2451" w:hanging="360"/>
      </w:pPr>
      <w:rPr>
        <w:rFonts w:hint="default"/>
        <w:lang w:val="en-US" w:eastAsia="en-US" w:bidi="ar-SA"/>
      </w:rPr>
    </w:lvl>
    <w:lvl w:ilvl="3">
      <w:start w:val="0"/>
      <w:numFmt w:val="bullet"/>
      <w:lvlText w:val="•"/>
      <w:lvlJc w:val="left"/>
      <w:pPr>
        <w:ind w:left="3363" w:hanging="360"/>
      </w:pPr>
      <w:rPr>
        <w:rFonts w:hint="default"/>
        <w:lang w:val="en-US" w:eastAsia="en-US" w:bidi="ar-SA"/>
      </w:rPr>
    </w:lvl>
    <w:lvl w:ilvl="4">
      <w:start w:val="0"/>
      <w:numFmt w:val="bullet"/>
      <w:lvlText w:val="•"/>
      <w:lvlJc w:val="left"/>
      <w:pPr>
        <w:ind w:left="4275" w:hanging="360"/>
      </w:pPr>
      <w:rPr>
        <w:rFonts w:hint="default"/>
        <w:lang w:val="en-US" w:eastAsia="en-US" w:bidi="ar-SA"/>
      </w:rPr>
    </w:lvl>
    <w:lvl w:ilvl="5">
      <w:start w:val="0"/>
      <w:numFmt w:val="bullet"/>
      <w:lvlText w:val="•"/>
      <w:lvlJc w:val="left"/>
      <w:pPr>
        <w:ind w:left="5187" w:hanging="360"/>
      </w:pPr>
      <w:rPr>
        <w:rFonts w:hint="default"/>
        <w:lang w:val="en-US" w:eastAsia="en-US" w:bidi="ar-SA"/>
      </w:rPr>
    </w:lvl>
    <w:lvl w:ilvl="6">
      <w:start w:val="0"/>
      <w:numFmt w:val="bullet"/>
      <w:lvlText w:val="•"/>
      <w:lvlJc w:val="left"/>
      <w:pPr>
        <w:ind w:left="6099" w:hanging="360"/>
      </w:pPr>
      <w:rPr>
        <w:rFonts w:hint="default"/>
        <w:lang w:val="en-US" w:eastAsia="en-US" w:bidi="ar-SA"/>
      </w:rPr>
    </w:lvl>
    <w:lvl w:ilvl="7">
      <w:start w:val="0"/>
      <w:numFmt w:val="bullet"/>
      <w:lvlText w:val="•"/>
      <w:lvlJc w:val="left"/>
      <w:pPr>
        <w:ind w:left="7010" w:hanging="360"/>
      </w:pPr>
      <w:rPr>
        <w:rFonts w:hint="default"/>
        <w:lang w:val="en-US" w:eastAsia="en-US" w:bidi="ar-SA"/>
      </w:rPr>
    </w:lvl>
    <w:lvl w:ilvl="8">
      <w:start w:val="0"/>
      <w:numFmt w:val="bullet"/>
      <w:lvlText w:val="•"/>
      <w:lvlJc w:val="left"/>
      <w:pPr>
        <w:ind w:left="792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ind w:left="100"/>
      <w:outlineLvl w:val="1"/>
    </w:pPr>
    <w:rPr>
      <w:rFonts w:ascii="Arial" w:hAnsi="Arial" w:eastAsia="Arial" w:cs="Arial"/>
      <w:b/>
      <w:bCs/>
      <w:sz w:val="21"/>
      <w:szCs w:val="21"/>
      <w:lang w:val="en-US" w:eastAsia="en-US" w:bidi="ar-SA"/>
    </w:rPr>
  </w:style>
  <w:style w:styleId="Title" w:type="paragraph">
    <w:name w:val="Title"/>
    <w:basedOn w:val="Normal"/>
    <w:uiPriority w:val="1"/>
    <w:qFormat/>
    <w:pPr>
      <w:spacing w:before="87"/>
      <w:ind w:left="100"/>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27"/>
      <w:ind w:left="820" w:hanging="360"/>
    </w:pPr>
    <w:rPr>
      <w:rFonts w:ascii="Arial" w:hAnsi="Arial" w:eastAsia="Arial" w:cs="Arial"/>
      <w:lang w:val="en-US" w:eastAsia="en-US" w:bidi="ar-SA"/>
    </w:rPr>
  </w:style>
  <w:style w:styleId="TableParagraph" w:type="paragraph">
    <w:name w:val="Table Paragraph"/>
    <w:basedOn w:val="Normal"/>
    <w:uiPriority w:val="1"/>
    <w:qFormat/>
    <w:pPr>
      <w:spacing w:before="74"/>
      <w:ind w:left="181" w:right="182"/>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RTGS Minutes</dc:subject>
  <dc:title>RTGS Renewal Programme: Synchronisation Workshop</dc:title>
  <dcterms:created xsi:type="dcterms:W3CDTF">2020-06-02T14:23:32Z</dcterms:created>
  <dcterms:modified xsi:type="dcterms:W3CDTF">2020-06-02T14:23:32Z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2020-06-02T00:00:00Z</vt:filetime>
  </property>
</Properties>
</file>