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rdc_cfg.json------算法参数配置文件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rdc_src.csv-------外部激励（当运行rdc_tb.py 参数为1时使用）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rdc_tb.py---------算法模型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使用方式：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在rdc_cfg.json中对算法参数进行配置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如果使用内部激励，则在命令行执行：python rdc_tb.py 0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</w:rPr>
        <w:t>若使用外部激励，则命令行执行：python rdc_tb.py 1（输入激励格式为复数，参考rdc_src.csv文件）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DCC97"/>
    <w:multiLevelType w:val="singleLevel"/>
    <w:tmpl w:val="F7DDCC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aureoleday</cp:lastModifiedBy>
  <dcterms:modified xsi:type="dcterms:W3CDTF">2022-05-07T14:09:44Z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