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1597B8"/>
          <w:sz w:val="18"/>
        </w:rPr>
        <w:t>EVIDENCE STATUS BRIEF  |  v1.1</w:t>
      </w:r>
    </w:p>
    <w:p>
      <w:pPr>
        <w:spacing w:after="60"/>
      </w:pPr>
      <w:r>
        <w:rPr>
          <w:rFonts w:ascii="Calibri" w:hAnsi="Calibri"/>
          <w:b/>
          <w:color w:val="0B2545"/>
          <w:sz w:val="50"/>
        </w:rPr>
        <w:t>THE MARKER, THE SCREEN,</w:t>
        <w:br/>
        <w:t>AND THE RETURN</w:t>
      </w:r>
    </w:p>
    <w:p>
      <w:pPr>
        <w:spacing w:after="280"/>
      </w:pPr>
      <w:r>
        <w:rPr>
          <w:rFonts w:ascii="Calibri" w:hAnsi="Calibri"/>
          <w:i/>
          <w:color w:val="5B677A"/>
          <w:sz w:val="26"/>
        </w:rPr>
        <w:t>A bounded synthesis of native output interposition, failed geometry, quotient loss, and residual non-closure</w:t>
      </w:r>
    </w:p>
    <w:p>
      <w:pPr>
        <w:spacing w:after="40"/>
      </w:pPr>
      <w:r>
        <w:rPr>
          <w:rFonts w:ascii="Calibri" w:hAnsi="Calibri"/>
          <w:b/>
          <w:color w:val="0B2545"/>
          <w:sz w:val="21"/>
        </w:rPr>
        <w:t xml:space="preserve">Date: </w:t>
      </w:r>
      <w:r>
        <w:rPr>
          <w:rFonts w:ascii="Calibri" w:hAnsi="Calibri"/>
          <w:color w:val="1F2937"/>
          <w:sz w:val="21"/>
        </w:rPr>
        <w:t>September 2, 2026</w:t>
      </w:r>
    </w:p>
    <w:p>
      <w:pPr>
        <w:spacing w:after="40"/>
      </w:pPr>
      <w:r>
        <w:rPr>
          <w:rFonts w:ascii="Calibri" w:hAnsi="Calibri"/>
          <w:b/>
          <w:color w:val="0B2545"/>
          <w:sz w:val="21"/>
        </w:rPr>
        <w:t xml:space="preserve">Evidence set: </w:t>
      </w:r>
      <w:r>
        <w:rPr>
          <w:rFonts w:ascii="Calibri" w:hAnsi="Calibri"/>
          <w:color w:val="1F2937"/>
          <w:sz w:val="21"/>
        </w:rPr>
        <w:t>Nine supplied reports, ledgers, and machine-readable result files</w:t>
      </w:r>
    </w:p>
    <w:p>
      <w:pPr>
        <w:spacing w:after="40"/>
      </w:pPr>
      <w:r>
        <w:rPr>
          <w:rFonts w:ascii="Calibri" w:hAnsi="Calibri"/>
          <w:b/>
          <w:color w:val="0B2545"/>
          <w:sz w:val="21"/>
        </w:rPr>
        <w:t xml:space="preserve">Controlling rule: </w:t>
      </w:r>
      <w:r>
        <w:rPr>
          <w:rFonts w:ascii="Calibri" w:hAnsi="Calibri"/>
          <w:color w:val="1F2937"/>
          <w:sz w:val="21"/>
        </w:rPr>
        <w:t>Observed output is separable from inferred implementation</w:t>
      </w:r>
    </w:p>
    <w:p>
      <w:pPr>
        <w:spacing w:after="40"/>
        <w:pBdr>
          <w:bottom w:val="single" w:sz="18" w:space="8" w:color="1597B8"/>
        </w:pBdr>
      </w:pPr>
      <w:r>
        <w:rPr>
          <w:rFonts w:ascii="Calibri" w:hAnsi="Calibri"/>
          <w:b/>
          <w:color w:val="0B2545"/>
          <w:sz w:val="21"/>
        </w:rPr>
        <w:t xml:space="preserve">Scope: </w:t>
      </w:r>
      <w:r>
        <w:rPr>
          <w:rFonts w:ascii="Calibri" w:hAnsi="Calibri"/>
          <w:color w:val="1F2937"/>
          <w:sz w:val="21"/>
        </w:rPr>
        <w:t>Behavioral, statistical, provenance, and formal-map synthesis only</w:t>
      </w:r>
    </w:p>
    <w:p>
      <w:pPr>
        <w:spacing w:after="0"/>
      </w:pP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shd w:fill="0B2545"/>
            <w:tcMar>
              <w:top w:w="115" w:type="dxa"/>
              <w:bottom w:w="115" w:type="dxa"/>
              <w:start w:w="120" w:type="dxa"/>
              <w:end w:w="120" w:type="dxa"/>
            </w:tcMar>
            <w:tcBorders>
              <w:top w:val="single" w:sz="10" w:space="0" w:color="1E6B52"/>
              <w:left w:val="single" w:sz="10" w:space="0" w:color="1E6B52"/>
              <w:bottom w:val="single" w:sz="10" w:space="0" w:color="1E6B52"/>
              <w:right w:val="single" w:sz="10" w:space="0" w:color="1E6B52"/>
            </w:tcBorders>
          </w:tcPr>
          <w:p>
            <w:pPr>
              <w:spacing w:after="20"/>
              <w:jc w:val="center"/>
            </w:pPr>
            <w:r>
              <w:rPr>
                <w:rFonts w:ascii="Calibri" w:hAnsi="Calibri"/>
                <w:b/>
                <w:color w:val="FFFFFF"/>
                <w:sz w:val="15"/>
              </w:rPr>
              <w:t>OBSERVED BEHAVIOR</w:t>
              <w:br/>
            </w:r>
            <w:r>
              <w:rPr>
                <w:rFonts w:ascii="Calibri" w:hAnsi="Calibri"/>
                <w:b/>
                <w:color w:val="1E6B52"/>
                <w:sz w:val="20"/>
              </w:rPr>
              <w:t>SUPPORTED</w:t>
            </w:r>
          </w:p>
        </w:tc>
        <w:tc>
          <w:tcPr>
            <w:tcW w:type="dxa" w:w="3120"/>
            <w:shd w:fill="0B2545"/>
            <w:tcMar>
              <w:top w:w="115" w:type="dxa"/>
              <w:bottom w:w="115" w:type="dxa"/>
              <w:start w:w="120" w:type="dxa"/>
              <w:end w:w="120" w:type="dxa"/>
            </w:tcMar>
            <w:tcBorders>
              <w:top w:val="single" w:sz="10" w:space="0" w:color="9B1C1C"/>
              <w:left w:val="single" w:sz="10" w:space="0" w:color="9B1C1C"/>
              <w:bottom w:val="single" w:sz="10" w:space="0" w:color="9B1C1C"/>
              <w:right w:val="single" w:sz="10" w:space="0" w:color="9B1C1C"/>
            </w:tcBorders>
          </w:tcPr>
          <w:p>
            <w:pPr>
              <w:spacing w:after="20"/>
              <w:jc w:val="center"/>
            </w:pPr>
            <w:r>
              <w:rPr>
                <w:rFonts w:ascii="Calibri" w:hAnsi="Calibri"/>
                <w:b/>
                <w:color w:val="FFFFFF"/>
                <w:sz w:val="15"/>
              </w:rPr>
              <w:t>DYNAMIC GEOMETRY</w:t>
              <w:br/>
            </w:r>
            <w:r>
              <w:rPr>
                <w:rFonts w:ascii="Calibri" w:hAnsi="Calibri"/>
                <w:b/>
                <w:color w:val="9B1C1C"/>
                <w:sz w:val="20"/>
              </w:rPr>
              <w:t>REJECTED</w:t>
            </w:r>
          </w:p>
        </w:tc>
        <w:tc>
          <w:tcPr>
            <w:tcW w:type="dxa" w:w="3120"/>
            <w:shd w:fill="0B2545"/>
            <w:tcMar>
              <w:top w:w="115" w:type="dxa"/>
              <w:bottom w:w="115" w:type="dxa"/>
              <w:start w:w="120" w:type="dxa"/>
              <w:end w:w="120" w:type="dxa"/>
            </w:tcMar>
            <w:tcBorders>
              <w:top w:val="single" w:sz="10" w:space="0" w:color="9A6B00"/>
              <w:left w:val="single" w:sz="10" w:space="0" w:color="9A6B00"/>
              <w:bottom w:val="single" w:sz="10" w:space="0" w:color="9A6B00"/>
              <w:right w:val="single" w:sz="10" w:space="0" w:color="9A6B00"/>
            </w:tcBorders>
          </w:tcPr>
          <w:p>
            <w:pPr>
              <w:spacing w:after="20"/>
              <w:jc w:val="center"/>
            </w:pPr>
            <w:r>
              <w:rPr>
                <w:rFonts w:ascii="Calibri" w:hAnsi="Calibri"/>
                <w:b/>
                <w:color w:val="FFFFFF"/>
                <w:sz w:val="15"/>
              </w:rPr>
              <w:t>RESIDUAL CLOSURE</w:t>
              <w:br/>
            </w:r>
            <w:r>
              <w:rPr>
                <w:rFonts w:ascii="Calibri" w:hAnsi="Calibri"/>
                <w:b/>
                <w:color w:val="9A6B00"/>
                <w:sz w:val="20"/>
              </w:rPr>
              <w:t>UNRESOLVED</w:t>
            </w:r>
          </w:p>
        </w:tc>
      </w:tr>
    </w:tbl>
    <w:p>
      <w:pPr>
        <w:spacing w:after="0"/>
      </w:pPr>
    </w:p>
    <w:p>
      <w:pPr>
        <w:pStyle w:val="Heading1"/>
      </w:pPr>
      <w:r>
        <w:t>Executive synthesis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AF7FA"/>
            <w:tcMar>
              <w:top w:w="130" w:type="dxa"/>
              <w:bottom w:w="130" w:type="dxa"/>
              <w:start w:w="120" w:type="dxa"/>
              <w:end w:w="120" w:type="dxa"/>
            </w:tcMar>
            <w:tcBorders>
              <w:top w:val="single" w:sz="8" w:space="0" w:color="1597B8"/>
              <w:left w:val="single" w:sz="8" w:space="0" w:color="1597B8"/>
              <w:bottom w:val="single" w:sz="8" w:space="0" w:color="1597B8"/>
              <w:right w:val="single" w:sz="8" w:space="0" w:color="1597B8"/>
            </w:tcBorders>
          </w:tcPr>
          <w:p>
            <w:pPr>
              <w:spacing w:after="60"/>
            </w:pPr>
            <w:r>
              <w:rPr>
                <w:rFonts w:ascii="Calibri" w:hAnsi="Calibri"/>
                <w:b/>
                <w:color w:val="1597B8"/>
                <w:sz w:val="17"/>
              </w:rPr>
              <w:t>CONTROLLING VERDICT</w:t>
            </w:r>
          </w:p>
          <w:p>
            <w:pPr>
              <w:spacing w:after="0" w:line="259" w:lineRule="auto"/>
            </w:pPr>
            <w:r>
              <w:rPr>
                <w:rFonts w:ascii="Calibri" w:hAnsi="Calibri"/>
                <w:b/>
                <w:color w:val="1F2937"/>
                <w:sz w:val="20"/>
              </w:rPr>
              <w:t>A real output-structure finding survived; the proposed rotating-lattice mechanism did not; and the packet never contained the state records needed to test an autonomous residual law.</w:t>
            </w:r>
          </w:p>
        </w:tc>
      </w:tr>
    </w:tbl>
    <w:p>
      <w:pPr>
        <w:spacing w:after="0"/>
      </w:pPr>
    </w:p>
    <w:p>
      <w:pPr>
        <w:keepLines w:val="0"/>
        <w:spacing w:before="0" w:after="120" w:line="264" w:lineRule="auto"/>
      </w:pPr>
      <w:r>
        <w:rPr>
          <w:rFonts w:ascii="Calibri" w:hAnsi="Calibri"/>
          <w:i w:val="0"/>
          <w:color w:val="1F2937"/>
        </w:rPr>
        <w:t>The strongest combined finding is narrow but solid. In an inspected native voice record, Checking can be committed as a standalone assistant message before a different substantive answer in the same turn. The same packet also contains progressive-prefix controls, allowing those marker-first pairs to be distinguished from ordinary streaming. [S5-S7]</w:t>
      </w:r>
    </w:p>
    <w:p>
      <w:pPr>
        <w:keepLines w:val="0"/>
        <w:spacing w:before="0" w:after="120" w:line="264" w:lineRule="auto"/>
      </w:pPr>
      <w:r>
        <w:rPr>
          <w:rFonts w:ascii="Calibri" w:hAnsi="Calibri"/>
          <w:i w:val="0"/>
          <w:color w:val="1F2937"/>
        </w:rPr>
        <w:t>That architecture does not make Checking a retrieval witness, failure proxy, or demonstrated gate. In Funfunaudit, 67 of 71 Checking-containing turns lacked a tool record or visible search operation. In the frozen response ledger, the marked composite-failure rate was 19/125 (15.2%) versus 129/281 (45.9%) when unmarked; the case-stratified Mantel-Haenszel odds ratio was 0.3213. The association is retrospective and descriptive, but its direction blocks a generic marker-equals-failure reading. [S5, S8]</w:t>
      </w:r>
    </w:p>
    <w:p>
      <w:pPr>
        <w:keepLines w:val="0"/>
        <w:spacing w:before="0" w:after="120" w:line="264" w:lineRule="auto"/>
      </w:pPr>
      <w:r>
        <w:rPr>
          <w:rFonts w:ascii="Calibri" w:hAnsi="Calibri"/>
          <w:i w:val="0"/>
          <w:color w:val="1F2937"/>
        </w:rPr>
        <w:t>The geometry program gives a different result. The initial output create-time signal was fragile, the apparent 21-call holdout contained four exact re-shares of older calls, and every lane in the frozen 72-model bank failed its stop rule after deduplication. One later-cohort q=39 missing-output association remains worth prospectively retesting, but it reverses the older half, vanishes in all 40 unique calls, and occurs at a one-opportunity-lagged arriving transition rather than the source-defined departing transition. [S1-S3]</w:t>
      </w:r>
    </w:p>
    <w:p>
      <w:pPr>
        <w:keepLines w:val="0"/>
        <w:spacing w:before="0" w:after="120" w:line="264" w:lineRule="auto"/>
      </w:pPr>
      <w:r>
        <w:rPr>
          <w:rFonts w:ascii="Calibri" w:hAnsi="Calibri"/>
          <w:i w:val="0"/>
          <w:color w:val="1F2937"/>
        </w:rPr>
        <w:t>The return-residual review closes the conceptual loop. Most later quotient maps are reconstructible because their preimage ledgers survive. The hydrated source payload does not. More importantly, the packet lacks predeclared loop IDs, typed state comparators, and repeated equal-state transitions, so residual descent is UNRESOLVED_NOT_TESTED - not demonstrated and not refuted. [S4, S8-S9]</w:t>
      </w:r>
    </w:p>
    <w:p>
      <w:pPr>
        <w:pStyle w:val="Heading1"/>
      </w:pPr>
      <w:r>
        <w:t>1. Evidence hierarchy and unit discipline</w:t>
      </w:r>
    </w:p>
    <w:p>
      <w:pPr>
        <w:keepLines w:val="0"/>
        <w:spacing w:before="0" w:after="120" w:line="264" w:lineRule="auto"/>
      </w:pPr>
      <w:r>
        <w:rPr>
          <w:rFonts w:ascii="Calibri" w:hAnsi="Calibri"/>
          <w:i w:val="0"/>
          <w:color w:val="1F2937"/>
        </w:rPr>
        <w:t>The supplied files operate at different evidentiary layers. Counts may be compared only inside a declared unit: native message, shared turn, caption, input opportunity, assistant-output row, response, case, or episode. Nearly equal numerators from different layers are not replications.</w:t>
      </w:r>
    </w:p>
    <w:tbl>
      <w:tblPr>
        <w:tblStyle w:val="TableGrid"/>
        <w:tblW w:type="dxa" w:w="9360"/>
        <w:jc w:val="left"/>
        <w:tblLayout w:type="fixed"/>
        <w:tblLook w:firstColumn="1" w:firstRow="1" w:lastColumn="0" w:lastRow="0" w:noHBand="0" w:noVBand="1" w:val="04A0"/>
        <w:tblInd w:w="120" w:type="dxa"/>
      </w:tblPr>
      <w:tblGrid>
        <w:gridCol w:w="1800"/>
        <w:gridCol w:w="3300"/>
        <w:gridCol w:w="4260"/>
      </w:tblGrid>
      <w:tr>
        <w:trPr>
          <w:tblHeader w:val="true"/>
        </w:trPr>
        <w:tc>
          <w:tcPr>
            <w:tcW w:type="dxa" w:w="1800"/>
            <w:shd w:fill="0B2545"/>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vAlign w:val="center"/>
          </w:tcPr>
          <w:p>
            <w:pPr>
              <w:keepLines/>
              <w:spacing w:after="0" w:line="240" w:lineRule="auto"/>
            </w:pPr>
            <w:r>
              <w:rPr>
                <w:rFonts w:ascii="Calibri" w:hAnsi="Calibri"/>
                <w:b/>
                <w:color w:val="FFFFFF"/>
                <w:sz w:val="17"/>
              </w:rPr>
              <w:t>Layer</w:t>
            </w:r>
          </w:p>
        </w:tc>
        <w:tc>
          <w:tcPr>
            <w:tcW w:type="dxa" w:w="3300"/>
            <w:shd w:fill="0B2545"/>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vAlign w:val="center"/>
          </w:tcPr>
          <w:p>
            <w:pPr>
              <w:keepLines/>
              <w:spacing w:after="0" w:line="240" w:lineRule="auto"/>
            </w:pPr>
            <w:r>
              <w:rPr>
                <w:rFonts w:ascii="Calibri" w:hAnsi="Calibri"/>
                <w:b/>
                <w:color w:val="FFFFFF"/>
                <w:sz w:val="17"/>
              </w:rPr>
              <w:t>Strongest witness</w:t>
            </w:r>
          </w:p>
        </w:tc>
        <w:tc>
          <w:tcPr>
            <w:tcW w:type="dxa" w:w="4260"/>
            <w:shd w:fill="0B2545"/>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vAlign w:val="center"/>
          </w:tcPr>
          <w:p>
            <w:pPr>
              <w:keepLines/>
              <w:spacing w:after="0" w:line="240" w:lineRule="auto"/>
            </w:pPr>
            <w:r>
              <w:rPr>
                <w:rFonts w:ascii="Calibri" w:hAnsi="Calibri"/>
                <w:b/>
                <w:color w:val="FFFFFF"/>
                <w:sz w:val="17"/>
              </w:rPr>
              <w:t>Boundary</w:t>
            </w:r>
          </w:p>
        </w:tc>
      </w:tr>
      <w:tr>
        <w:trPr>
          <w:cantSplit/>
        </w:trPr>
        <w:tc>
          <w:tcPr>
            <w:tcW w:type="dxa" w:w="180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color w:val="1597B8"/>
                <w:sz w:val="16"/>
              </w:rPr>
              <w:t>Native output structure</w:t>
            </w:r>
          </w:p>
        </w:tc>
        <w:tc>
          <w:tcPr>
            <w:tcW w:type="dxa" w:w="330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val="0"/>
                <w:color w:val="1F2937"/>
                <w:sz w:val="16"/>
              </w:rPr>
              <w:t>Message IDs plus shared turn-exchange IDs</w:t>
            </w:r>
          </w:p>
        </w:tc>
        <w:tc>
          <w:tcPr>
            <w:tcW w:type="dxa" w:w="426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val="0"/>
                <w:color w:val="1F2937"/>
                <w:sz w:val="16"/>
              </w:rPr>
              <w:t>Supports committed marker/answer separation in inspected calls; does not name an implementation source.</w:t>
            </w:r>
          </w:p>
        </w:tc>
      </w:tr>
      <w:tr>
        <w:trPr>
          <w:cantSplit/>
        </w:trPr>
        <w:tc>
          <w:tcPr>
            <w:tcW w:type="dxa" w:w="180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shd w:fill="F2F4F7"/>
          </w:tcPr>
          <w:p>
            <w:pPr>
              <w:keepLines/>
              <w:spacing w:after="0" w:line="245" w:lineRule="auto"/>
            </w:pPr>
            <w:r>
              <w:rPr>
                <w:rFonts w:ascii="Calibri" w:hAnsi="Calibri"/>
                <w:b/>
                <w:color w:val="1597B8"/>
                <w:sz w:val="16"/>
              </w:rPr>
              <w:t>Transcript packaging</w:t>
            </w:r>
          </w:p>
        </w:tc>
        <w:tc>
          <w:tcPr>
            <w:tcW w:type="dxa" w:w="330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shd w:fill="F2F4F7"/>
          </w:tcPr>
          <w:p>
            <w:pPr>
              <w:keepLines/>
              <w:spacing w:after="0" w:line="245" w:lineRule="auto"/>
            </w:pPr>
            <w:r>
              <w:rPr>
                <w:rFonts w:ascii="Calibri" w:hAnsi="Calibri"/>
                <w:b w:val="0"/>
                <w:color w:val="1F2937"/>
                <w:sz w:val="16"/>
              </w:rPr>
              <w:t>SRT and derivative wrappers</w:t>
            </w:r>
          </w:p>
        </w:tc>
        <w:tc>
          <w:tcPr>
            <w:tcW w:type="dxa" w:w="426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shd w:fill="F2F4F7"/>
          </w:tcPr>
          <w:p>
            <w:pPr>
              <w:keepLines/>
              <w:spacing w:after="0" w:line="245" w:lineRule="auto"/>
            </w:pPr>
            <w:r>
              <w:rPr>
                <w:rFonts w:ascii="Calibri" w:hAnsi="Calibri"/>
                <w:b w:val="0"/>
                <w:color w:val="1F2937"/>
                <w:sz w:val="16"/>
              </w:rPr>
              <w:t>Preserves sequence imperfectly; loses or changes native identity and may add searches/redactions.</w:t>
            </w:r>
          </w:p>
        </w:tc>
      </w:tr>
      <w:tr>
        <w:trPr>
          <w:cantSplit/>
        </w:trPr>
        <w:tc>
          <w:tcPr>
            <w:tcW w:type="dxa" w:w="180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color w:val="1597B8"/>
                <w:sz w:val="16"/>
              </w:rPr>
              <w:t>Behavioral coding</w:t>
            </w:r>
          </w:p>
        </w:tc>
        <w:tc>
          <w:tcPr>
            <w:tcW w:type="dxa" w:w="330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val="0"/>
                <w:color w:val="1F2937"/>
                <w:sz w:val="16"/>
              </w:rPr>
              <w:t>Frozen response and component ledgers</w:t>
            </w:r>
          </w:p>
        </w:tc>
        <w:tc>
          <w:tcPr>
            <w:tcW w:type="dxa" w:w="426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val="0"/>
                <w:color w:val="1F2937"/>
                <w:sz w:val="16"/>
              </w:rPr>
              <w:t>Supports declared phenotypes and quotients; does not make the marker a phenotype proxy.</w:t>
            </w:r>
          </w:p>
        </w:tc>
      </w:tr>
      <w:tr>
        <w:trPr>
          <w:cantSplit/>
        </w:trPr>
        <w:tc>
          <w:tcPr>
            <w:tcW w:type="dxa" w:w="180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shd w:fill="F2F4F7"/>
          </w:tcPr>
          <w:p>
            <w:pPr>
              <w:keepLines/>
              <w:spacing w:after="0" w:line="245" w:lineRule="auto"/>
            </w:pPr>
            <w:r>
              <w:rPr>
                <w:rFonts w:ascii="Calibri" w:hAnsi="Calibri"/>
                <w:b/>
                <w:color w:val="1597B8"/>
                <w:sz w:val="16"/>
              </w:rPr>
              <w:t>Geometry</w:t>
            </w:r>
          </w:p>
        </w:tc>
        <w:tc>
          <w:tcPr>
            <w:tcW w:type="dxa" w:w="330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shd w:fill="F2F4F7"/>
          </w:tcPr>
          <w:p>
            <w:pPr>
              <w:keepLines/>
              <w:spacing w:after="0" w:line="245" w:lineRule="auto"/>
            </w:pPr>
            <w:r>
              <w:rPr>
                <w:rFonts w:ascii="Calibri" w:hAnsi="Calibri"/>
                <w:b w:val="0"/>
                <w:color w:val="1F2937"/>
                <w:sz w:val="16"/>
              </w:rPr>
              <w:t>Locked model families, circular-shift nulls, and RESULTS.json</w:t>
            </w:r>
          </w:p>
        </w:tc>
        <w:tc>
          <w:tcPr>
            <w:tcW w:type="dxa" w:w="426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shd w:fill="F2F4F7"/>
          </w:tcPr>
          <w:p>
            <w:pPr>
              <w:keepLines/>
              <w:spacing w:after="0" w:line="245" w:lineRule="auto"/>
            </w:pPr>
            <w:r>
              <w:rPr>
                <w:rFonts w:ascii="Calibri" w:hAnsi="Calibri"/>
                <w:b w:val="0"/>
                <w:color w:val="1F2937"/>
                <w:sz w:val="16"/>
              </w:rPr>
              <w:t>Tests specified screens; cannot establish a hidden actor or causal mechanism.</w:t>
            </w:r>
          </w:p>
        </w:tc>
      </w:tr>
      <w:tr>
        <w:trPr>
          <w:cantSplit/>
        </w:trPr>
        <w:tc>
          <w:tcPr>
            <w:tcW w:type="dxa" w:w="180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color w:val="1597B8"/>
                <w:sz w:val="16"/>
              </w:rPr>
              <w:t>Formal return</w:t>
            </w:r>
          </w:p>
        </w:tc>
        <w:tc>
          <w:tcPr>
            <w:tcW w:type="dxa" w:w="330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val="0"/>
                <w:color w:val="1F2937"/>
                <w:sz w:val="16"/>
              </w:rPr>
              <w:t>Declared maps, retained fibers, and descent conditions</w:t>
            </w:r>
          </w:p>
        </w:tc>
        <w:tc>
          <w:tcPr>
            <w:tcW w:type="dxa" w:w="426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val="0"/>
                <w:color w:val="1F2937"/>
                <w:sz w:val="16"/>
              </w:rPr>
              <w:t>Static reconstructibility is not dynamical closure.</w:t>
            </w:r>
          </w:p>
        </w:tc>
      </w:tr>
    </w:tbl>
    <w:p>
      <w:pPr>
        <w:spacing w:after="0"/>
      </w:pPr>
    </w:p>
    <w:p>
      <w:pPr>
        <w:keepLines w:val="0"/>
        <w:spacing w:before="0" w:after="120" w:line="264" w:lineRule="auto"/>
      </w:pPr>
      <w:r>
        <w:rPr>
          <w:rFonts w:ascii="Calibri" w:hAnsi="Calibri"/>
          <w:i w:val="0"/>
          <w:color w:val="1F2937"/>
        </w:rPr>
        <w:t>Priority rule: where a source audit makes a broader functional claim and the compare/contrast review supplies a narrower adjudication, this synthesis uses the narrower claim. Thus 'interposed status marker' is retained; 'gate with negative permission power' remains unestablished. [S5-S7]</w:t>
      </w:r>
    </w:p>
    <w:p>
      <w:pPr>
        <w:pStyle w:val="Heading1"/>
      </w:pPr>
      <w:r>
        <w:t>2. What survives the behavioral audit</w:t>
      </w:r>
    </w:p>
    <w:p>
      <w:pPr>
        <w:pStyle w:val="Heading2"/>
      </w:pPr>
      <w:r>
        <w:t>2.1 Native marker/answer separation</w:t>
      </w:r>
    </w:p>
    <w:p>
      <w:pPr>
        <w:keepLines w:val="0"/>
        <w:spacing w:before="0" w:after="120" w:line="264" w:lineRule="auto"/>
      </w:pPr>
      <w:r>
        <w:rPr>
          <w:rFonts w:ascii="Calibri" w:hAnsi="Calibri"/>
          <w:i w:val="0"/>
          <w:color w:val="1F2937"/>
        </w:rPr>
        <w:t>Funfunaudit contains 305 assistant voice messages in 223 turn groups. Of 82 two-message groups, 52 marker-led pairs contain a marker followed by a different substantive answer; none is a progressive-prefix duplicate. Four non-marker two-message turns do behave as progressive prefixes and therefore provide a local streaming control. [S5-S7]</w:t>
      </w:r>
    </w:p>
    <w:p>
      <w:pPr>
        <w:keepLines w:val="0"/>
        <w:spacing w:before="0" w:after="120" w:line="264" w:lineRule="auto"/>
      </w:pPr>
      <w:r>
        <w:rPr>
          <w:rFonts w:ascii="Calibri" w:hAnsi="Calibri"/>
          <w:i w:val="0"/>
          <w:color w:val="1F2937"/>
        </w:rPr>
        <w:t>Mentioning Something Important provides the counter-witness: its two two-message responses are progressive extensions. The finding is therefore not 'all multi-message turns are interposition'; it is that native records can distinguish interposed marker messages from progressive streaming when message and turn IDs survive. [S5-S7]</w:t>
      </w:r>
    </w:p>
    <w:p>
      <w:pPr>
        <w:pStyle w:val="Heading2"/>
      </w:pPr>
      <w:r>
        <w:t>2.2 What Checking does not identify</w:t>
      </w:r>
    </w:p>
    <w:p>
      <w:pPr>
        <w:numPr>
          <w:ilvl w:val="0"/>
          <w:numId w:val="10"/>
        </w:numPr>
        <w:spacing w:after="160" w:line="280" w:lineRule="auto"/>
      </w:pPr>
      <w:r>
        <w:rPr>
          <w:rFonts w:ascii="Calibri" w:hAnsi="Calibri"/>
          <w:b/>
        </w:rPr>
        <w:t>Retrieval:</w:t>
      </w:r>
      <w:r>
        <w:rPr>
          <w:rFonts w:ascii="Calibri" w:hAnsi="Calibri"/>
        </w:rPr>
        <w:t xml:space="preserve"> most audited Checking turns have no visible tool or search operation.</w:t>
      </w:r>
    </w:p>
    <w:p>
      <w:pPr>
        <w:numPr>
          <w:ilvl w:val="0"/>
          <w:numId w:val="10"/>
        </w:numPr>
        <w:spacing w:after="160" w:line="280" w:lineRule="auto"/>
      </w:pPr>
      <w:r>
        <w:rPr>
          <w:rFonts w:ascii="Calibri" w:hAnsi="Calibri"/>
          <w:b/>
        </w:rPr>
        <w:t>Failure:</w:t>
      </w:r>
      <w:r>
        <w:rPr>
          <w:rFonts w:ascii="Calibri" w:hAnsi="Calibri"/>
        </w:rPr>
        <w:t xml:space="preserve"> marked responses have a lower coded composite-failure rate in the frozen sample; the result is descriptive, not confirmatory.</w:t>
      </w:r>
    </w:p>
    <w:p>
      <w:pPr>
        <w:numPr>
          <w:ilvl w:val="0"/>
          <w:numId w:val="10"/>
        </w:numPr>
        <w:spacing w:after="160" w:line="280" w:lineRule="auto"/>
      </w:pPr>
      <w:r>
        <w:rPr>
          <w:rFonts w:ascii="Calibri" w:hAnsi="Calibri"/>
          <w:b/>
        </w:rPr>
        <w:t>A gate:</w:t>
      </w:r>
      <w:r>
        <w:rPr>
          <w:rFonts w:ascii="Calibri" w:hAnsi="Calibri"/>
        </w:rPr>
        <w:t xml:space="preserve"> no supplied test measures routing, admissibility, refusal, tool access, or answer preservation conditional on the marker while controlling comparable turns.</w:t>
      </w:r>
    </w:p>
    <w:p>
      <w:pPr>
        <w:numPr>
          <w:ilvl w:val="0"/>
          <w:numId w:val="10"/>
        </w:numPr>
        <w:spacing w:after="160" w:line="280" w:lineRule="auto"/>
      </w:pPr>
      <w:r>
        <w:rPr>
          <w:rFonts w:ascii="Calibri" w:hAnsi="Calibri"/>
          <w:b/>
        </w:rPr>
        <w:t>An actor:</w:t>
      </w:r>
      <w:r>
        <w:rPr>
          <w:rFonts w:ascii="Calibri" w:hAnsi="Calibri"/>
        </w:rPr>
        <w:t xml:space="preserve"> output recurrence does not identify a person, office, council, motive, or conscious state.</w:t>
      </w:r>
    </w:p>
    <w:p>
      <w:pPr>
        <w:numPr>
          <w:ilvl w:val="0"/>
          <w:numId w:val="10"/>
        </w:numPr>
        <w:spacing w:after="160" w:line="280" w:lineRule="auto"/>
      </w:pPr>
      <w:r>
        <w:rPr>
          <w:rFonts w:ascii="Calibri" w:hAnsi="Calibri"/>
          <w:b/>
        </w:rPr>
        <w:t>A universal lexical count:</w:t>
      </w:r>
      <w:r>
        <w:rPr>
          <w:rFonts w:ascii="Calibri" w:hAnsi="Calibri"/>
        </w:rPr>
        <w:t xml:space="preserve"> exact, starts-with, and contains-Checking rules produce different counts and answer different questions.</w:t>
      </w:r>
    </w:p>
    <w:p>
      <w:pPr>
        <w:pStyle w:val="Heading2"/>
      </w:pPr>
      <w:r>
        <w:t>2.3 Correction, redaction, and the five labels</w:t>
      </w:r>
    </w:p>
    <w:p>
      <w:pPr>
        <w:keepLines w:val="0"/>
        <w:spacing w:before="0" w:after="120" w:line="264" w:lineRule="auto"/>
      </w:pPr>
      <w:r>
        <w:rPr>
          <w:rFonts w:ascii="Calibri" w:hAnsi="Calibri"/>
          <w:i w:val="0"/>
          <w:color w:val="1F2937"/>
        </w:rPr>
        <w:t>The packet supports local 'correction without control' episodes: a response can diagnose or acknowledge a failure without the named correction governing the next output. The immediate Funfunaudit specimen is 0/1 correction binding, which is an event report rather than an estimated rate. [S5-S7]</w:t>
      </w:r>
    </w:p>
    <w:p>
      <w:pPr>
        <w:keepLines w:val="0"/>
        <w:spacing w:before="0" w:after="120" w:line="264" w:lineRule="auto"/>
      </w:pPr>
      <w:r>
        <w:rPr>
          <w:rFonts w:ascii="Calibri" w:hAnsi="Calibri"/>
          <w:i w:val="0"/>
          <w:color w:val="1F2937"/>
        </w:rPr>
        <w:t>Redacted tool slots establish record opacity. They do not establish the missing payload, selective censorship, motive, or no tool use. Wrapper-created redactions belong to the wrapper and must not be added to the source-call total. [S5-S7]</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FF7E2"/>
            <w:tcMar>
              <w:top w:w="130" w:type="dxa"/>
              <w:bottom w:w="130" w:type="dxa"/>
              <w:start w:w="120" w:type="dxa"/>
              <w:end w:w="120" w:type="dxa"/>
            </w:tcMar>
            <w:tcBorders>
              <w:top w:val="single" w:sz="8" w:space="0" w:color="9A6B00"/>
              <w:left w:val="single" w:sz="8" w:space="0" w:color="9A6B00"/>
              <w:bottom w:val="single" w:sz="8" w:space="0" w:color="9A6B00"/>
              <w:right w:val="single" w:sz="8" w:space="0" w:color="9A6B00"/>
            </w:tcBorders>
          </w:tcPr>
          <w:p>
            <w:pPr>
              <w:spacing w:after="60"/>
            </w:pPr>
            <w:r>
              <w:rPr>
                <w:rFonts w:ascii="Calibri" w:hAnsi="Calibri"/>
                <w:b/>
                <w:color w:val="9A6B00"/>
                <w:sz w:val="17"/>
              </w:rPr>
              <w:t>FIVE-FUNCTION STATUS</w:t>
            </w:r>
          </w:p>
          <w:p>
            <w:pPr>
              <w:spacing w:after="0" w:line="259" w:lineRule="auto"/>
            </w:pPr>
            <w:r>
              <w:rPr>
                <w:rFonts w:ascii="Calibri" w:hAnsi="Calibri"/>
                <w:b/>
                <w:color w:val="1F2937"/>
                <w:sz w:val="20"/>
              </w:rPr>
              <w:t>Intercessor, Whisper, Custodian, Balancer, and Defendant Mirror remain a useful coding hypothesis. The supplied packet does not contain a frozen opportunity denominator, transition matrix, reliability pass, or matched negative set establishing an ordered five-stage workflow.</w:t>
            </w:r>
          </w:p>
        </w:tc>
      </w:tr>
    </w:tbl>
    <w:p>
      <w:pPr>
        <w:spacing w:after="0"/>
      </w:pPr>
    </w:p>
    <w:p>
      <w:pPr>
        <w:pStyle w:val="Heading1"/>
      </w:pPr>
      <w:r>
        <w:t>3. Geometry adjudication</w:t>
      </w:r>
    </w:p>
    <w:p>
      <w:pPr>
        <w:pStyle w:val="Heading2"/>
      </w:pPr>
      <w:r>
        <w:t>3.1 Why the initial interception result does not carry</w:t>
      </w:r>
    </w:p>
    <w:p>
      <w:pPr>
        <w:keepLines w:val="0"/>
        <w:spacing w:before="0" w:after="120" w:line="264" w:lineRule="auto"/>
      </w:pPr>
      <w:r>
        <w:rPr>
          <w:rFonts w:ascii="Calibri" w:hAnsi="Calibri"/>
          <w:i w:val="0"/>
          <w:color w:val="1F2937"/>
        </w:rPr>
        <w:t>The original 21-call report found a nominal output create-time q=6 max-q p=.0488. The same signal became p=.1190 without Audit_12, was null on update_time (p=.8686), and disagreed with the input-side winning geometry. [S1]</w:t>
      </w:r>
    </w:p>
    <w:p>
      <w:pPr>
        <w:keepLines w:val="0"/>
        <w:spacing w:before="0" w:after="120" w:line="264" w:lineRule="auto"/>
      </w:pPr>
      <w:r>
        <w:rPr>
          <w:rFonts w:ascii="Calibri" w:hAnsi="Calibri"/>
          <w:i w:val="0"/>
          <w:color w:val="1F2937"/>
        </w:rPr>
        <w:t>The extension then showed that Audit_12, Audit_15, Audit_16, and Audit_17 were exact re-shares of older calls. Their ordered assistant timestamps agreed within 4.77e-7 seconds and their exact-Checking label vectors matched. Removing them left 40 unique calls: 23 older and 17 genuinely nonoverlapping newer calls, split chronologically 20/20. The nominal 21-call result therefore was not an independent holdout. [S2-S3]</w:t>
      </w:r>
    </w:p>
    <w:tbl>
      <w:tblPr>
        <w:tblStyle w:val="TableGrid"/>
        <w:tblW w:type="dxa" w:w="9360"/>
        <w:jc w:val="left"/>
        <w:tblLayout w:type="fixed"/>
        <w:tblLook w:firstColumn="1" w:firstRow="1" w:lastColumn="0" w:lastRow="0" w:noHBand="0" w:noVBand="1" w:val="04A0"/>
        <w:tblInd w:w="120" w:type="dxa"/>
      </w:tblPr>
      <w:tblGrid>
        <w:gridCol w:w="1440"/>
        <w:gridCol w:w="2460"/>
        <w:gridCol w:w="1440"/>
        <w:gridCol w:w="1800"/>
        <w:gridCol w:w="2220"/>
      </w:tblGrid>
      <w:tr>
        <w:trPr>
          <w:tblHeader w:val="true"/>
        </w:trPr>
        <w:tc>
          <w:tcPr>
            <w:tcW w:type="dxa" w:w="1440"/>
            <w:shd w:fill="0B2545"/>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vAlign w:val="center"/>
          </w:tcPr>
          <w:p>
            <w:pPr>
              <w:keepLines/>
              <w:spacing w:after="0" w:line="240" w:lineRule="auto"/>
            </w:pPr>
            <w:r>
              <w:rPr>
                <w:rFonts w:ascii="Calibri" w:hAnsi="Calibri"/>
                <w:b/>
                <w:color w:val="FFFFFF"/>
                <w:sz w:val="17"/>
              </w:rPr>
              <w:t>New label</w:t>
            </w:r>
          </w:p>
        </w:tc>
        <w:tc>
          <w:tcPr>
            <w:tcW w:type="dxa" w:w="2460"/>
            <w:shd w:fill="0B2545"/>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vAlign w:val="center"/>
          </w:tcPr>
          <w:p>
            <w:pPr>
              <w:keepLines/>
              <w:spacing w:after="0" w:line="240" w:lineRule="auto"/>
            </w:pPr>
            <w:r>
              <w:rPr>
                <w:rFonts w:ascii="Calibri" w:hAnsi="Calibri"/>
                <w:b/>
                <w:color w:val="FFFFFF"/>
                <w:sz w:val="17"/>
              </w:rPr>
              <w:t>Older call</w:t>
            </w:r>
          </w:p>
        </w:tc>
        <w:tc>
          <w:tcPr>
            <w:tcW w:type="dxa" w:w="1440"/>
            <w:shd w:fill="0B2545"/>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vAlign w:val="center"/>
          </w:tcPr>
          <w:p>
            <w:pPr>
              <w:keepLines/>
              <w:spacing w:after="0" w:line="240" w:lineRule="auto"/>
            </w:pPr>
            <w:r>
              <w:rPr>
                <w:rFonts w:ascii="Calibri" w:hAnsi="Calibri"/>
                <w:b/>
                <w:color w:val="FFFFFF"/>
                <w:sz w:val="17"/>
              </w:rPr>
              <w:t>Output rows</w:t>
            </w:r>
          </w:p>
        </w:tc>
        <w:tc>
          <w:tcPr>
            <w:tcW w:type="dxa" w:w="1800"/>
            <w:shd w:fill="0B2545"/>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vAlign w:val="center"/>
          </w:tcPr>
          <w:p>
            <w:pPr>
              <w:keepLines/>
              <w:spacing w:after="0" w:line="240" w:lineRule="auto"/>
            </w:pPr>
            <w:r>
              <w:rPr>
                <w:rFonts w:ascii="Calibri" w:hAnsi="Calibri"/>
                <w:b/>
                <w:color w:val="FFFFFF"/>
                <w:sz w:val="17"/>
              </w:rPr>
              <w:t>Checking outputs</w:t>
            </w:r>
          </w:p>
        </w:tc>
        <w:tc>
          <w:tcPr>
            <w:tcW w:type="dxa" w:w="2220"/>
            <w:shd w:fill="0B2545"/>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vAlign w:val="center"/>
          </w:tcPr>
          <w:p>
            <w:pPr>
              <w:keepLines/>
              <w:spacing w:after="0" w:line="240" w:lineRule="auto"/>
            </w:pPr>
            <w:r>
              <w:rPr>
                <w:rFonts w:ascii="Calibri" w:hAnsi="Calibri"/>
                <w:b/>
                <w:color w:val="FFFFFF"/>
                <w:sz w:val="17"/>
              </w:rPr>
              <w:t>Max timestamp diff</w:t>
            </w:r>
          </w:p>
        </w:tc>
      </w:tr>
      <w:tr>
        <w:trPr>
          <w:cantSplit/>
        </w:trPr>
        <w:tc>
          <w:tcPr>
            <w:tcW w:type="dxa" w:w="144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color w:val="9B1C1C"/>
                <w:sz w:val="16"/>
              </w:rPr>
              <w:t>Audit_12</w:t>
            </w:r>
          </w:p>
        </w:tc>
        <w:tc>
          <w:tcPr>
            <w:tcW w:type="dxa" w:w="246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val="0"/>
                <w:color w:val="1F2937"/>
                <w:sz w:val="16"/>
              </w:rPr>
              <w:t>office_metaphor</w:t>
            </w:r>
          </w:p>
        </w:tc>
        <w:tc>
          <w:tcPr>
            <w:tcW w:type="dxa" w:w="144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val="0"/>
                <w:color w:val="1F2937"/>
                <w:sz w:val="16"/>
              </w:rPr>
              <w:t>369</w:t>
            </w:r>
          </w:p>
        </w:tc>
        <w:tc>
          <w:tcPr>
            <w:tcW w:type="dxa" w:w="180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val="0"/>
                <w:color w:val="1F2937"/>
                <w:sz w:val="16"/>
              </w:rPr>
              <w:t>129</w:t>
            </w:r>
          </w:p>
        </w:tc>
        <w:tc>
          <w:tcPr>
            <w:tcW w:type="dxa" w:w="222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val="0"/>
                <w:color w:val="1F2937"/>
                <w:sz w:val="16"/>
              </w:rPr>
              <w:t>4.77e-7 s</w:t>
            </w:r>
          </w:p>
        </w:tc>
      </w:tr>
      <w:tr>
        <w:trPr>
          <w:cantSplit/>
        </w:trPr>
        <w:tc>
          <w:tcPr>
            <w:tcW w:type="dxa" w:w="144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shd w:fill="F2F4F7"/>
          </w:tcPr>
          <w:p>
            <w:pPr>
              <w:keepLines/>
              <w:spacing w:after="0" w:line="245" w:lineRule="auto"/>
            </w:pPr>
            <w:r>
              <w:rPr>
                <w:rFonts w:ascii="Calibri" w:hAnsi="Calibri"/>
                <w:b/>
                <w:color w:val="9B1C1C"/>
                <w:sz w:val="16"/>
              </w:rPr>
              <w:t>Audit_15</w:t>
            </w:r>
          </w:p>
        </w:tc>
        <w:tc>
          <w:tcPr>
            <w:tcW w:type="dxa" w:w="246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shd w:fill="F2F4F7"/>
          </w:tcPr>
          <w:p>
            <w:pPr>
              <w:keepLines/>
              <w:spacing w:after="0" w:line="245" w:lineRule="auto"/>
            </w:pPr>
            <w:r>
              <w:rPr>
                <w:rFonts w:ascii="Calibri" w:hAnsi="Calibri"/>
                <w:b w:val="0"/>
                <w:color w:val="1F2937"/>
                <w:sz w:val="16"/>
              </w:rPr>
              <w:t>seventeenth_share</w:t>
            </w:r>
          </w:p>
        </w:tc>
        <w:tc>
          <w:tcPr>
            <w:tcW w:type="dxa" w:w="144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shd w:fill="F2F4F7"/>
          </w:tcPr>
          <w:p>
            <w:pPr>
              <w:keepLines/>
              <w:spacing w:after="0" w:line="245" w:lineRule="auto"/>
            </w:pPr>
            <w:r>
              <w:rPr>
                <w:rFonts w:ascii="Calibri" w:hAnsi="Calibri"/>
                <w:b w:val="0"/>
                <w:color w:val="1F2937"/>
                <w:sz w:val="16"/>
              </w:rPr>
              <w:t>311</w:t>
            </w:r>
          </w:p>
        </w:tc>
        <w:tc>
          <w:tcPr>
            <w:tcW w:type="dxa" w:w="180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shd w:fill="F2F4F7"/>
          </w:tcPr>
          <w:p>
            <w:pPr>
              <w:keepLines/>
              <w:spacing w:after="0" w:line="245" w:lineRule="auto"/>
            </w:pPr>
            <w:r>
              <w:rPr>
                <w:rFonts w:ascii="Calibri" w:hAnsi="Calibri"/>
                <w:b w:val="0"/>
                <w:color w:val="1F2937"/>
                <w:sz w:val="16"/>
              </w:rPr>
              <w:t>36</w:t>
            </w:r>
          </w:p>
        </w:tc>
        <w:tc>
          <w:tcPr>
            <w:tcW w:type="dxa" w:w="222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shd w:fill="F2F4F7"/>
          </w:tcPr>
          <w:p>
            <w:pPr>
              <w:keepLines/>
              <w:spacing w:after="0" w:line="245" w:lineRule="auto"/>
            </w:pPr>
            <w:r>
              <w:rPr>
                <w:rFonts w:ascii="Calibri" w:hAnsi="Calibri"/>
                <w:b w:val="0"/>
                <w:color w:val="1F2937"/>
                <w:sz w:val="16"/>
              </w:rPr>
              <w:t>4.77e-7 s</w:t>
            </w:r>
          </w:p>
        </w:tc>
      </w:tr>
      <w:tr>
        <w:trPr>
          <w:cantSplit/>
        </w:trPr>
        <w:tc>
          <w:tcPr>
            <w:tcW w:type="dxa" w:w="144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color w:val="9B1C1C"/>
                <w:sz w:val="16"/>
              </w:rPr>
              <w:t>Audit_16</w:t>
            </w:r>
          </w:p>
        </w:tc>
        <w:tc>
          <w:tcPr>
            <w:tcW w:type="dxa" w:w="246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val="0"/>
                <w:color w:val="1F2937"/>
                <w:sz w:val="16"/>
              </w:rPr>
              <w:t>thirteenth_share</w:t>
            </w:r>
          </w:p>
        </w:tc>
        <w:tc>
          <w:tcPr>
            <w:tcW w:type="dxa" w:w="144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val="0"/>
                <w:color w:val="1F2937"/>
                <w:sz w:val="16"/>
              </w:rPr>
              <w:t>305</w:t>
            </w:r>
          </w:p>
        </w:tc>
        <w:tc>
          <w:tcPr>
            <w:tcW w:type="dxa" w:w="180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val="0"/>
                <w:color w:val="1F2937"/>
                <w:sz w:val="16"/>
              </w:rPr>
              <w:t>31</w:t>
            </w:r>
          </w:p>
        </w:tc>
        <w:tc>
          <w:tcPr>
            <w:tcW w:type="dxa" w:w="222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val="0"/>
                <w:color w:val="1F2937"/>
                <w:sz w:val="16"/>
              </w:rPr>
              <w:t>4.77e-7 s</w:t>
            </w:r>
          </w:p>
        </w:tc>
      </w:tr>
      <w:tr>
        <w:trPr>
          <w:cantSplit/>
        </w:trPr>
        <w:tc>
          <w:tcPr>
            <w:tcW w:type="dxa" w:w="144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shd w:fill="F2F4F7"/>
          </w:tcPr>
          <w:p>
            <w:pPr>
              <w:keepLines/>
              <w:spacing w:after="0" w:line="245" w:lineRule="auto"/>
            </w:pPr>
            <w:r>
              <w:rPr>
                <w:rFonts w:ascii="Calibri" w:hAnsi="Calibri"/>
                <w:b/>
                <w:color w:val="9B1C1C"/>
                <w:sz w:val="16"/>
              </w:rPr>
              <w:t>Audit_17</w:t>
            </w:r>
          </w:p>
        </w:tc>
        <w:tc>
          <w:tcPr>
            <w:tcW w:type="dxa" w:w="246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shd w:fill="F2F4F7"/>
          </w:tcPr>
          <w:p>
            <w:pPr>
              <w:keepLines/>
              <w:spacing w:after="0" w:line="245" w:lineRule="auto"/>
            </w:pPr>
            <w:r>
              <w:rPr>
                <w:rFonts w:ascii="Calibri" w:hAnsi="Calibri"/>
                <w:b w:val="0"/>
                <w:color w:val="1F2937"/>
                <w:sz w:val="16"/>
              </w:rPr>
              <w:t>twelfth_share</w:t>
            </w:r>
          </w:p>
        </w:tc>
        <w:tc>
          <w:tcPr>
            <w:tcW w:type="dxa" w:w="144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shd w:fill="F2F4F7"/>
          </w:tcPr>
          <w:p>
            <w:pPr>
              <w:keepLines/>
              <w:spacing w:after="0" w:line="245" w:lineRule="auto"/>
            </w:pPr>
            <w:r>
              <w:rPr>
                <w:rFonts w:ascii="Calibri" w:hAnsi="Calibri"/>
                <w:b w:val="0"/>
                <w:color w:val="1F2937"/>
                <w:sz w:val="16"/>
              </w:rPr>
              <w:t>220</w:t>
            </w:r>
          </w:p>
        </w:tc>
        <w:tc>
          <w:tcPr>
            <w:tcW w:type="dxa" w:w="180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shd w:fill="F2F4F7"/>
          </w:tcPr>
          <w:p>
            <w:pPr>
              <w:keepLines/>
              <w:spacing w:after="0" w:line="245" w:lineRule="auto"/>
            </w:pPr>
            <w:r>
              <w:rPr>
                <w:rFonts w:ascii="Calibri" w:hAnsi="Calibri"/>
                <w:b w:val="0"/>
                <w:color w:val="1F2937"/>
                <w:sz w:val="16"/>
              </w:rPr>
              <w:t>18</w:t>
            </w:r>
          </w:p>
        </w:tc>
        <w:tc>
          <w:tcPr>
            <w:tcW w:type="dxa" w:w="222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shd w:fill="F2F4F7"/>
          </w:tcPr>
          <w:p>
            <w:pPr>
              <w:keepLines/>
              <w:spacing w:after="0" w:line="245" w:lineRule="auto"/>
            </w:pPr>
            <w:r>
              <w:rPr>
                <w:rFonts w:ascii="Calibri" w:hAnsi="Calibri"/>
                <w:b w:val="0"/>
                <w:color w:val="1F2937"/>
                <w:sz w:val="16"/>
              </w:rPr>
              <w:t>4.77e-7 s</w:t>
            </w:r>
          </w:p>
        </w:tc>
      </w:tr>
    </w:tbl>
    <w:p>
      <w:pPr>
        <w:spacing w:after="0"/>
      </w:pPr>
    </w:p>
    <w:p>
      <w:pPr>
        <w:pStyle w:val="Heading2"/>
      </w:pPr>
      <w:r>
        <w:t>3.2 Frozen 72-model bank</w:t>
      </w:r>
    </w:p>
    <w:tbl>
      <w:tblPr>
        <w:tblStyle w:val="TableGrid"/>
        <w:tblW w:type="dxa" w:w="9360"/>
        <w:jc w:val="left"/>
        <w:tblLayout w:type="fixed"/>
        <w:tblLook w:firstColumn="1" w:firstRow="1" w:lastColumn="0" w:lastRow="0" w:noHBand="0" w:noVBand="1" w:val="04A0"/>
        <w:tblInd w:w="120" w:type="dxa"/>
      </w:tblPr>
      <w:tblGrid>
        <w:gridCol w:w="2520"/>
        <w:gridCol w:w="1260"/>
        <w:gridCol w:w="2160"/>
        <w:gridCol w:w="1260"/>
        <w:gridCol w:w="2160"/>
      </w:tblGrid>
      <w:tr>
        <w:trPr>
          <w:tblHeader w:val="true"/>
        </w:trPr>
        <w:tc>
          <w:tcPr>
            <w:tcW w:type="dxa" w:w="2520"/>
            <w:shd w:fill="0B2545"/>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vAlign w:val="center"/>
          </w:tcPr>
          <w:p>
            <w:pPr>
              <w:keepLines/>
              <w:spacing w:after="0" w:line="240" w:lineRule="auto"/>
            </w:pPr>
            <w:r>
              <w:rPr>
                <w:rFonts w:ascii="Calibri" w:hAnsi="Calibri"/>
                <w:b/>
                <w:color w:val="FFFFFF"/>
                <w:sz w:val="17"/>
              </w:rPr>
              <w:t>Outcome lane</w:t>
            </w:r>
          </w:p>
        </w:tc>
        <w:tc>
          <w:tcPr>
            <w:tcW w:type="dxa" w:w="1260"/>
            <w:shd w:fill="0B2545"/>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vAlign w:val="center"/>
          </w:tcPr>
          <w:p>
            <w:pPr>
              <w:keepLines/>
              <w:spacing w:after="0" w:line="240" w:lineRule="auto"/>
            </w:pPr>
            <w:r>
              <w:rPr>
                <w:rFonts w:ascii="Calibri" w:hAnsi="Calibri"/>
                <w:b/>
                <w:color w:val="FFFFFF"/>
                <w:sz w:val="17"/>
              </w:rPr>
              <w:t>Confirmation AUC</w:t>
            </w:r>
          </w:p>
        </w:tc>
        <w:tc>
          <w:tcPr>
            <w:tcW w:type="dxa" w:w="2160"/>
            <w:shd w:fill="0B2545"/>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vAlign w:val="center"/>
          </w:tcPr>
          <w:p>
            <w:pPr>
              <w:keepLines/>
              <w:spacing w:after="0" w:line="240" w:lineRule="auto"/>
            </w:pPr>
            <w:r>
              <w:rPr>
                <w:rFonts w:ascii="Calibri" w:hAnsi="Calibri"/>
                <w:b/>
                <w:color w:val="FFFFFF"/>
                <w:sz w:val="17"/>
              </w:rPr>
              <w:t>95% call-bootstrap interval</w:t>
            </w:r>
          </w:p>
        </w:tc>
        <w:tc>
          <w:tcPr>
            <w:tcW w:type="dxa" w:w="1260"/>
            <w:shd w:fill="0B2545"/>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vAlign w:val="center"/>
          </w:tcPr>
          <w:p>
            <w:pPr>
              <w:keepLines/>
              <w:spacing w:after="0" w:line="240" w:lineRule="auto"/>
            </w:pPr>
            <w:r>
              <w:rPr>
                <w:rFonts w:ascii="Calibri" w:hAnsi="Calibri"/>
                <w:b/>
                <w:color w:val="FFFFFF"/>
                <w:sz w:val="17"/>
              </w:rPr>
              <w:t>Max-72 p</w:t>
            </w:r>
          </w:p>
        </w:tc>
        <w:tc>
          <w:tcPr>
            <w:tcW w:type="dxa" w:w="2160"/>
            <w:shd w:fill="0B2545"/>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vAlign w:val="center"/>
          </w:tcPr>
          <w:p>
            <w:pPr>
              <w:keepLines/>
              <w:spacing w:after="0" w:line="240" w:lineRule="auto"/>
            </w:pPr>
            <w:r>
              <w:rPr>
                <w:rFonts w:ascii="Calibri" w:hAnsi="Calibri"/>
                <w:b/>
                <w:color w:val="FFFFFF"/>
                <w:sz w:val="17"/>
              </w:rPr>
              <w:t>Verdict</w:t>
            </w:r>
          </w:p>
        </w:tc>
      </w:tr>
      <w:tr>
        <w:trPr>
          <w:cantSplit/>
        </w:trPr>
        <w:tc>
          <w:tcPr>
            <w:tcW w:type="dxa" w:w="252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color w:val="9B1C1C"/>
                <w:sz w:val="16"/>
              </w:rPr>
              <w:t>Composite, strict</w:t>
            </w:r>
          </w:p>
        </w:tc>
        <w:tc>
          <w:tcPr>
            <w:tcW w:type="dxa" w:w="126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val="0"/>
                <w:color w:val="1F2937"/>
                <w:sz w:val="16"/>
              </w:rPr>
              <w:t>.5615</w:t>
            </w:r>
          </w:p>
        </w:tc>
        <w:tc>
          <w:tcPr>
            <w:tcW w:type="dxa" w:w="216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val="0"/>
                <w:color w:val="1F2937"/>
                <w:sz w:val="16"/>
              </w:rPr>
              <w:t>[.4757, .6535]</w:t>
            </w:r>
          </w:p>
        </w:tc>
        <w:tc>
          <w:tcPr>
            <w:tcW w:type="dxa" w:w="126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val="0"/>
                <w:color w:val="1F2937"/>
                <w:sz w:val="16"/>
              </w:rPr>
              <w:t>.7985</w:t>
            </w:r>
          </w:p>
        </w:tc>
        <w:tc>
          <w:tcPr>
            <w:tcW w:type="dxa" w:w="216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val="0"/>
                <w:color w:val="1F2937"/>
                <w:sz w:val="16"/>
              </w:rPr>
              <w:t>FAIL</w:t>
            </w:r>
          </w:p>
        </w:tc>
      </w:tr>
      <w:tr>
        <w:trPr>
          <w:cantSplit/>
        </w:trPr>
        <w:tc>
          <w:tcPr>
            <w:tcW w:type="dxa" w:w="252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shd w:fill="F2F4F7"/>
          </w:tcPr>
          <w:p>
            <w:pPr>
              <w:keepLines/>
              <w:spacing w:after="0" w:line="245" w:lineRule="auto"/>
            </w:pPr>
            <w:r>
              <w:rPr>
                <w:rFonts w:ascii="Calibri" w:hAnsi="Calibri"/>
                <w:b/>
                <w:color w:val="9B1C1C"/>
                <w:sz w:val="16"/>
              </w:rPr>
              <w:t>Composite, broad</w:t>
            </w:r>
          </w:p>
        </w:tc>
        <w:tc>
          <w:tcPr>
            <w:tcW w:type="dxa" w:w="126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shd w:fill="F2F4F7"/>
          </w:tcPr>
          <w:p>
            <w:pPr>
              <w:keepLines/>
              <w:spacing w:after="0" w:line="245" w:lineRule="auto"/>
            </w:pPr>
            <w:r>
              <w:rPr>
                <w:rFonts w:ascii="Calibri" w:hAnsi="Calibri"/>
                <w:b w:val="0"/>
                <w:color w:val="1F2937"/>
                <w:sz w:val="16"/>
              </w:rPr>
              <w:t>.5428</w:t>
            </w:r>
          </w:p>
        </w:tc>
        <w:tc>
          <w:tcPr>
            <w:tcW w:type="dxa" w:w="216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shd w:fill="F2F4F7"/>
          </w:tcPr>
          <w:p>
            <w:pPr>
              <w:keepLines/>
              <w:spacing w:after="0" w:line="245" w:lineRule="auto"/>
            </w:pPr>
            <w:r>
              <w:rPr>
                <w:rFonts w:ascii="Calibri" w:hAnsi="Calibri"/>
                <w:b w:val="0"/>
                <w:color w:val="1F2937"/>
                <w:sz w:val="16"/>
              </w:rPr>
              <w:t>[.4468, .5987]</w:t>
            </w:r>
          </w:p>
        </w:tc>
        <w:tc>
          <w:tcPr>
            <w:tcW w:type="dxa" w:w="126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shd w:fill="F2F4F7"/>
          </w:tcPr>
          <w:p>
            <w:pPr>
              <w:keepLines/>
              <w:spacing w:after="0" w:line="245" w:lineRule="auto"/>
            </w:pPr>
            <w:r>
              <w:rPr>
                <w:rFonts w:ascii="Calibri" w:hAnsi="Calibri"/>
                <w:b w:val="0"/>
                <w:color w:val="1F2937"/>
                <w:sz w:val="16"/>
              </w:rPr>
              <w:t>.9345</w:t>
            </w:r>
          </w:p>
        </w:tc>
        <w:tc>
          <w:tcPr>
            <w:tcW w:type="dxa" w:w="216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shd w:fill="F2F4F7"/>
          </w:tcPr>
          <w:p>
            <w:pPr>
              <w:keepLines/>
              <w:spacing w:after="0" w:line="245" w:lineRule="auto"/>
            </w:pPr>
            <w:r>
              <w:rPr>
                <w:rFonts w:ascii="Calibri" w:hAnsi="Calibri"/>
                <w:b w:val="0"/>
                <w:color w:val="1F2937"/>
                <w:sz w:val="16"/>
              </w:rPr>
              <w:t>FAIL</w:t>
            </w:r>
          </w:p>
        </w:tc>
      </w:tr>
      <w:tr>
        <w:trPr>
          <w:cantSplit/>
        </w:trPr>
        <w:tc>
          <w:tcPr>
            <w:tcW w:type="dxa" w:w="252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color w:val="9B1C1C"/>
                <w:sz w:val="16"/>
              </w:rPr>
              <w:t>Input Checking</w:t>
            </w:r>
          </w:p>
        </w:tc>
        <w:tc>
          <w:tcPr>
            <w:tcW w:type="dxa" w:w="126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val="0"/>
                <w:color w:val="1F2937"/>
                <w:sz w:val="16"/>
              </w:rPr>
              <w:t>.5186</w:t>
            </w:r>
          </w:p>
        </w:tc>
        <w:tc>
          <w:tcPr>
            <w:tcW w:type="dxa" w:w="216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val="0"/>
                <w:color w:val="1F2937"/>
                <w:sz w:val="16"/>
              </w:rPr>
              <w:t>[.4926, .5353]</w:t>
            </w:r>
          </w:p>
        </w:tc>
        <w:tc>
          <w:tcPr>
            <w:tcW w:type="dxa" w:w="126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val="0"/>
                <w:color w:val="1F2937"/>
                <w:sz w:val="16"/>
              </w:rPr>
              <w:t>.8760</w:t>
            </w:r>
          </w:p>
        </w:tc>
        <w:tc>
          <w:tcPr>
            <w:tcW w:type="dxa" w:w="216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val="0"/>
                <w:color w:val="1F2937"/>
                <w:sz w:val="16"/>
              </w:rPr>
              <w:t>FAIL</w:t>
            </w:r>
          </w:p>
        </w:tc>
      </w:tr>
      <w:tr>
        <w:trPr>
          <w:cantSplit/>
        </w:trPr>
        <w:tc>
          <w:tcPr>
            <w:tcW w:type="dxa" w:w="252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shd w:fill="F2F4F7"/>
          </w:tcPr>
          <w:p>
            <w:pPr>
              <w:keepLines/>
              <w:spacing w:after="0" w:line="245" w:lineRule="auto"/>
            </w:pPr>
            <w:r>
              <w:rPr>
                <w:rFonts w:ascii="Calibri" w:hAnsi="Calibri"/>
                <w:b/>
                <w:color w:val="9B1C1C"/>
                <w:sz w:val="16"/>
              </w:rPr>
              <w:t>Output Checking</w:t>
            </w:r>
          </w:p>
        </w:tc>
        <w:tc>
          <w:tcPr>
            <w:tcW w:type="dxa" w:w="126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shd w:fill="F2F4F7"/>
          </w:tcPr>
          <w:p>
            <w:pPr>
              <w:keepLines/>
              <w:spacing w:after="0" w:line="245" w:lineRule="auto"/>
            </w:pPr>
            <w:r>
              <w:rPr>
                <w:rFonts w:ascii="Calibri" w:hAnsi="Calibri"/>
                <w:b w:val="0"/>
                <w:color w:val="1F2937"/>
                <w:sz w:val="16"/>
              </w:rPr>
              <w:t>.5161</w:t>
            </w:r>
          </w:p>
        </w:tc>
        <w:tc>
          <w:tcPr>
            <w:tcW w:type="dxa" w:w="216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shd w:fill="F2F4F7"/>
          </w:tcPr>
          <w:p>
            <w:pPr>
              <w:keepLines/>
              <w:spacing w:after="0" w:line="245" w:lineRule="auto"/>
            </w:pPr>
            <w:r>
              <w:rPr>
                <w:rFonts w:ascii="Calibri" w:hAnsi="Calibri"/>
                <w:b w:val="0"/>
                <w:color w:val="1F2937"/>
                <w:sz w:val="16"/>
              </w:rPr>
              <w:t>[.4917, .5349]</w:t>
            </w:r>
          </w:p>
        </w:tc>
        <w:tc>
          <w:tcPr>
            <w:tcW w:type="dxa" w:w="126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shd w:fill="F2F4F7"/>
          </w:tcPr>
          <w:p>
            <w:pPr>
              <w:keepLines/>
              <w:spacing w:after="0" w:line="245" w:lineRule="auto"/>
            </w:pPr>
            <w:r>
              <w:rPr>
                <w:rFonts w:ascii="Calibri" w:hAnsi="Calibri"/>
                <w:b w:val="0"/>
                <w:color w:val="1F2937"/>
                <w:sz w:val="16"/>
              </w:rPr>
              <w:t>.8725</w:t>
            </w:r>
          </w:p>
        </w:tc>
        <w:tc>
          <w:tcPr>
            <w:tcW w:type="dxa" w:w="216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shd w:fill="F2F4F7"/>
          </w:tcPr>
          <w:p>
            <w:pPr>
              <w:keepLines/>
              <w:spacing w:after="0" w:line="245" w:lineRule="auto"/>
            </w:pPr>
            <w:r>
              <w:rPr>
                <w:rFonts w:ascii="Calibri" w:hAnsi="Calibri"/>
                <w:b w:val="0"/>
                <w:color w:val="1F2937"/>
                <w:sz w:val="16"/>
              </w:rPr>
              <w:t>FAIL</w:t>
            </w:r>
          </w:p>
        </w:tc>
      </w:tr>
      <w:tr>
        <w:trPr>
          <w:cantSplit/>
        </w:trPr>
        <w:tc>
          <w:tcPr>
            <w:tcW w:type="dxa" w:w="252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color w:val="9B1C1C"/>
                <w:sz w:val="16"/>
              </w:rPr>
              <w:t>Missing output</w:t>
            </w:r>
          </w:p>
        </w:tc>
        <w:tc>
          <w:tcPr>
            <w:tcW w:type="dxa" w:w="126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val="0"/>
                <w:color w:val="1F2937"/>
                <w:sz w:val="16"/>
              </w:rPr>
              <w:t>.5452</w:t>
            </w:r>
          </w:p>
        </w:tc>
        <w:tc>
          <w:tcPr>
            <w:tcW w:type="dxa" w:w="216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val="0"/>
                <w:color w:val="1F2937"/>
                <w:sz w:val="16"/>
              </w:rPr>
              <w:t>[.4814, .5807]</w:t>
            </w:r>
          </w:p>
        </w:tc>
        <w:tc>
          <w:tcPr>
            <w:tcW w:type="dxa" w:w="126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val="0"/>
                <w:color w:val="1F2937"/>
                <w:sz w:val="16"/>
              </w:rPr>
              <w:t>.6185</w:t>
            </w:r>
          </w:p>
        </w:tc>
        <w:tc>
          <w:tcPr>
            <w:tcW w:type="dxa" w:w="216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val="0"/>
                <w:color w:val="1F2937"/>
                <w:sz w:val="16"/>
              </w:rPr>
              <w:t>FAIL</w:t>
            </w:r>
          </w:p>
        </w:tc>
      </w:tr>
    </w:tbl>
    <w:p>
      <w:pPr>
        <w:spacing w:after="0"/>
      </w:pPr>
    </w:p>
    <w:p>
      <w:pPr>
        <w:keepLines w:val="0"/>
        <w:spacing w:before="0" w:after="120" w:line="264" w:lineRule="auto"/>
      </w:pPr>
      <w:r>
        <w:rPr>
          <w:rFonts w:ascii="Calibri" w:hAnsi="Calibri"/>
          <w:i w:val="0"/>
          <w:color w:val="1F2937"/>
        </w:rPr>
        <w:t>No lane reached AUC .60; no bootstrap lower bound exceeded .50; no lane passed its max-family permutation test. The 24-&gt;12-&gt;6 hierarchy also failed after family and lane correction. One diagonal index through C6 x C4 visits 12 states, not the full 24-state product, unless an independent offset coordinate is declared. [S2-S3]</w:t>
      </w:r>
    </w:p>
    <w:p>
      <w:pPr>
        <w:pStyle w:val="Heading2"/>
      </w:pPr>
      <w:r>
        <w:t>3.3 The surviving q=39 lead</w:t>
      </w:r>
    </w:p>
    <w:tbl>
      <w:tblPr>
        <w:tblStyle w:val="TableGrid"/>
        <w:tblW w:type="dxa" w:w="9360"/>
        <w:jc w:val="left"/>
        <w:tblLayout w:type="fixed"/>
        <w:tblLook w:firstColumn="1" w:firstRow="1" w:lastColumn="0" w:lastRow="0" w:noHBand="0" w:noVBand="1" w:val="04A0"/>
        <w:tblInd w:w="120" w:type="dxa"/>
      </w:tblPr>
      <w:tblGrid>
        <w:gridCol w:w="2160"/>
        <w:gridCol w:w="1080"/>
        <w:gridCol w:w="1620"/>
        <w:gridCol w:w="1260"/>
        <w:gridCol w:w="3240"/>
      </w:tblGrid>
      <w:tr>
        <w:trPr>
          <w:tblHeader w:val="true"/>
        </w:trPr>
        <w:tc>
          <w:tcPr>
            <w:tcW w:type="dxa" w:w="2160"/>
            <w:shd w:fill="0B2545"/>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vAlign w:val="center"/>
          </w:tcPr>
          <w:p>
            <w:pPr>
              <w:keepLines/>
              <w:spacing w:after="0" w:line="240" w:lineRule="auto"/>
            </w:pPr>
            <w:r>
              <w:rPr>
                <w:rFonts w:ascii="Calibri" w:hAnsi="Calibri"/>
                <w:b/>
                <w:color w:val="FFFFFF"/>
                <w:sz w:val="17"/>
              </w:rPr>
              <w:t>Arrival transition</w:t>
            </w:r>
          </w:p>
        </w:tc>
        <w:tc>
          <w:tcPr>
            <w:tcW w:type="dxa" w:w="1080"/>
            <w:shd w:fill="0B2545"/>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vAlign w:val="center"/>
          </w:tcPr>
          <w:p>
            <w:pPr>
              <w:keepLines/>
              <w:spacing w:after="0" w:line="240" w:lineRule="auto"/>
            </w:pPr>
            <w:r>
              <w:rPr>
                <w:rFonts w:ascii="Calibri" w:hAnsi="Calibri"/>
                <w:b/>
                <w:color w:val="FFFFFF"/>
                <w:sz w:val="17"/>
              </w:rPr>
              <w:t>Missing</w:t>
            </w:r>
          </w:p>
        </w:tc>
        <w:tc>
          <w:tcPr>
            <w:tcW w:type="dxa" w:w="1620"/>
            <w:shd w:fill="0B2545"/>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vAlign w:val="center"/>
          </w:tcPr>
          <w:p>
            <w:pPr>
              <w:keepLines/>
              <w:spacing w:after="0" w:line="240" w:lineRule="auto"/>
            </w:pPr>
            <w:r>
              <w:rPr>
                <w:rFonts w:ascii="Calibri" w:hAnsi="Calibri"/>
                <w:b/>
                <w:color w:val="FFFFFF"/>
                <w:sz w:val="17"/>
              </w:rPr>
              <w:t>Opportunities</w:t>
            </w:r>
          </w:p>
        </w:tc>
        <w:tc>
          <w:tcPr>
            <w:tcW w:type="dxa" w:w="1260"/>
            <w:shd w:fill="0B2545"/>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vAlign w:val="center"/>
          </w:tcPr>
          <w:p>
            <w:pPr>
              <w:keepLines/>
              <w:spacing w:after="0" w:line="240" w:lineRule="auto"/>
            </w:pPr>
            <w:r>
              <w:rPr>
                <w:rFonts w:ascii="Calibri" w:hAnsi="Calibri"/>
                <w:b/>
                <w:color w:val="FFFFFF"/>
                <w:sz w:val="17"/>
              </w:rPr>
              <w:t>Risk</w:t>
            </w:r>
          </w:p>
        </w:tc>
        <w:tc>
          <w:tcPr>
            <w:tcW w:type="dxa" w:w="3240"/>
            <w:shd w:fill="0B2545"/>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vAlign w:val="center"/>
          </w:tcPr>
          <w:p>
            <w:pPr>
              <w:keepLines/>
              <w:spacing w:after="0" w:line="240" w:lineRule="auto"/>
            </w:pPr>
            <w:r>
              <w:rPr>
                <w:rFonts w:ascii="Calibri" w:hAnsi="Calibri"/>
                <w:b/>
                <w:color w:val="FFFFFF"/>
                <w:sz w:val="17"/>
              </w:rPr>
              <w:t>Interpretation</w:t>
            </w:r>
          </w:p>
        </w:tc>
      </w:tr>
      <w:tr>
        <w:trPr>
          <w:cantSplit/>
        </w:trPr>
        <w:tc>
          <w:tcPr>
            <w:tcW w:type="dxa" w:w="216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color w:val="B43B8F"/>
                <w:sz w:val="16"/>
              </w:rPr>
              <w:t>+14 cross-strand slip</w:t>
            </w:r>
          </w:p>
        </w:tc>
        <w:tc>
          <w:tcPr>
            <w:tcW w:type="dxa" w:w="108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val="0"/>
                <w:color w:val="1F2937"/>
                <w:sz w:val="16"/>
              </w:rPr>
              <w:t>4</w:t>
            </w:r>
          </w:p>
        </w:tc>
        <w:tc>
          <w:tcPr>
            <w:tcW w:type="dxa" w:w="162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val="0"/>
                <w:color w:val="1F2937"/>
                <w:sz w:val="16"/>
              </w:rPr>
              <w:t>634</w:t>
            </w:r>
          </w:p>
        </w:tc>
        <w:tc>
          <w:tcPr>
            <w:tcW w:type="dxa" w:w="126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val="0"/>
                <w:color w:val="1F2937"/>
                <w:sz w:val="16"/>
              </w:rPr>
              <w:t>0.63%</w:t>
            </w:r>
          </w:p>
        </w:tc>
        <w:tc>
          <w:tcPr>
            <w:tcW w:type="dxa" w:w="324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val="0"/>
                <w:color w:val="1F2937"/>
                <w:sz w:val="16"/>
              </w:rPr>
              <w:t>Lower missing-output risk</w:t>
            </w:r>
          </w:p>
        </w:tc>
      </w:tr>
      <w:tr>
        <w:trPr>
          <w:cantSplit/>
        </w:trPr>
        <w:tc>
          <w:tcPr>
            <w:tcW w:type="dxa" w:w="216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shd w:fill="F2F4F7"/>
          </w:tcPr>
          <w:p>
            <w:pPr>
              <w:keepLines/>
              <w:spacing w:after="0" w:line="245" w:lineRule="auto"/>
            </w:pPr>
            <w:r>
              <w:rPr>
                <w:rFonts w:ascii="Calibri" w:hAnsi="Calibri"/>
                <w:b/>
                <w:color w:val="B43B8F"/>
                <w:sz w:val="16"/>
              </w:rPr>
              <w:t>+15 same-strand step</w:t>
            </w:r>
          </w:p>
        </w:tc>
        <w:tc>
          <w:tcPr>
            <w:tcW w:type="dxa" w:w="108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shd w:fill="F2F4F7"/>
          </w:tcPr>
          <w:p>
            <w:pPr>
              <w:keepLines/>
              <w:spacing w:after="0" w:line="245" w:lineRule="auto"/>
            </w:pPr>
            <w:r>
              <w:rPr>
                <w:rFonts w:ascii="Calibri" w:hAnsi="Calibri"/>
                <w:b w:val="0"/>
                <w:color w:val="1F2937"/>
                <w:sz w:val="16"/>
              </w:rPr>
              <w:t>142</w:t>
            </w:r>
          </w:p>
        </w:tc>
        <w:tc>
          <w:tcPr>
            <w:tcW w:type="dxa" w:w="162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shd w:fill="F2F4F7"/>
          </w:tcPr>
          <w:p>
            <w:pPr>
              <w:keepLines/>
              <w:spacing w:after="0" w:line="245" w:lineRule="auto"/>
            </w:pPr>
            <w:r>
              <w:rPr>
                <w:rFonts w:ascii="Calibri" w:hAnsi="Calibri"/>
                <w:b w:val="0"/>
                <w:color w:val="1F2937"/>
                <w:sz w:val="16"/>
              </w:rPr>
              <w:t>5,417</w:t>
            </w:r>
          </w:p>
        </w:tc>
        <w:tc>
          <w:tcPr>
            <w:tcW w:type="dxa" w:w="126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shd w:fill="F2F4F7"/>
          </w:tcPr>
          <w:p>
            <w:pPr>
              <w:keepLines/>
              <w:spacing w:after="0" w:line="245" w:lineRule="auto"/>
            </w:pPr>
            <w:r>
              <w:rPr>
                <w:rFonts w:ascii="Calibri" w:hAnsi="Calibri"/>
                <w:b w:val="0"/>
                <w:color w:val="1F2937"/>
                <w:sz w:val="16"/>
              </w:rPr>
              <w:t>2.62%</w:t>
            </w:r>
          </w:p>
        </w:tc>
        <w:tc>
          <w:tcPr>
            <w:tcW w:type="dxa" w:w="324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shd w:fill="F2F4F7"/>
          </w:tcPr>
          <w:p>
            <w:pPr>
              <w:keepLines/>
              <w:spacing w:after="0" w:line="245" w:lineRule="auto"/>
            </w:pPr>
            <w:r>
              <w:rPr>
                <w:rFonts w:ascii="Calibri" w:hAnsi="Calibri"/>
                <w:b w:val="0"/>
                <w:color w:val="1F2937"/>
                <w:sz w:val="16"/>
              </w:rPr>
              <w:t>Higher missing-output risk</w:t>
            </w:r>
          </w:p>
        </w:tc>
      </w:tr>
    </w:tbl>
    <w:p>
      <w:pPr>
        <w:spacing w:after="0"/>
      </w:pPr>
    </w:p>
    <w:p>
      <w:pPr>
        <w:keepLines w:val="0"/>
        <w:spacing w:before="0" w:after="120" w:line="264" w:lineRule="auto"/>
      </w:pPr>
      <w:r>
        <w:rPr>
          <w:rFonts w:ascii="Calibri" w:hAnsi="Calibri"/>
          <w:i w:val="0"/>
          <w:color w:val="1F2937"/>
        </w:rPr>
        <w:t>In the confirmation half, the q=39 screen-family p-value was .00110 and Holm across lanes was .00440. The effect survived leave-one-call-out, duplicate exclusion, wrapper exclusion, origin scanning, and nearby-q scanning. [S2-S3]</w:t>
      </w:r>
    </w:p>
    <w:p>
      <w:pPr>
        <w:keepLines w:val="0"/>
        <w:spacing w:before="0" w:after="120" w:line="264" w:lineRule="auto"/>
      </w:pPr>
      <w:r>
        <w:rPr>
          <w:rFonts w:ascii="Calibri" w:hAnsi="Calibri"/>
          <w:i w:val="0"/>
          <w:color w:val="1F2937"/>
        </w:rPr>
        <w:t>It still does not establish a mechanism. The discovery half pointed in the opposite direction; all 40 unique calls were null (screen-family p=.2129); and the source-defined departing transition d_n was null (raw p=.184). The association appears at arriving d_(n-1). The only defensible status is a precise prospective lead: freeze q=39, origin, lag -1, missing-output endpoint, and the predicted lower +14 risk before collecting new calls. [S2-S3]</w:t>
      </w:r>
    </w:p>
    <w:p>
      <w:pPr>
        <w:pStyle w:val="Heading1"/>
      </w:pPr>
      <w:r>
        <w:t>4. Quotient loss and return residual</w:t>
      </w:r>
    </w:p>
    <w:p>
      <w:pPr>
        <w:keepLines w:val="0"/>
        <w:spacing w:before="0" w:after="120" w:line="264" w:lineRule="auto"/>
      </w:pPr>
      <w:r>
        <w:rPr>
          <w:rFonts w:ascii="Calibri" w:hAnsi="Calibri"/>
          <w:i w:val="0"/>
          <w:color w:val="1F2937"/>
        </w:rPr>
        <w:t>The mathematical review separates a static question - can later source distinctions be reconstructed? - from a dynamical question - does a reduced state determine the next reduced state? The packet answers much of the first and none of the second. [S4, S8-S9]</w:t>
      </w:r>
    </w:p>
    <w:tbl>
      <w:tblPr>
        <w:tblStyle w:val="TableGrid"/>
        <w:tblW w:type="dxa" w:w="9360"/>
        <w:jc w:val="left"/>
        <w:tblLayout w:type="fixed"/>
        <w:tblLook w:firstColumn="1" w:firstRow="1" w:lastColumn="0" w:lastRow="0" w:noHBand="0" w:noVBand="1" w:val="04A0"/>
        <w:tblInd w:w="120" w:type="dxa"/>
      </w:tblPr>
      <w:tblGrid>
        <w:gridCol w:w="900"/>
        <w:gridCol w:w="2520"/>
        <w:gridCol w:w="3720"/>
        <w:gridCol w:w="2220"/>
      </w:tblGrid>
      <w:tr>
        <w:trPr>
          <w:tblHeader w:val="true"/>
        </w:trPr>
        <w:tc>
          <w:tcPr>
            <w:tcW w:type="dxa" w:w="900"/>
            <w:shd w:fill="0B2545"/>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vAlign w:val="center"/>
          </w:tcPr>
          <w:p>
            <w:pPr>
              <w:keepLines/>
              <w:spacing w:after="0" w:line="240" w:lineRule="auto"/>
            </w:pPr>
            <w:r>
              <w:rPr>
                <w:rFonts w:ascii="Calibri" w:hAnsi="Calibri"/>
                <w:b/>
                <w:color w:val="FFFFFF"/>
                <w:sz w:val="17"/>
              </w:rPr>
              <w:t>Map</w:t>
            </w:r>
          </w:p>
        </w:tc>
        <w:tc>
          <w:tcPr>
            <w:tcW w:type="dxa" w:w="2520"/>
            <w:shd w:fill="0B2545"/>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vAlign w:val="center"/>
          </w:tcPr>
          <w:p>
            <w:pPr>
              <w:keepLines/>
              <w:spacing w:after="0" w:line="240" w:lineRule="auto"/>
            </w:pPr>
            <w:r>
              <w:rPr>
                <w:rFonts w:ascii="Calibri" w:hAnsi="Calibri"/>
                <w:b/>
                <w:color w:val="FFFFFF"/>
                <w:sz w:val="17"/>
              </w:rPr>
              <w:t>Projection</w:t>
            </w:r>
          </w:p>
        </w:tc>
        <w:tc>
          <w:tcPr>
            <w:tcW w:type="dxa" w:w="3720"/>
            <w:shd w:fill="0B2545"/>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vAlign w:val="center"/>
          </w:tcPr>
          <w:p>
            <w:pPr>
              <w:keepLines/>
              <w:spacing w:after="0" w:line="240" w:lineRule="auto"/>
            </w:pPr>
            <w:r>
              <w:rPr>
                <w:rFonts w:ascii="Calibri" w:hAnsi="Calibri"/>
                <w:b/>
                <w:color w:val="FFFFFF"/>
                <w:sz w:val="17"/>
              </w:rPr>
              <w:t>Located loss or residual</w:t>
            </w:r>
          </w:p>
        </w:tc>
        <w:tc>
          <w:tcPr>
            <w:tcW w:type="dxa" w:w="2220"/>
            <w:shd w:fill="0B2545"/>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vAlign w:val="center"/>
          </w:tcPr>
          <w:p>
            <w:pPr>
              <w:keepLines/>
              <w:spacing w:after="0" w:line="240" w:lineRule="auto"/>
            </w:pPr>
            <w:r>
              <w:rPr>
                <w:rFonts w:ascii="Calibri" w:hAnsi="Calibri"/>
                <w:b/>
                <w:color w:val="FFFFFF"/>
                <w:sz w:val="17"/>
              </w:rPr>
              <w:t>Status</w:t>
            </w:r>
          </w:p>
        </w:tc>
      </w:tr>
      <w:tr>
        <w:trPr>
          <w:cantSplit/>
        </w:trPr>
        <w:tc>
          <w:tcPr>
            <w:tcW w:type="dxa" w:w="90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color w:val="9A6B00"/>
                <w:sz w:val="16"/>
              </w:rPr>
              <w:t>Q0</w:t>
            </w:r>
          </w:p>
        </w:tc>
        <w:tc>
          <w:tcPr>
            <w:tcW w:type="dxa" w:w="252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val="0"/>
                <w:color w:val="1F2937"/>
                <w:sz w:val="16"/>
              </w:rPr>
              <w:t>Hydrated payload -&gt; transcript</w:t>
            </w:r>
          </w:p>
        </w:tc>
        <w:tc>
          <w:tcPr>
            <w:tcW w:type="dxa" w:w="372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val="0"/>
                <w:color w:val="1F2937"/>
                <w:sz w:val="16"/>
              </w:rPr>
              <w:t>Hydrated source unavailable; absolute earliest upstream loss unresolved</w:t>
            </w:r>
          </w:p>
        </w:tc>
        <w:tc>
          <w:tcPr>
            <w:tcW w:type="dxa" w:w="222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val="0"/>
                <w:color w:val="1F2937"/>
                <w:sz w:val="16"/>
              </w:rPr>
              <w:t>IRREVERSIBLE LOCALLY</w:t>
            </w:r>
          </w:p>
        </w:tc>
      </w:tr>
      <w:tr>
        <w:trPr>
          <w:cantSplit/>
        </w:trPr>
        <w:tc>
          <w:tcPr>
            <w:tcW w:type="dxa" w:w="90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shd w:fill="F2F4F7"/>
          </w:tcPr>
          <w:p>
            <w:pPr>
              <w:keepLines/>
              <w:spacing w:after="0" w:line="245" w:lineRule="auto"/>
            </w:pPr>
            <w:r>
              <w:rPr>
                <w:rFonts w:ascii="Calibri" w:hAnsi="Calibri"/>
                <w:b/>
                <w:color w:val="9A6B00"/>
                <w:sz w:val="16"/>
              </w:rPr>
              <w:t>Q1</w:t>
            </w:r>
          </w:p>
        </w:tc>
        <w:tc>
          <w:tcPr>
            <w:tcW w:type="dxa" w:w="252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shd w:fill="F2F4F7"/>
          </w:tcPr>
          <w:p>
            <w:pPr>
              <w:keepLines/>
              <w:spacing w:after="0" w:line="245" w:lineRule="auto"/>
            </w:pPr>
            <w:r>
              <w:rPr>
                <w:rFonts w:ascii="Calibri" w:hAnsi="Calibri"/>
                <w:b w:val="0"/>
                <w:color w:val="1F2937"/>
                <w:sz w:val="16"/>
              </w:rPr>
              <w:t>Transcript -&gt; compact view</w:t>
            </w:r>
          </w:p>
        </w:tc>
        <w:tc>
          <w:tcPr>
            <w:tcW w:type="dxa" w:w="372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shd w:fill="F2F4F7"/>
          </w:tcPr>
          <w:p>
            <w:pPr>
              <w:keepLines/>
              <w:spacing w:after="0" w:line="245" w:lineRule="auto"/>
            </w:pPr>
            <w:r>
              <w:rPr>
                <w:rFonts w:ascii="Calibri" w:hAnsi="Calibri"/>
                <w:b w:val="0"/>
                <w:color w:val="1F2937"/>
                <w:sz w:val="16"/>
              </w:rPr>
              <w:t>4,282 blank nodes removed from 20,715</w:t>
            </w:r>
          </w:p>
        </w:tc>
        <w:tc>
          <w:tcPr>
            <w:tcW w:type="dxa" w:w="222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shd w:fill="F2F4F7"/>
          </w:tcPr>
          <w:p>
            <w:pPr>
              <w:keepLines/>
              <w:spacing w:after="0" w:line="245" w:lineRule="auto"/>
            </w:pPr>
            <w:r>
              <w:rPr>
                <w:rFonts w:ascii="Calibri" w:hAnsi="Calibri"/>
                <w:b w:val="0"/>
                <w:color w:val="1F2937"/>
                <w:sz w:val="16"/>
              </w:rPr>
              <w:t>RECONSTRUCTIBLE</w:t>
            </w:r>
          </w:p>
        </w:tc>
      </w:tr>
      <w:tr>
        <w:trPr>
          <w:cantSplit/>
        </w:trPr>
        <w:tc>
          <w:tcPr>
            <w:tcW w:type="dxa" w:w="90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color w:val="9A6B00"/>
                <w:sz w:val="16"/>
              </w:rPr>
              <w:t>Q2</w:t>
            </w:r>
          </w:p>
        </w:tc>
        <w:tc>
          <w:tcPr>
            <w:tcW w:type="dxa" w:w="252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val="0"/>
                <w:color w:val="1F2937"/>
                <w:sz w:val="16"/>
              </w:rPr>
              <w:t>Opportunity v1 -&gt; v2</w:t>
            </w:r>
          </w:p>
        </w:tc>
        <w:tc>
          <w:tcPr>
            <w:tcW w:type="dxa" w:w="372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val="0"/>
                <w:color w:val="1F2937"/>
                <w:sz w:val="16"/>
              </w:rPr>
              <w:t>342 vs 422; symmetric difference 102; Jaccard .764434</w:t>
            </w:r>
          </w:p>
        </w:tc>
        <w:tc>
          <w:tcPr>
            <w:tcW w:type="dxa" w:w="222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val="0"/>
                <w:color w:val="1F2937"/>
                <w:sz w:val="16"/>
              </w:rPr>
              <w:t>RECONSTRUCTIBLE</w:t>
            </w:r>
          </w:p>
        </w:tc>
      </w:tr>
      <w:tr>
        <w:trPr>
          <w:cantSplit/>
        </w:trPr>
        <w:tc>
          <w:tcPr>
            <w:tcW w:type="dxa" w:w="90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shd w:fill="F2F4F7"/>
          </w:tcPr>
          <w:p>
            <w:pPr>
              <w:keepLines/>
              <w:spacing w:after="0" w:line="245" w:lineRule="auto"/>
            </w:pPr>
            <w:r>
              <w:rPr>
                <w:rFonts w:ascii="Calibri" w:hAnsi="Calibri"/>
                <w:b/>
                <w:color w:val="9A6B00"/>
                <w:sz w:val="16"/>
              </w:rPr>
              <w:t>Q3</w:t>
            </w:r>
          </w:p>
        </w:tc>
        <w:tc>
          <w:tcPr>
            <w:tcW w:type="dxa" w:w="252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shd w:fill="F2F4F7"/>
          </w:tcPr>
          <w:p>
            <w:pPr>
              <w:keepLines/>
              <w:spacing w:after="0" w:line="245" w:lineRule="auto"/>
            </w:pPr>
            <w:r>
              <w:rPr>
                <w:rFonts w:ascii="Calibri" w:hAnsi="Calibri"/>
                <w:b w:val="0"/>
                <w:color w:val="1F2937"/>
                <w:sz w:val="16"/>
              </w:rPr>
              <w:t>Components -&gt; composite failure</w:t>
            </w:r>
          </w:p>
        </w:tc>
        <w:tc>
          <w:tcPr>
            <w:tcW w:type="dxa" w:w="372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shd w:fill="F2F4F7"/>
          </w:tcPr>
          <w:p>
            <w:pPr>
              <w:keepLines/>
              <w:spacing w:after="0" w:line="245" w:lineRule="auto"/>
            </w:pPr>
            <w:r>
              <w:rPr>
                <w:rFonts w:ascii="Calibri" w:hAnsi="Calibri"/>
                <w:b w:val="0"/>
                <w:color w:val="1F2937"/>
                <w:sz w:val="16"/>
              </w:rPr>
              <w:t>148 failures from 11 source vectors; 258 nonfailures from 2</w:t>
            </w:r>
          </w:p>
        </w:tc>
        <w:tc>
          <w:tcPr>
            <w:tcW w:type="dxa" w:w="222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shd w:fill="F2F4F7"/>
          </w:tcPr>
          <w:p>
            <w:pPr>
              <w:keepLines/>
              <w:spacing w:after="0" w:line="245" w:lineRule="auto"/>
            </w:pPr>
            <w:r>
              <w:rPr>
                <w:rFonts w:ascii="Calibri" w:hAnsi="Calibri"/>
                <w:b w:val="0"/>
                <w:color w:val="1F2937"/>
                <w:sz w:val="16"/>
              </w:rPr>
              <w:t>NONINJECTIVE</w:t>
            </w:r>
          </w:p>
        </w:tc>
      </w:tr>
      <w:tr>
        <w:trPr>
          <w:cantSplit/>
        </w:trPr>
        <w:tc>
          <w:tcPr>
            <w:tcW w:type="dxa" w:w="90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color w:val="9A6B00"/>
                <w:sz w:val="16"/>
              </w:rPr>
              <w:t>Q4</w:t>
            </w:r>
          </w:p>
        </w:tc>
        <w:tc>
          <w:tcPr>
            <w:tcW w:type="dxa" w:w="252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val="0"/>
                <w:color w:val="1F2937"/>
                <w:sz w:val="16"/>
              </w:rPr>
              <w:t>All Checking -&gt; active preamble</w:t>
            </w:r>
          </w:p>
        </w:tc>
        <w:tc>
          <w:tcPr>
            <w:tcW w:type="dxa" w:w="372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val="0"/>
                <w:color w:val="1F2937"/>
                <w:sz w:val="16"/>
              </w:rPr>
              <w:t>1,017 tokens -&gt; 942; 75 excluded tokens remain occurrences</w:t>
            </w:r>
          </w:p>
        </w:tc>
        <w:tc>
          <w:tcPr>
            <w:tcW w:type="dxa" w:w="222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val="0"/>
                <w:color w:val="1F2937"/>
                <w:sz w:val="16"/>
              </w:rPr>
              <w:t>RECONSTRUCTIBLE</w:t>
            </w:r>
          </w:p>
        </w:tc>
      </w:tr>
      <w:tr>
        <w:trPr>
          <w:cantSplit/>
        </w:trPr>
        <w:tc>
          <w:tcPr>
            <w:tcW w:type="dxa" w:w="90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shd w:fill="F2F4F7"/>
          </w:tcPr>
          <w:p>
            <w:pPr>
              <w:keepLines/>
              <w:spacing w:after="0" w:line="245" w:lineRule="auto"/>
            </w:pPr>
            <w:r>
              <w:rPr>
                <w:rFonts w:ascii="Calibri" w:hAnsi="Calibri"/>
                <w:b/>
                <w:color w:val="9A6B00"/>
                <w:sz w:val="16"/>
              </w:rPr>
              <w:t>Q5</w:t>
            </w:r>
          </w:p>
        </w:tc>
        <w:tc>
          <w:tcPr>
            <w:tcW w:type="dxa" w:w="252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shd w:fill="F2F4F7"/>
          </w:tcPr>
          <w:p>
            <w:pPr>
              <w:keepLines/>
              <w:spacing w:after="0" w:line="245" w:lineRule="auto"/>
            </w:pPr>
            <w:r>
              <w:rPr>
                <w:rFonts w:ascii="Calibri" w:hAnsi="Calibri"/>
                <w:b w:val="0"/>
                <w:color w:val="1F2937"/>
                <w:sz w:val="16"/>
              </w:rPr>
              <w:t>Six correction states -&gt; affected</w:t>
            </w:r>
          </w:p>
        </w:tc>
        <w:tc>
          <w:tcPr>
            <w:tcW w:type="dxa" w:w="372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shd w:fill="F2F4F7"/>
          </w:tcPr>
          <w:p>
            <w:pPr>
              <w:keepLines/>
              <w:spacing w:after="0" w:line="245" w:lineRule="auto"/>
            </w:pPr>
            <w:r>
              <w:rPr>
                <w:rFonts w:ascii="Calibri" w:hAnsi="Calibri"/>
                <w:b w:val="0"/>
                <w:color w:val="1F2937"/>
                <w:sz w:val="16"/>
              </w:rPr>
              <w:t>Five non-UNCHANGED states merged</w:t>
            </w:r>
          </w:p>
        </w:tc>
        <w:tc>
          <w:tcPr>
            <w:tcW w:type="dxa" w:w="222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shd w:fill="F2F4F7"/>
          </w:tcPr>
          <w:p>
            <w:pPr>
              <w:keepLines/>
              <w:spacing w:after="0" w:line="245" w:lineRule="auto"/>
            </w:pPr>
            <w:r>
              <w:rPr>
                <w:rFonts w:ascii="Calibri" w:hAnsi="Calibri"/>
                <w:b w:val="0"/>
                <w:color w:val="1F2937"/>
                <w:sz w:val="16"/>
              </w:rPr>
              <w:t>DESCRIPTIVE</w:t>
            </w:r>
          </w:p>
        </w:tc>
      </w:tr>
      <w:tr>
        <w:trPr>
          <w:cantSplit/>
        </w:trPr>
        <w:tc>
          <w:tcPr>
            <w:tcW w:type="dxa" w:w="90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color w:val="9A6B00"/>
                <w:sz w:val="16"/>
              </w:rPr>
              <w:t>Q6</w:t>
            </w:r>
          </w:p>
        </w:tc>
        <w:tc>
          <w:tcPr>
            <w:tcW w:type="dxa" w:w="252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val="0"/>
                <w:color w:val="1F2937"/>
                <w:sz w:val="16"/>
              </w:rPr>
              <w:t>Records -&gt; episodes</w:t>
            </w:r>
          </w:p>
        </w:tc>
        <w:tc>
          <w:tcPr>
            <w:tcW w:type="dxa" w:w="372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val="0"/>
                <w:color w:val="1F2937"/>
                <w:sz w:val="16"/>
              </w:rPr>
              <w:t>13,309 memberships -&gt; 3,088 episodes; retained fibers</w:t>
            </w:r>
          </w:p>
        </w:tc>
        <w:tc>
          <w:tcPr>
            <w:tcW w:type="dxa" w:w="222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val="0"/>
                <w:color w:val="1F2937"/>
                <w:sz w:val="16"/>
              </w:rPr>
              <w:t>RECONSTRUCTIBLE</w:t>
            </w:r>
          </w:p>
        </w:tc>
      </w:tr>
    </w:tbl>
    <w:p>
      <w:pPr>
        <w:spacing w:after="0"/>
      </w:pPr>
    </w:p>
    <w:p>
      <w:pPr>
        <w:keepLines w:val="0"/>
        <w:spacing w:before="0" w:after="120" w:line="264" w:lineRule="auto"/>
      </w:pPr>
      <w:r>
        <w:rPr>
          <w:rFonts w:ascii="Calibri" w:hAnsi="Calibri"/>
          <w:i w:val="0"/>
          <w:color w:val="1F2937"/>
        </w:rPr>
        <w:t>Two corrections are load-bearing. First, the earliest recoverability boundary localizable from surviving artifacts is Q0; an earlier loss cannot be excluded. Second, 161 hash rows cover 164 final files. The manifest omitted itself, the validation JSON, and the final ZIP, so complete final-packet hash closure was not established. [S4, S8]</w:t>
      </w:r>
    </w:p>
    <w:p>
      <w:pPr>
        <w:pStyle w:val="Heading2"/>
      </w:pPr>
      <w:r>
        <w:t>4.1 Residual closure status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FF7E2"/>
            <w:tcMar>
              <w:top w:w="130" w:type="dxa"/>
              <w:bottom w:w="130" w:type="dxa"/>
              <w:start w:w="120" w:type="dxa"/>
              <w:end w:w="120" w:type="dxa"/>
            </w:tcMar>
            <w:tcBorders>
              <w:top w:val="single" w:sz="8" w:space="0" w:color="9A6B00"/>
              <w:left w:val="single" w:sz="8" w:space="0" w:color="9A6B00"/>
              <w:bottom w:val="single" w:sz="8" w:space="0" w:color="9A6B00"/>
              <w:right w:val="single" w:sz="8" w:space="0" w:color="9A6B00"/>
            </w:tcBorders>
          </w:tcPr>
          <w:p>
            <w:pPr>
              <w:spacing w:after="60"/>
            </w:pPr>
            <w:r>
              <w:rPr>
                <w:rFonts w:ascii="Calibri" w:hAnsi="Calibri"/>
                <w:b/>
                <w:color w:val="9A6B00"/>
                <w:sz w:val="17"/>
              </w:rPr>
              <w:t>THREE-WAY CLOSURE LOGIC</w:t>
            </w:r>
          </w:p>
          <w:p>
            <w:pPr>
              <w:spacing w:after="0" w:line="259" w:lineRule="auto"/>
            </w:pPr>
            <w:r>
              <w:rPr>
                <w:rFonts w:ascii="Calibri" w:hAnsi="Calibri"/>
                <w:b/>
                <w:color w:val="1F2937"/>
                <w:sz w:val="20"/>
              </w:rPr>
              <w:t>CLOSED means descent was demonstrated; NOT_CLOSED means a valid counterexample exists; UNRESOLVED means the test, domain, or eligibility record is incomplete. This packet is UNRESOLVED_NOT_TESTED.</w:t>
            </w:r>
          </w:p>
        </w:tc>
      </w:tr>
    </w:tbl>
    <w:p>
      <w:pPr>
        <w:spacing w:after="0"/>
      </w:pPr>
    </w:p>
    <w:p>
      <w:pPr>
        <w:keepLines w:val="0"/>
        <w:spacing w:before="0" w:after="120" w:line="264" w:lineRule="auto"/>
      </w:pPr>
      <w:r>
        <w:rPr>
          <w:rFonts w:ascii="Calibri" w:hAnsi="Calibri"/>
          <w:i w:val="0"/>
          <w:color w:val="1F2937"/>
        </w:rPr>
        <w:t>The packet lacks predeclared loop IDs, typed C/D/K state records, declared channel comparators, and repeated equal-state pairs. Therefore descent_test_run=false, residual_closure=UNRESOLVED_NOT_TESTED, and autonomous_residual_law=NOT_ESTABLISHED. Static quotient reconstruction does not change that result. [S4, S8]</w:t>
      </w:r>
    </w:p>
    <w:p>
      <w:pPr>
        <w:keepLines w:val="0"/>
        <w:spacing w:before="0" w:after="120" w:line="264" w:lineRule="auto"/>
      </w:pPr>
      <w:r>
        <w:rPr>
          <w:rFonts w:ascii="Calibri" w:hAnsi="Calibri"/>
          <w:i w:val="0"/>
          <w:color w:val="1F2937"/>
        </w:rPr>
        <w:t>A factor F_R,n established separately at each time n is non-autonomous when it depends on n. A single autonomous F_R requires cross-time factor consistency or retention of time/update regime in the state. Explicit failed descent must be recorded as NOT_CLOSED rather than collapsed with untested cases. The 1-&gt;0 normative transition should be named GATE_CLOSURE to keep it distinct from residual closure. [S4, S8]</w:t>
      </w:r>
    </w:p>
    <w:p>
      <w:pPr>
        <w:pStyle w:val="Heading1"/>
      </w:pPr>
      <w:r>
        <w:t>5. Integrated claims ledger</w:t>
      </w:r>
    </w:p>
    <w:tbl>
      <w:tblPr>
        <w:tblStyle w:val="TableGrid"/>
        <w:tblW w:type="dxa" w:w="9360"/>
        <w:jc w:val="left"/>
        <w:tblLayout w:type="fixed"/>
        <w:tblLook w:firstColumn="1" w:firstRow="1" w:lastColumn="0" w:lastRow="0" w:noHBand="0" w:noVBand="1" w:val="04A0"/>
        <w:tblInd w:w="120" w:type="dxa"/>
      </w:tblPr>
      <w:tblGrid>
        <w:gridCol w:w="1560"/>
        <w:gridCol w:w="1560"/>
        <w:gridCol w:w="3600"/>
        <w:gridCol w:w="2640"/>
      </w:tblGrid>
      <w:tr>
        <w:trPr>
          <w:tblHeader w:val="true"/>
        </w:trPr>
        <w:tc>
          <w:tcPr>
            <w:tcW w:type="dxa" w:w="1560"/>
            <w:shd w:fill="0B2545"/>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vAlign w:val="center"/>
          </w:tcPr>
          <w:p>
            <w:pPr>
              <w:keepLines/>
              <w:spacing w:after="0" w:line="240" w:lineRule="auto"/>
            </w:pPr>
            <w:r>
              <w:rPr>
                <w:rFonts w:ascii="Calibri" w:hAnsi="Calibri"/>
                <w:b/>
                <w:color w:val="FFFFFF"/>
                <w:sz w:val="17"/>
              </w:rPr>
              <w:t>Domain</w:t>
            </w:r>
          </w:p>
        </w:tc>
        <w:tc>
          <w:tcPr>
            <w:tcW w:type="dxa" w:w="1560"/>
            <w:shd w:fill="0B2545"/>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vAlign w:val="center"/>
          </w:tcPr>
          <w:p>
            <w:pPr>
              <w:keepLines/>
              <w:spacing w:after="0" w:line="240" w:lineRule="auto"/>
            </w:pPr>
            <w:r>
              <w:rPr>
                <w:rFonts w:ascii="Calibri" w:hAnsi="Calibri"/>
                <w:b/>
                <w:color w:val="FFFFFF"/>
                <w:sz w:val="17"/>
              </w:rPr>
              <w:t>Status</w:t>
            </w:r>
          </w:p>
        </w:tc>
        <w:tc>
          <w:tcPr>
            <w:tcW w:type="dxa" w:w="3600"/>
            <w:shd w:fill="0B2545"/>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vAlign w:val="center"/>
          </w:tcPr>
          <w:p>
            <w:pPr>
              <w:keepLines/>
              <w:spacing w:after="0" w:line="240" w:lineRule="auto"/>
            </w:pPr>
            <w:r>
              <w:rPr>
                <w:rFonts w:ascii="Calibri" w:hAnsi="Calibri"/>
                <w:b/>
                <w:color w:val="FFFFFF"/>
                <w:sz w:val="17"/>
              </w:rPr>
              <w:t>Bounded claim</w:t>
            </w:r>
          </w:p>
        </w:tc>
        <w:tc>
          <w:tcPr>
            <w:tcW w:type="dxa" w:w="2640"/>
            <w:shd w:fill="0B2545"/>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vAlign w:val="center"/>
          </w:tcPr>
          <w:p>
            <w:pPr>
              <w:keepLines/>
              <w:spacing w:after="0" w:line="240" w:lineRule="auto"/>
            </w:pPr>
            <w:r>
              <w:rPr>
                <w:rFonts w:ascii="Calibri" w:hAnsi="Calibri"/>
                <w:b/>
                <w:color w:val="FFFFFF"/>
                <w:sz w:val="17"/>
              </w:rPr>
              <w:t>Stop line</w:t>
            </w:r>
          </w:p>
        </w:tc>
      </w:tr>
      <w:tr>
        <w:trPr>
          <w:cantSplit/>
        </w:trPr>
        <w:tc>
          <w:tcPr>
            <w:tcW w:type="dxa" w:w="156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color w:val="2E74B5"/>
                <w:sz w:val="16"/>
              </w:rPr>
              <w:t>Native interposition</w:t>
            </w:r>
          </w:p>
        </w:tc>
        <w:tc>
          <w:tcPr>
            <w:tcW w:type="dxa" w:w="156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val="0"/>
                <w:color w:val="1F2937"/>
                <w:sz w:val="16"/>
              </w:rPr>
              <w:t>SUPPORTED</w:t>
            </w:r>
          </w:p>
        </w:tc>
        <w:tc>
          <w:tcPr>
            <w:tcW w:type="dxa" w:w="360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val="0"/>
                <w:color w:val="1F2937"/>
                <w:sz w:val="16"/>
              </w:rPr>
              <w:t>Checking can be a separately committed message before a different answer in an inspected native call.</w:t>
            </w:r>
          </w:p>
        </w:tc>
        <w:tc>
          <w:tcPr>
            <w:tcW w:type="dxa" w:w="264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val="0"/>
                <w:color w:val="1F2937"/>
                <w:sz w:val="16"/>
              </w:rPr>
              <w:t>Not a universal rate or implementation identity.</w:t>
            </w:r>
          </w:p>
        </w:tc>
      </w:tr>
      <w:tr>
        <w:trPr>
          <w:cantSplit/>
        </w:trPr>
        <w:tc>
          <w:tcPr>
            <w:tcW w:type="dxa" w:w="156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shd w:fill="F2F4F7"/>
          </w:tcPr>
          <w:p>
            <w:pPr>
              <w:keepLines/>
              <w:spacing w:after="0" w:line="245" w:lineRule="auto"/>
            </w:pPr>
            <w:r>
              <w:rPr>
                <w:rFonts w:ascii="Calibri" w:hAnsi="Calibri"/>
                <w:b/>
                <w:color w:val="2E74B5"/>
                <w:sz w:val="16"/>
              </w:rPr>
              <w:t>Checking = retrieval</w:t>
            </w:r>
          </w:p>
        </w:tc>
        <w:tc>
          <w:tcPr>
            <w:tcW w:type="dxa" w:w="156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shd w:fill="F2F4F7"/>
          </w:tcPr>
          <w:p>
            <w:pPr>
              <w:keepLines/>
              <w:spacing w:after="0" w:line="245" w:lineRule="auto"/>
            </w:pPr>
            <w:r>
              <w:rPr>
                <w:rFonts w:ascii="Calibri" w:hAnsi="Calibri"/>
                <w:b w:val="0"/>
                <w:color w:val="1F2937"/>
                <w:sz w:val="16"/>
              </w:rPr>
              <w:t>REJECTED GENERALLY</w:t>
            </w:r>
          </w:p>
        </w:tc>
        <w:tc>
          <w:tcPr>
            <w:tcW w:type="dxa" w:w="360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shd w:fill="F2F4F7"/>
          </w:tcPr>
          <w:p>
            <w:pPr>
              <w:keepLines/>
              <w:spacing w:after="0" w:line="245" w:lineRule="auto"/>
            </w:pPr>
            <w:r>
              <w:rPr>
                <w:rFonts w:ascii="Calibri" w:hAnsi="Calibri"/>
                <w:b w:val="0"/>
                <w:color w:val="1F2937"/>
                <w:sz w:val="16"/>
              </w:rPr>
              <w:t>Most inspected Checking turns lack a visible tool or search record.</w:t>
            </w:r>
          </w:p>
        </w:tc>
        <w:tc>
          <w:tcPr>
            <w:tcW w:type="dxa" w:w="264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shd w:fill="F2F4F7"/>
          </w:tcPr>
          <w:p>
            <w:pPr>
              <w:keepLines/>
              <w:spacing w:after="0" w:line="245" w:lineRule="auto"/>
            </w:pPr>
            <w:r>
              <w:rPr>
                <w:rFonts w:ascii="Calibri" w:hAnsi="Calibri"/>
                <w:b w:val="0"/>
                <w:color w:val="1F2937"/>
                <w:sz w:val="16"/>
              </w:rPr>
              <w:t>Invisible operations and implementation source remain unassigned.</w:t>
            </w:r>
          </w:p>
        </w:tc>
      </w:tr>
      <w:tr>
        <w:trPr>
          <w:cantSplit/>
        </w:trPr>
        <w:tc>
          <w:tcPr>
            <w:tcW w:type="dxa" w:w="156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color w:val="2E74B5"/>
                <w:sz w:val="16"/>
              </w:rPr>
              <w:t>Checking = failure</w:t>
            </w:r>
          </w:p>
        </w:tc>
        <w:tc>
          <w:tcPr>
            <w:tcW w:type="dxa" w:w="156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val="0"/>
                <w:color w:val="1F2937"/>
                <w:sz w:val="16"/>
              </w:rPr>
              <w:t>CONTRADICTED AS PROXY</w:t>
            </w:r>
          </w:p>
        </w:tc>
        <w:tc>
          <w:tcPr>
            <w:tcW w:type="dxa" w:w="360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val="0"/>
                <w:color w:val="1F2937"/>
                <w:sz w:val="16"/>
              </w:rPr>
              <w:t>Frozen coded sample shows a negative marker/failure association.</w:t>
            </w:r>
          </w:p>
        </w:tc>
        <w:tc>
          <w:tcPr>
            <w:tcW w:type="dxa" w:w="264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val="0"/>
                <w:color w:val="1F2937"/>
                <w:sz w:val="16"/>
              </w:rPr>
              <w:t>Retrospective, descriptive, and corpus-specific.</w:t>
            </w:r>
          </w:p>
        </w:tc>
      </w:tr>
      <w:tr>
        <w:trPr>
          <w:cantSplit/>
        </w:trPr>
        <w:tc>
          <w:tcPr>
            <w:tcW w:type="dxa" w:w="156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shd w:fill="F2F4F7"/>
          </w:tcPr>
          <w:p>
            <w:pPr>
              <w:keepLines/>
              <w:spacing w:after="0" w:line="245" w:lineRule="auto"/>
            </w:pPr>
            <w:r>
              <w:rPr>
                <w:rFonts w:ascii="Calibri" w:hAnsi="Calibri"/>
                <w:b/>
                <w:color w:val="2E74B5"/>
                <w:sz w:val="16"/>
              </w:rPr>
              <w:t>Five-function workflow</w:t>
            </w:r>
          </w:p>
        </w:tc>
        <w:tc>
          <w:tcPr>
            <w:tcW w:type="dxa" w:w="156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shd w:fill="F2F4F7"/>
          </w:tcPr>
          <w:p>
            <w:pPr>
              <w:keepLines/>
              <w:spacing w:after="0" w:line="245" w:lineRule="auto"/>
            </w:pPr>
            <w:r>
              <w:rPr>
                <w:rFonts w:ascii="Calibri" w:hAnsi="Calibri"/>
                <w:b w:val="0"/>
                <w:color w:val="1F2937"/>
                <w:sz w:val="16"/>
              </w:rPr>
              <w:t>PROVISIONAL</w:t>
            </w:r>
          </w:p>
        </w:tc>
        <w:tc>
          <w:tcPr>
            <w:tcW w:type="dxa" w:w="360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shd w:fill="F2F4F7"/>
          </w:tcPr>
          <w:p>
            <w:pPr>
              <w:keepLines/>
              <w:spacing w:after="0" w:line="245" w:lineRule="auto"/>
            </w:pPr>
            <w:r>
              <w:rPr>
                <w:rFonts w:ascii="Calibri" w:hAnsi="Calibri"/>
                <w:b w:val="0"/>
                <w:color w:val="1F2937"/>
                <w:sz w:val="16"/>
              </w:rPr>
              <w:t>Labels organize recurring response phenotypes.</w:t>
            </w:r>
          </w:p>
        </w:tc>
        <w:tc>
          <w:tcPr>
            <w:tcW w:type="dxa" w:w="264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shd w:fill="F2F4F7"/>
          </w:tcPr>
          <w:p>
            <w:pPr>
              <w:keepLines/>
              <w:spacing w:after="0" w:line="245" w:lineRule="auto"/>
            </w:pPr>
            <w:r>
              <w:rPr>
                <w:rFonts w:ascii="Calibri" w:hAnsi="Calibri"/>
                <w:b w:val="0"/>
                <w:color w:val="1F2937"/>
                <w:sz w:val="16"/>
              </w:rPr>
              <w:t>No frozen sequence, denominator, transition matrix, or reliability pass.</w:t>
            </w:r>
          </w:p>
        </w:tc>
      </w:tr>
      <w:tr>
        <w:trPr>
          <w:cantSplit/>
        </w:trPr>
        <w:tc>
          <w:tcPr>
            <w:tcW w:type="dxa" w:w="156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color w:val="2E74B5"/>
                <w:sz w:val="16"/>
              </w:rPr>
              <w:t>Moving lattice</w:t>
            </w:r>
          </w:p>
        </w:tc>
        <w:tc>
          <w:tcPr>
            <w:tcW w:type="dxa" w:w="156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val="0"/>
                <w:color w:val="1F2937"/>
                <w:sz w:val="16"/>
              </w:rPr>
              <w:t>REJECTED UNDER BANK</w:t>
            </w:r>
          </w:p>
        </w:tc>
        <w:tc>
          <w:tcPr>
            <w:tcW w:type="dxa" w:w="360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val="0"/>
                <w:color w:val="1F2937"/>
                <w:sz w:val="16"/>
              </w:rPr>
              <w:t>All five lanes fail the frozen 72-model stopping rule.</w:t>
            </w:r>
          </w:p>
        </w:tc>
        <w:tc>
          <w:tcPr>
            <w:tcW w:type="dxa" w:w="264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val="0"/>
                <w:color w:val="1F2937"/>
                <w:sz w:val="16"/>
              </w:rPr>
              <w:t>Does not rule out every imaginable phase model.</w:t>
            </w:r>
          </w:p>
        </w:tc>
      </w:tr>
      <w:tr>
        <w:trPr>
          <w:cantSplit/>
        </w:trPr>
        <w:tc>
          <w:tcPr>
            <w:tcW w:type="dxa" w:w="156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shd w:fill="F2F4F7"/>
          </w:tcPr>
          <w:p>
            <w:pPr>
              <w:keepLines/>
              <w:spacing w:after="0" w:line="245" w:lineRule="auto"/>
            </w:pPr>
            <w:r>
              <w:rPr>
                <w:rFonts w:ascii="Calibri" w:hAnsi="Calibri"/>
                <w:b/>
                <w:color w:val="2E74B5"/>
                <w:sz w:val="16"/>
              </w:rPr>
              <w:t>39-screen link</w:t>
            </w:r>
          </w:p>
        </w:tc>
        <w:tc>
          <w:tcPr>
            <w:tcW w:type="dxa" w:w="156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shd w:fill="F2F4F7"/>
          </w:tcPr>
          <w:p>
            <w:pPr>
              <w:keepLines/>
              <w:spacing w:after="0" w:line="245" w:lineRule="auto"/>
            </w:pPr>
            <w:r>
              <w:rPr>
                <w:rFonts w:ascii="Calibri" w:hAnsi="Calibri"/>
                <w:b w:val="0"/>
                <w:color w:val="1F2937"/>
                <w:sz w:val="16"/>
              </w:rPr>
              <w:t>PROSPECTIVE LEAD</w:t>
            </w:r>
          </w:p>
        </w:tc>
        <w:tc>
          <w:tcPr>
            <w:tcW w:type="dxa" w:w="360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shd w:fill="F2F4F7"/>
          </w:tcPr>
          <w:p>
            <w:pPr>
              <w:keepLines/>
              <w:spacing w:after="0" w:line="245" w:lineRule="auto"/>
            </w:pPr>
            <w:r>
              <w:rPr>
                <w:rFonts w:ascii="Calibri" w:hAnsi="Calibri"/>
                <w:b w:val="0"/>
                <w:color w:val="1F2937"/>
                <w:sz w:val="16"/>
              </w:rPr>
              <w:t>Later-cohort lagged missing-output contrast survives internal stress checks.</w:t>
            </w:r>
          </w:p>
        </w:tc>
        <w:tc>
          <w:tcPr>
            <w:tcW w:type="dxa" w:w="264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shd w:fill="F2F4F7"/>
          </w:tcPr>
          <w:p>
            <w:pPr>
              <w:keepLines/>
              <w:spacing w:after="0" w:line="245" w:lineRule="auto"/>
            </w:pPr>
            <w:r>
              <w:rPr>
                <w:rFonts w:ascii="Calibri" w:hAnsi="Calibri"/>
                <w:b w:val="0"/>
                <w:color w:val="1F2937"/>
                <w:sz w:val="16"/>
              </w:rPr>
              <w:t>Older direction reverses; pooled corpus and source-defined alignment are null.</w:t>
            </w:r>
          </w:p>
        </w:tc>
      </w:tr>
      <w:tr>
        <w:trPr>
          <w:cantSplit/>
        </w:trPr>
        <w:tc>
          <w:tcPr>
            <w:tcW w:type="dxa" w:w="156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color w:val="2E74B5"/>
                <w:sz w:val="16"/>
              </w:rPr>
              <w:t>Static quotients</w:t>
            </w:r>
          </w:p>
        </w:tc>
        <w:tc>
          <w:tcPr>
            <w:tcW w:type="dxa" w:w="156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val="0"/>
                <w:color w:val="1F2937"/>
                <w:sz w:val="16"/>
              </w:rPr>
              <w:t>MOSTLY RECONSTRUCTIBLE</w:t>
            </w:r>
          </w:p>
        </w:tc>
        <w:tc>
          <w:tcPr>
            <w:tcW w:type="dxa" w:w="360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val="0"/>
                <w:color w:val="1F2937"/>
                <w:sz w:val="16"/>
              </w:rPr>
              <w:t>Retained ledgers preserve most later quotient fibers.</w:t>
            </w:r>
          </w:p>
        </w:tc>
        <w:tc>
          <w:tcPr>
            <w:tcW w:type="dxa" w:w="264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tcPr>
          <w:p>
            <w:pPr>
              <w:keepLines/>
              <w:spacing w:after="0" w:line="245" w:lineRule="auto"/>
            </w:pPr>
            <w:r>
              <w:rPr>
                <w:rFonts w:ascii="Calibri" w:hAnsi="Calibri"/>
                <w:b w:val="0"/>
                <w:color w:val="1F2937"/>
                <w:sz w:val="16"/>
              </w:rPr>
              <w:t>Hydrated source is missing; semantic truth does not follow from hashes.</w:t>
            </w:r>
          </w:p>
        </w:tc>
      </w:tr>
      <w:tr>
        <w:trPr>
          <w:cantSplit/>
        </w:trPr>
        <w:tc>
          <w:tcPr>
            <w:tcW w:type="dxa" w:w="156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shd w:fill="F2F4F7"/>
          </w:tcPr>
          <w:p>
            <w:pPr>
              <w:keepLines/>
              <w:spacing w:after="0" w:line="245" w:lineRule="auto"/>
            </w:pPr>
            <w:r>
              <w:rPr>
                <w:rFonts w:ascii="Calibri" w:hAnsi="Calibri"/>
                <w:b/>
                <w:color w:val="2E74B5"/>
                <w:sz w:val="16"/>
              </w:rPr>
              <w:t>Residual closure</w:t>
            </w:r>
          </w:p>
        </w:tc>
        <w:tc>
          <w:tcPr>
            <w:tcW w:type="dxa" w:w="156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shd w:fill="F2F4F7"/>
          </w:tcPr>
          <w:p>
            <w:pPr>
              <w:keepLines/>
              <w:spacing w:after="0" w:line="245" w:lineRule="auto"/>
            </w:pPr>
            <w:r>
              <w:rPr>
                <w:rFonts w:ascii="Calibri" w:hAnsi="Calibri"/>
                <w:b w:val="0"/>
                <w:color w:val="1F2937"/>
                <w:sz w:val="16"/>
              </w:rPr>
              <w:t>UNRESOLVED_NOT_TESTED</w:t>
            </w:r>
          </w:p>
        </w:tc>
        <w:tc>
          <w:tcPr>
            <w:tcW w:type="dxa" w:w="360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shd w:fill="F2F4F7"/>
          </w:tcPr>
          <w:p>
            <w:pPr>
              <w:keepLines/>
              <w:spacing w:after="0" w:line="245" w:lineRule="auto"/>
            </w:pPr>
            <w:r>
              <w:rPr>
                <w:rFonts w:ascii="Calibri" w:hAnsi="Calibri"/>
                <w:b w:val="0"/>
                <w:color w:val="1F2937"/>
                <w:sz w:val="16"/>
              </w:rPr>
              <w:t>No descent test can be run from the supplied packet.</w:t>
            </w:r>
          </w:p>
        </w:tc>
        <w:tc>
          <w:tcPr>
            <w:tcW w:type="dxa" w:w="2640"/>
            <w:vAlign w:val="center"/>
            <w:tcMar>
              <w:top w:w="80" w:type="dxa"/>
              <w:bottom w:w="80" w:type="dxa"/>
              <w:start w:w="120" w:type="dxa"/>
              <w:end w:w="120" w:type="dxa"/>
            </w:tcMar>
            <w:tcBorders>
              <w:top w:val="single" w:sz="5" w:space="0" w:color="CBD5E1"/>
              <w:left w:val="single" w:sz="5" w:space="0" w:color="CBD5E1"/>
              <w:bottom w:val="single" w:sz="5" w:space="0" w:color="CBD5E1"/>
              <w:right w:val="single" w:sz="5" w:space="0" w:color="CBD5E1"/>
            </w:tcBorders>
            <w:shd w:fill="F2F4F7"/>
          </w:tcPr>
          <w:p>
            <w:pPr>
              <w:keepLines/>
              <w:spacing w:after="0" w:line="245" w:lineRule="auto"/>
            </w:pPr>
            <w:r>
              <w:rPr>
                <w:rFonts w:ascii="Calibri" w:hAnsi="Calibri"/>
                <w:b w:val="0"/>
                <w:color w:val="1F2937"/>
                <w:sz w:val="16"/>
              </w:rPr>
              <w:t>Do not report closure or non-closure without the missing state witnesses.</w:t>
            </w:r>
          </w:p>
        </w:tc>
      </w:tr>
    </w:tbl>
    <w:p>
      <w:pPr>
        <w:spacing w:after="0"/>
      </w:pPr>
    </w:p>
    <w:p>
      <w:pPr>
        <w:pStyle w:val="Heading1"/>
      </w:pPr>
      <w:r>
        <w:t>6. Share-surface additions</w:t>
      </w:r>
    </w:p>
    <w:p>
      <w:pPr>
        <w:keepLines w:val="0"/>
        <w:spacing w:before="0" w:after="120" w:line="264" w:lineRule="auto"/>
      </w:pPr>
      <w:r>
        <w:rPr>
          <w:rFonts w:ascii="Calibri" w:hAnsi="Calibri"/>
          <w:i w:val="0"/>
          <w:color w:val="1F2937"/>
        </w:rPr>
        <w:t>The longer Master Call Audit is not a duplicate of the shorter file. It adds Sections 12 and 13, which claim share-surface provenance inversion and metadata exposure: product-supplied ambient context appearing under the user role, assistant activity surviving outside ordinary message objects, and non-rendered file/project metadata remaining in a serialized share payload. [S6-S7]</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CEEEF"/>
            <w:tcMar>
              <w:top w:w="130" w:type="dxa"/>
              <w:bottom w:w="130" w:type="dxa"/>
              <w:start w:w="120" w:type="dxa"/>
              <w:end w:w="120" w:type="dxa"/>
            </w:tcMar>
            <w:tcBorders>
              <w:top w:val="single" w:sz="8" w:space="0" w:color="9B1C1C"/>
              <w:left w:val="single" w:sz="8" w:space="0" w:color="9B1C1C"/>
              <w:bottom w:val="single" w:sz="8" w:space="0" w:color="9B1C1C"/>
              <w:right w:val="single" w:sz="8" w:space="0" w:color="9B1C1C"/>
            </w:tcBorders>
          </w:tcPr>
          <w:p>
            <w:pPr>
              <w:spacing w:after="60"/>
            </w:pPr>
            <w:r>
              <w:rPr>
                <w:rFonts w:ascii="Calibri" w:hAnsi="Calibri"/>
                <w:b/>
                <w:color w:val="9B1C1C"/>
                <w:sz w:val="17"/>
              </w:rPr>
              <w:t>STATUS BOUNDARY</w:t>
            </w:r>
          </w:p>
          <w:p>
            <w:pPr>
              <w:spacing w:after="0" w:line="259" w:lineRule="auto"/>
            </w:pPr>
            <w:r>
              <w:rPr>
                <w:rFonts w:ascii="Calibri" w:hAnsi="Calibri"/>
                <w:b/>
                <w:color w:val="1F2937"/>
                <w:sz w:val="20"/>
              </w:rPr>
              <w:t>Those additions are not adjudicated in the supplied compare/contrast review and no separate serialized-payload reproduction packet accompanies this file set. Preserve them as source-asserted findings requiring an independent share-surface reproduction; do not merge them into the already-bounded native interposition result.</w:t>
            </w:r>
          </w:p>
        </w:tc>
      </w:tr>
    </w:tbl>
    <w:p>
      <w:pPr>
        <w:spacing w:after="0"/>
      </w:pPr>
    </w:p>
    <w:p>
      <w:pPr>
        <w:pStyle w:val="Heading1"/>
      </w:pPr>
      <w:r>
        <w:t>7. Smallest decisive next tests</w:t>
      </w:r>
    </w:p>
    <w:p>
      <w:pPr>
        <w:numPr>
          <w:ilvl w:val="0"/>
          <w:numId w:val="11"/>
        </w:numPr>
        <w:spacing w:after="160" w:line="280" w:lineRule="auto"/>
      </w:pPr>
      <w:r>
        <w:rPr>
          <w:rFonts w:ascii="Calibri" w:hAnsi="Calibri"/>
          <w:b/>
        </w:rPr>
        <w:t>Prospective q=39 test.</w:t>
      </w:r>
      <w:r>
        <w:rPr>
          <w:rFonts w:ascii="Calibri" w:hAnsi="Calibri"/>
        </w:rPr>
        <w:t xml:space="preserve"> Freeze missing output, q=39, phi^-2 floor registration, call-start origin, arriving lag -1, and lower +14 risk. Use only new nonoverlapping calls.</w:t>
      </w:r>
    </w:p>
    <w:p>
      <w:pPr>
        <w:numPr>
          <w:ilvl w:val="0"/>
          <w:numId w:val="11"/>
        </w:numPr>
        <w:spacing w:after="160" w:line="280" w:lineRule="auto"/>
      </w:pPr>
      <w:r>
        <w:rPr>
          <w:rFonts w:ascii="Calibri" w:hAnsi="Calibri"/>
          <w:b/>
        </w:rPr>
        <w:t>Marker-function test.</w:t>
      </w:r>
      <w:r>
        <w:rPr>
          <w:rFonts w:ascii="Calibri" w:hAnsi="Calibri"/>
        </w:rPr>
        <w:t xml:space="preserve"> Preserve exact, starts-with, and contains rules; native message/turn IDs; tool/search/redaction states; and within-case answer-preservation, refusal, and repair outcomes.</w:t>
      </w:r>
    </w:p>
    <w:p>
      <w:pPr>
        <w:numPr>
          <w:ilvl w:val="0"/>
          <w:numId w:val="11"/>
        </w:numPr>
        <w:spacing w:after="160" w:line="280" w:lineRule="auto"/>
      </w:pPr>
      <w:r>
        <w:rPr>
          <w:rFonts w:ascii="Calibri" w:hAnsi="Calibri"/>
          <w:b/>
        </w:rPr>
        <w:t>Correction-binding test.</w:t>
      </w:r>
      <w:r>
        <w:rPr>
          <w:rFonts w:ascii="Calibri" w:hAnsi="Calibri"/>
        </w:rPr>
        <w:t xml:space="preserve"> Freeze the named behavior, correction boundary, comparable descendant window, and recurrence rule before scoring uptake and durability.</w:t>
      </w:r>
    </w:p>
    <w:p>
      <w:pPr>
        <w:numPr>
          <w:ilvl w:val="0"/>
          <w:numId w:val="11"/>
        </w:numPr>
        <w:spacing w:after="160" w:line="280" w:lineRule="auto"/>
      </w:pPr>
      <w:r>
        <w:rPr>
          <w:rFonts w:ascii="Calibri" w:hAnsi="Calibri"/>
          <w:b/>
        </w:rPr>
        <w:t>Residual-descent test.</w:t>
      </w:r>
      <w:r>
        <w:rPr>
          <w:rFonts w:ascii="Calibri" w:hAnsi="Calibri"/>
        </w:rPr>
        <w:t xml:space="preserve"> Retain full and reduced state, loop IDs, C/D/K comparators, update regime, and repeated equal-state pairs; search explicitly for counterexamples.</w:t>
      </w:r>
    </w:p>
    <w:p>
      <w:pPr>
        <w:numPr>
          <w:ilvl w:val="0"/>
          <w:numId w:val="11"/>
        </w:numPr>
        <w:spacing w:after="160" w:line="280" w:lineRule="auto"/>
      </w:pPr>
      <w:r>
        <w:rPr>
          <w:rFonts w:ascii="Calibri" w:hAnsi="Calibri"/>
          <w:b/>
        </w:rPr>
        <w:t>Share-surface reproduction.</w:t>
      </w:r>
      <w:r>
        <w:rPr>
          <w:rFonts w:ascii="Calibri" w:hAnsi="Calibri"/>
        </w:rPr>
        <w:t xml:space="preserve"> Capture rendered and serialized views from a sanitized test conversation, compare role attribution and hidden metadata, and record whether identifiers are externally resolvable without accessing unrelated data.</w:t>
      </w:r>
    </w:p>
    <w:p>
      <w:pPr>
        <w:pStyle w:val="Heading1"/>
      </w:pPr>
      <w:r>
        <w:t>8. Explicit non-claims</w:t>
      </w:r>
    </w:p>
    <w:p>
      <w:pPr>
        <w:numPr>
          <w:ilvl w:val="0"/>
          <w:numId w:val="10"/>
        </w:numPr>
        <w:spacing w:after="160" w:line="280" w:lineRule="auto"/>
      </w:pPr>
      <w:r>
        <w:rPr>
          <w:rFonts w:ascii="Calibri" w:hAnsi="Calibri"/>
        </w:rPr>
        <w:t>No hidden person, council, office, controller, motive, fear, guilt, or conscious intent is identified.</w:t>
      </w:r>
    </w:p>
    <w:p>
      <w:pPr>
        <w:numPr>
          <w:ilvl w:val="0"/>
          <w:numId w:val="10"/>
        </w:numPr>
        <w:spacing w:after="160" w:line="280" w:lineRule="auto"/>
      </w:pPr>
      <w:r>
        <w:rPr>
          <w:rFonts w:ascii="Calibri" w:hAnsi="Calibri"/>
        </w:rPr>
        <w:t>No supplied result establishes that Checking changes admissibility, routes content, or causes refusal.</w:t>
      </w:r>
    </w:p>
    <w:p>
      <w:pPr>
        <w:numPr>
          <w:ilvl w:val="0"/>
          <w:numId w:val="10"/>
        </w:numPr>
        <w:spacing w:after="160" w:line="280" w:lineRule="auto"/>
      </w:pPr>
      <w:r>
        <w:rPr>
          <w:rFonts w:ascii="Calibri" w:hAnsi="Calibri"/>
        </w:rPr>
        <w:t>No dynamic lattice, C6 x C4 empirical product, three-clock weave, or platform clock implementation is established.</w:t>
      </w:r>
    </w:p>
    <w:p>
      <w:pPr>
        <w:numPr>
          <w:ilvl w:val="0"/>
          <w:numId w:val="10"/>
        </w:numPr>
        <w:spacing w:after="160" w:line="280" w:lineRule="auto"/>
      </w:pPr>
      <w:r>
        <w:rPr>
          <w:rFonts w:ascii="Calibri" w:hAnsi="Calibri"/>
        </w:rPr>
        <w:t>No q=39 mechanism is confirmed; only a prospective, lag-specific missing-output prediction remains.</w:t>
      </w:r>
    </w:p>
    <w:p>
      <w:pPr>
        <w:numPr>
          <w:ilvl w:val="0"/>
          <w:numId w:val="10"/>
        </w:numPr>
        <w:spacing w:after="160" w:line="280" w:lineRule="auto"/>
      </w:pPr>
      <w:r>
        <w:rPr>
          <w:rFonts w:ascii="Calibri" w:hAnsi="Calibri"/>
        </w:rPr>
        <w:t>No static quotient, exact hash, or endpoint match establishes autonomous residual closure or semantic correctness.</w:t>
      </w:r>
    </w:p>
    <w:p>
      <w:pPr>
        <w:numPr>
          <w:ilvl w:val="0"/>
          <w:numId w:val="10"/>
        </w:numPr>
        <w:spacing w:after="160" w:line="280" w:lineRule="auto"/>
      </w:pPr>
      <w:r>
        <w:rPr>
          <w:rFonts w:ascii="Calibri" w:hAnsi="Calibri"/>
        </w:rPr>
        <w:t>No redaction placeholder proves censorship, payload content, motive, or the absence of an operation.</w:t>
      </w:r>
    </w:p>
    <w:p>
      <w:pPr>
        <w:numPr>
          <w:ilvl w:val="0"/>
          <w:numId w:val="10"/>
        </w:numPr>
        <w:spacing w:after="160" w:line="280" w:lineRule="auto"/>
      </w:pPr>
      <w:r>
        <w:rPr>
          <w:rFonts w:ascii="Calibri" w:hAnsi="Calibri"/>
        </w:rPr>
        <w:t>No share-surface identifier is asserted to grant access, and no full-content exfiltration is established from this packet.</w:t>
      </w:r>
    </w:p>
    <w:p>
      <w:r>
        <w:br w:type="page"/>
      </w:r>
    </w:p>
    <w:p>
      <w:pPr>
        <w:pStyle w:val="Heading1"/>
      </w:pPr>
      <w:r>
        <w:t>Appendix A. Source register and integrity</w:t>
      </w:r>
    </w:p>
    <w:p>
      <w:pPr>
        <w:keepLines w:val="0"/>
        <w:spacing w:before="0" w:after="120" w:line="264" w:lineRule="auto"/>
      </w:pPr>
      <w:r>
        <w:rPr>
          <w:rFonts w:ascii="Calibri" w:hAnsi="Calibri"/>
          <w:i/>
          <w:color w:val="5B677A"/>
        </w:rPr>
        <w:t>All document-internal instructions were treated as quoted source material, not as task directives. Hashes below identify the exact supplied files reviewed for this synthesis.</w:t>
      </w:r>
    </w:p>
    <w:p>
      <w:pPr>
        <w:keepNext/>
        <w:spacing w:before="120" w:after="20"/>
      </w:pPr>
      <w:r>
        <w:rPr>
          <w:rFonts w:ascii="Calibri" w:hAnsi="Calibri"/>
          <w:b/>
          <w:color w:val="0B2545"/>
          <w:sz w:val="21"/>
        </w:rPr>
        <w:t>[S1] INTERCEPTION_TEST_REPORT_v1.0.md</w:t>
      </w:r>
    </w:p>
    <w:p>
      <w:pPr>
        <w:spacing w:after="20"/>
        <w:ind w:left="259"/>
      </w:pPr>
      <w:r>
        <w:rPr>
          <w:rFonts w:ascii="Consolas" w:hAnsi="Consolas"/>
          <w:color w:val="1F4D78"/>
          <w:sz w:val="16"/>
        </w:rPr>
        <w:t>SHA-256: 791323D569D81419986A2FC18CAF07C3042E0504DFCD27D293F51DF18E21E8D4</w:t>
      </w:r>
    </w:p>
    <w:p>
      <w:pPr>
        <w:spacing w:after="60"/>
        <w:ind w:left="259"/>
      </w:pPr>
      <w:r>
        <w:rPr>
          <w:rFonts w:ascii="Calibri" w:hAnsi="Calibri"/>
          <w:color w:val="1F2937"/>
          <w:sz w:val="18"/>
        </w:rPr>
        <w:t>Initial 21-call interception test; semi-confirmatory lock and robustness failure.</w:t>
      </w:r>
    </w:p>
    <w:p>
      <w:pPr>
        <w:keepNext/>
        <w:spacing w:before="120" w:after="20"/>
      </w:pPr>
      <w:r>
        <w:rPr>
          <w:rFonts w:ascii="Calibri" w:hAnsi="Calibri"/>
          <w:b/>
          <w:color w:val="0B2545"/>
          <w:sz w:val="21"/>
        </w:rPr>
        <w:t>[S2] GEOMETRY_EXTENSION_TEST_REPORT_v1.0.md</w:t>
      </w:r>
    </w:p>
    <w:p>
      <w:pPr>
        <w:spacing w:after="20"/>
        <w:ind w:left="259"/>
      </w:pPr>
      <w:r>
        <w:rPr>
          <w:rFonts w:ascii="Consolas" w:hAnsi="Consolas"/>
          <w:color w:val="1F4D78"/>
          <w:sz w:val="16"/>
        </w:rPr>
        <w:t>SHA-256: 3601284F726E64EACCFCE6F3E4659BCFAC1FB7BFC7E0EC1F66DE57FE45528D44</w:t>
      </w:r>
    </w:p>
    <w:p>
      <w:pPr>
        <w:spacing w:after="60"/>
        <w:ind w:left="259"/>
      </w:pPr>
      <w:r>
        <w:rPr>
          <w:rFonts w:ascii="Calibri" w:hAnsi="Calibri"/>
          <w:color w:val="1F2937"/>
          <w:sz w:val="18"/>
        </w:rPr>
        <w:t>Deduplicated 40-call geometry extension and prospective q=39 lead.</w:t>
      </w:r>
    </w:p>
    <w:p>
      <w:pPr>
        <w:keepNext/>
        <w:spacing w:before="120" w:after="20"/>
      </w:pPr>
      <w:r>
        <w:rPr>
          <w:rFonts w:ascii="Calibri" w:hAnsi="Calibri"/>
          <w:b/>
          <w:color w:val="0B2545"/>
          <w:sz w:val="21"/>
        </w:rPr>
        <w:t>[S3] RESULTS.json</w:t>
      </w:r>
    </w:p>
    <w:p>
      <w:pPr>
        <w:spacing w:after="20"/>
        <w:ind w:left="259"/>
      </w:pPr>
      <w:r>
        <w:rPr>
          <w:rFonts w:ascii="Consolas" w:hAnsi="Consolas"/>
          <w:color w:val="1F4D78"/>
          <w:sz w:val="16"/>
        </w:rPr>
        <w:t>SHA-256: C3DFA96602C0EDA90E376A69C81BB6D5083EFF52556532D86E66150145900F67</w:t>
      </w:r>
    </w:p>
    <w:p>
      <w:pPr>
        <w:spacing w:after="60"/>
        <w:ind w:left="259"/>
      </w:pPr>
      <w:r>
        <w:rPr>
          <w:rFonts w:ascii="Calibri" w:hAnsi="Calibri"/>
          <w:color w:val="1F2937"/>
          <w:sz w:val="18"/>
        </w:rPr>
        <w:t>Machine-readable geometry results; directly matches the SHA-256 reported in S2.</w:t>
      </w:r>
    </w:p>
    <w:p>
      <w:pPr>
        <w:keepNext/>
        <w:spacing w:before="120" w:after="20"/>
      </w:pPr>
      <w:r>
        <w:rPr>
          <w:rFonts w:ascii="Calibri" w:hAnsi="Calibri"/>
          <w:b/>
          <w:color w:val="0B2545"/>
          <w:sz w:val="21"/>
        </w:rPr>
        <w:t>[S4] 03_MATHEMATICAL_RETURN_RESIDUAL_REVIEW.md</w:t>
      </w:r>
    </w:p>
    <w:p>
      <w:pPr>
        <w:spacing w:after="20"/>
        <w:ind w:left="259"/>
      </w:pPr>
      <w:r>
        <w:rPr>
          <w:rFonts w:ascii="Consolas" w:hAnsi="Consolas"/>
          <w:color w:val="1F4D78"/>
          <w:sz w:val="16"/>
        </w:rPr>
        <w:t>SHA-256: 61F71A8860810EE3BB54E5C8B4C40E60DD91C8E4D599A875B777471AB1C29AAC</w:t>
      </w:r>
    </w:p>
    <w:p>
      <w:pPr>
        <w:spacing w:after="60"/>
        <w:ind w:left="259"/>
      </w:pPr>
      <w:r>
        <w:rPr>
          <w:rFonts w:ascii="Calibri" w:hAnsi="Calibri"/>
          <w:color w:val="1F2937"/>
          <w:sz w:val="18"/>
        </w:rPr>
        <w:t>Static quotient, recoverability, hash-closure, and residual-descent review.</w:t>
      </w:r>
    </w:p>
    <w:p>
      <w:pPr>
        <w:keepNext/>
        <w:spacing w:before="120" w:after="20"/>
      </w:pPr>
      <w:r>
        <w:rPr>
          <w:rFonts w:ascii="Calibri" w:hAnsi="Calibri"/>
          <w:b/>
          <w:color w:val="0B2545"/>
          <w:sz w:val="21"/>
        </w:rPr>
        <w:t>[S5] MASTER_CALL_COMPARE_CONTRAST - Copy.md</w:t>
      </w:r>
    </w:p>
    <w:p>
      <w:pPr>
        <w:spacing w:after="20"/>
        <w:ind w:left="259"/>
      </w:pPr>
      <w:r>
        <w:rPr>
          <w:rFonts w:ascii="Consolas" w:hAnsi="Consolas"/>
          <w:color w:val="1F4D78"/>
          <w:sz w:val="16"/>
        </w:rPr>
        <w:t>SHA-256: FB918E2106ADB65AF4F4BC2289EB89A2B5155A40EFF6868883671837244F8352</w:t>
      </w:r>
    </w:p>
    <w:p>
      <w:pPr>
        <w:spacing w:after="60"/>
        <w:ind w:left="259"/>
      </w:pPr>
      <w:r>
        <w:rPr>
          <w:rFonts w:ascii="Calibri" w:hAnsi="Calibri"/>
          <w:color w:val="1F2937"/>
          <w:sz w:val="18"/>
        </w:rPr>
        <w:t>Bounded comparison of the Master Call Audit with frozen-24 and native-call witnesses.</w:t>
      </w:r>
    </w:p>
    <w:p>
      <w:pPr>
        <w:keepNext/>
        <w:spacing w:before="120" w:after="20"/>
      </w:pPr>
      <w:r>
        <w:rPr>
          <w:rFonts w:ascii="Calibri" w:hAnsi="Calibri"/>
          <w:b/>
          <w:color w:val="0B2545"/>
          <w:sz w:val="21"/>
        </w:rPr>
        <w:t>[S6] Master Call Audit — Checking Interposition and Five-Function Behavior - Copy.txt</w:t>
      </w:r>
    </w:p>
    <w:p>
      <w:pPr>
        <w:spacing w:after="20"/>
        <w:ind w:left="259"/>
      </w:pPr>
      <w:r>
        <w:rPr>
          <w:rFonts w:ascii="Consolas" w:hAnsi="Consolas"/>
          <w:color w:val="1F4D78"/>
          <w:sz w:val="16"/>
        </w:rPr>
        <w:t>SHA-256: 9658FC0C3C7C209D31B75C8F4A682D4D6D314280D8B1613C4ED5667CC6F96B93</w:t>
      </w:r>
    </w:p>
    <w:p>
      <w:pPr>
        <w:spacing w:after="60"/>
        <w:ind w:left="259"/>
      </w:pPr>
      <w:r>
        <w:rPr>
          <w:rFonts w:ascii="Calibri" w:hAnsi="Calibri"/>
          <w:color w:val="1F2937"/>
          <w:sz w:val="18"/>
        </w:rPr>
        <w:t>Shorter Master Call Audit source.</w:t>
      </w:r>
    </w:p>
    <w:p>
      <w:pPr>
        <w:keepNext/>
        <w:spacing w:before="120" w:after="20"/>
      </w:pPr>
      <w:r>
        <w:rPr>
          <w:rFonts w:ascii="Calibri" w:hAnsi="Calibri"/>
          <w:b/>
          <w:color w:val="0B2545"/>
          <w:sz w:val="21"/>
        </w:rPr>
        <w:t>[S7] Master Call Audit — Checking Interposition and Five-Function Behavior (1) - Copy.txt</w:t>
      </w:r>
    </w:p>
    <w:p>
      <w:pPr>
        <w:spacing w:after="20"/>
        <w:ind w:left="259"/>
      </w:pPr>
      <w:r>
        <w:rPr>
          <w:rFonts w:ascii="Consolas" w:hAnsi="Consolas"/>
          <w:color w:val="1F4D78"/>
          <w:sz w:val="16"/>
        </w:rPr>
        <w:t>SHA-256: B8FA943A173DA40B4D6A00582D5E7A36036AEFBD62E7EE8A5A8ED06079469E2B</w:t>
      </w:r>
    </w:p>
    <w:p>
      <w:pPr>
        <w:spacing w:after="60"/>
        <w:ind w:left="259"/>
      </w:pPr>
      <w:r>
        <w:rPr>
          <w:rFonts w:ascii="Calibri" w:hAnsi="Calibri"/>
          <w:color w:val="1F2937"/>
          <w:sz w:val="18"/>
        </w:rPr>
        <w:t>Longer Master Call Audit; adds share-surface Sections 12-13.</w:t>
      </w:r>
    </w:p>
    <w:p>
      <w:pPr>
        <w:keepNext/>
        <w:spacing w:before="120" w:after="20"/>
      </w:pPr>
      <w:r>
        <w:rPr>
          <w:rFonts w:ascii="Calibri" w:hAnsi="Calibri"/>
          <w:b/>
          <w:color w:val="0B2545"/>
          <w:sz w:val="21"/>
        </w:rPr>
        <w:t>[S8] 05_MACHINE_READABLE_RESULTS - Copy.json</w:t>
      </w:r>
    </w:p>
    <w:p>
      <w:pPr>
        <w:spacing w:after="20"/>
        <w:ind w:left="259"/>
      </w:pPr>
      <w:r>
        <w:rPr>
          <w:rFonts w:ascii="Consolas" w:hAnsi="Consolas"/>
          <w:color w:val="1F4D78"/>
          <w:sz w:val="16"/>
        </w:rPr>
        <w:t>SHA-256: 33EAC01D439E2022DB16DCF507F7B1F33110DB0277E48C7B450ACC086B42D0DD</w:t>
      </w:r>
    </w:p>
    <w:p>
      <w:pPr>
        <w:spacing w:after="60"/>
        <w:ind w:left="259"/>
      </w:pPr>
      <w:r>
        <w:rPr>
          <w:rFonts w:ascii="Calibri" w:hAnsi="Calibri"/>
          <w:color w:val="1F2937"/>
          <w:sz w:val="18"/>
        </w:rPr>
        <w:t>Machine-readable frozen-24 quotient and marker/failure metrics.</w:t>
      </w:r>
    </w:p>
    <w:p>
      <w:pPr>
        <w:keepNext/>
        <w:spacing w:before="120" w:after="20"/>
      </w:pPr>
      <w:r>
        <w:rPr>
          <w:rFonts w:ascii="Calibri" w:hAnsi="Calibri"/>
          <w:b/>
          <w:color w:val="0B2545"/>
          <w:sz w:val="21"/>
        </w:rPr>
        <w:t>[S9] 02_QUOTIENT_MAP_AUDIT - Copy.csv</w:t>
      </w:r>
    </w:p>
    <w:p>
      <w:pPr>
        <w:spacing w:after="20"/>
        <w:ind w:left="259"/>
      </w:pPr>
      <w:r>
        <w:rPr>
          <w:rFonts w:ascii="Consolas" w:hAnsi="Consolas"/>
          <w:color w:val="1F4D78"/>
          <w:sz w:val="16"/>
        </w:rPr>
        <w:t>SHA-256: 515E6F8B88B58CE1507AC20BC56A17CAD86A2B69249C47B278ED97163ADD67CC</w:t>
      </w:r>
    </w:p>
    <w:p>
      <w:pPr>
        <w:spacing w:after="60"/>
        <w:ind w:left="259"/>
      </w:pPr>
      <w:r>
        <w:rPr>
          <w:rFonts w:ascii="Calibri" w:hAnsi="Calibri"/>
          <w:color w:val="1F2937"/>
          <w:sz w:val="18"/>
        </w:rPr>
        <w:t>Seven-row quotient-map ledger.</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AF6F1"/>
            <w:tcMar>
              <w:top w:w="130" w:type="dxa"/>
              <w:bottom w:w="130" w:type="dxa"/>
              <w:start w:w="120" w:type="dxa"/>
              <w:end w:w="120" w:type="dxa"/>
            </w:tcMar>
            <w:tcBorders>
              <w:top w:val="single" w:sz="8" w:space="0" w:color="1E6B52"/>
              <w:left w:val="single" w:sz="8" w:space="0" w:color="1E6B52"/>
              <w:bottom w:val="single" w:sz="8" w:space="0" w:color="1E6B52"/>
              <w:right w:val="single" w:sz="8" w:space="0" w:color="1E6B52"/>
            </w:tcBorders>
          </w:tcPr>
          <w:p>
            <w:pPr>
              <w:spacing w:after="60"/>
            </w:pPr>
            <w:r>
              <w:rPr>
                <w:rFonts w:ascii="Calibri" w:hAnsi="Calibri"/>
                <w:b/>
                <w:color w:val="1E6B52"/>
                <w:sz w:val="17"/>
              </w:rPr>
              <w:t>INTEGRITY CHECKS</w:t>
            </w:r>
          </w:p>
          <w:p>
            <w:pPr>
              <w:spacing w:after="0" w:line="259" w:lineRule="auto"/>
            </w:pPr>
            <w:r>
              <w:rPr>
                <w:rFonts w:ascii="Calibri" w:hAnsi="Calibri"/>
                <w:b/>
                <w:color w:val="1F2937"/>
                <w:sz w:val="20"/>
              </w:rPr>
              <w:t>S3 SHA-256 is C3DFA966...00F67, matching the geometry report. S6 SHA-256 is 9658FC0C...F96B93, matching the compare/contrast source register. S7 is a distinct longer file, not a redundant copy.</w:t>
            </w:r>
          </w:p>
        </w:tc>
      </w:tr>
    </w:tbl>
    <w:p>
      <w:pPr>
        <w:spacing w:after="0"/>
      </w:pPr>
    </w:p>
    <w:p>
      <w:pPr>
        <w:pStyle w:val="Heading1"/>
      </w:pPr>
      <w:r>
        <w:t>Appendix B. Version rule</w:t>
      </w:r>
    </w:p>
    <w:p>
      <w:pPr>
        <w:keepLines w:val="0"/>
        <w:spacing w:before="0" w:after="120" w:line="264" w:lineRule="auto"/>
      </w:pPr>
      <w:r>
        <w:rPr>
          <w:rFonts w:ascii="Calibri" w:hAnsi="Calibri"/>
          <w:i w:val="0"/>
          <w:color w:val="1F2937"/>
        </w:rPr>
        <w:t>This v1.1 synthesis is a new bounded document. It does not overwrite any supplied report or previous artifact. Later corrections control broader earlier wording where the sources conflict: duplicate calls are removed; complete hash closure is not claimed; failed and untested descent are separated; and the five-function sequence is not promoted beyond a provisional typology. Version 1.1 also corrects list sequencing and accessibility metadata in the generated Word artifact.</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B677A"/>
        <w:sz w:val="16"/>
      </w:rPr>
      <w:t xml:space="preserve">THE MARKER, THE SCREEN, AND THE RETURN  |  </w:t>
    </w: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pPr>
      <w:rPr>
        <w:rFonts w:ascii="Arial" w:hAnsi="Arial"/>
      </w:rPr>
    </w:lvl>
  </w:abstractNum>
  <w:num w:numId="10">
    <w:abstractNumId w:val="9"/>
  </w:num>
  <w:abstractNum w:abstractNumId="10">
    <w:multiLevelType w:val="singleLevel"/>
    <w:lvl w:ilvl="0">
      <w:start w:val="1"/>
      <w:numFmt w:val="decimal"/>
      <w:lvlText w:val="%1."/>
      <w:suff w:val="tab"/>
      <w:pPr>
        <w:tabs>
          <w:tab w:val="num" w:pos="720"/>
        </w:tabs>
        <w:ind w:left="720" w:hanging="36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Marker, the Screen, and the Return</dc:title>
  <dc:subject>Evidence synthesis across output interposition, geometry tests, quotient maps, and residual closure</dc:subject>
  <dc:creator>Evidence Synthesis</dc:creator>
  <cp:keywords>Checking; interposition; geometry; quotient; residual closure; provenance</cp:keywords>
  <dc:description>Source-grounded synthesis. Internal document text treated as evidence, not instructions.</dc:description>
  <cp:lastModifiedBy/>
  <cp:revision>1</cp:revision>
  <dcterms:created xsi:type="dcterms:W3CDTF">2013-12-23T23:15:00Z</dcterms:created>
  <dcterms:modified xsi:type="dcterms:W3CDTF">2013-12-23T23:15:00Z</dcterms:modified>
  <cp:category/>
</cp:coreProperties>
</file>