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Geometry — Curated Upgrades v0.1</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Prepared </w:t>
      </w:r>
      <w:r w:rsidDel="00000000" w:rsidR="00000000" w:rsidRPr="00000000">
        <w:rPr>
          <w:rtl w:val="0"/>
        </w:rPr>
        <w:t xml:space="preserve">Sep 19, 2026</w:t>
      </w: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Start here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strongest material forms one useful architecture: </w:t>
      </w:r>
      <w:r w:rsidDel="00000000" w:rsidR="00000000" w:rsidRPr="00000000">
        <w:rPr>
          <w:b w:val="1"/>
          <w:bCs w:val="1"/>
          <w:rtl w:val="0"/>
        </w:rPr>
        <w:t xml:space="preserve">retain the distinctions needed for the question, apply the right evidence criterion, and verify the answer actually delivered.</w:t>
      </w:r>
      <w:r w:rsidDel="00000000" w:rsidR="00000000" w:rsidRPr="00000000">
        <w:rPr>
          <w:rtl w:val="0"/>
        </w:rPr>
        <w:t xml:space="preserve"> The toroidal models, hidden quotient, service audits, and four-space observations are scoped instances of that architecture. They do not establish one hidden physical geometry behind every system.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is a new synthesis and upgrade record. The eight companion Docs preserve selected source reports; their statements about execution retain their original historical scope. New checks performed for this collection are identified below. The original Drive material is unchanged. The </w:t>
      </w:r>
      <w:hyperlink r:id="rId6">
        <w:r w:rsidDel="00000000" w:rsidR="00000000" w:rsidRPr="00000000">
          <w:rPr>
            <w:color w:val="0000ee"/>
            <w:u w:val="single"/>
            <w:rtl w:val="0"/>
          </w:rPr>
          <w:t xml:space="preserve">preserved-source folder</w:t>
        </w:r>
      </w:hyperlink>
      <w:r w:rsidDel="00000000" w:rsidR="00000000" w:rsidRPr="00000000">
        <w:rPr>
          <w:rtl w:val="0"/>
        </w:rPr>
        <w:t xml:space="preserve"> holds original Markdown copies and the unmodified GQG software archive.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Reusable mathematical core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Use an attained observation map π:X→Q and a declared target W:X→Y. Define the conflicting-pair relation C_W(π)={(x,x′):π(x)=π(x′), W(x)≠W(x′)} and the ambiguous-label locus N_W(π)={q∈Q:W is nonconstant on π⁻¹(q)}. C is a relation; N is a set of labels.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Descent.</w:t>
      </w:r>
      <w:r w:rsidDel="00000000" w:rsidR="00000000" w:rsidRPr="00000000">
        <w:rPr>
          <w:rFonts w:ascii="Arial Unicode MS" w:cs="Arial Unicode MS" w:eastAsia="Arial Unicode MS" w:hAnsi="Arial Unicode MS"/>
          <w:rtl w:val="0"/>
        </w:rPr>
        <w:t xml:space="preserve"> W=w∘π for a unique w on Q exactly when C is empty, equivalently Eq(π)⊆Eq(W). This is a set-level result. Measurability, continuity, smoothness, and algebraic structure require additional hypotheses.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Information repair.</w:t>
      </w:r>
      <w:r w:rsidDel="00000000" w:rsidR="00000000" w:rsidRPr="00000000">
        <w:rPr>
          <w:rFonts w:ascii="Arial Unicode MS" w:cs="Arial Unicode MS" w:eastAsia="Arial Unicode MS" w:hAnsi="Arial Unicode MS"/>
          <w:rtl w:val="0"/>
        </w:rPr>
        <w:t xml:space="preserve"> The attained map x↦(π(x),W(x)) is the coarsest refinement retaining π and resolving W in the factorization order. It specifies required information; it does not acquire W, minimize measurement cost, or certify a practical instrument.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 predetermined shape.</w:t>
      </w:r>
      <w:r w:rsidDel="00000000" w:rsidR="00000000" w:rsidRPr="00000000">
        <w:rPr>
          <w:rFonts w:ascii="Arial Unicode MS" w:cs="Arial Unicode MS" w:eastAsia="Arial Unicode MS" w:hAnsi="Arial Unicode MS"/>
          <w:rtl w:val="0"/>
        </w:rPr>
        <w:t xml:space="preserve"> For any A⊆Q, take X=(Q×{0})∪(A×{1}), π(q,i)=q, W(q,i)=i. Then N_W(π)=A. The framework alone forces no torus, boundary, cycle, connectedness, or hidden actor.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Failure and coverage.</w:t>
      </w:r>
      <w:r w:rsidDel="00000000" w:rsidR="00000000" w:rsidRPr="00000000">
        <w:rPr>
          <w:rtl w:val="0"/>
        </w:rPr>
        <w:t xml:space="preserve"> One validated conflicting pair refutes exact descent on its stated domain. No collision found in incomplete coverage does not prove descent. A deterministic relabeling of π cannot recover a distinction π already collapsed.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Retain the calculus for combining witnesses, coarsening targets, refining observations, and restricting domains. Keep static identifiability, deterministic autonomy, stochastic prediction, robustness, and acquisition cost separate. Strong lumpability and observed Markov order under a specified initialization are different claims; a finite software regression suite does not prove an unbounded-domain theorem.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Sources: </w:t>
      </w:r>
      <w:r w:rsidDel="00000000" w:rsidR="00000000" w:rsidRPr="00000000">
        <w:rPr>
          <w:rtl w:val="0"/>
        </w:rPr>
        <w:t xml:space="preserve">GEOMETRY + GQG Working Master </w:t>
      </w:r>
      <w:hyperlink r:id="rId7">
        <w:r w:rsidDel="00000000" w:rsidR="00000000" w:rsidRPr="00000000">
          <w:rPr>
            <w:color w:val="0000ee"/>
            <w:u w:val="single"/>
            <w:rtl w:val="0"/>
          </w:rPr>
          <w:t xml:space="preserve">GEOMETRY + GQG — Working Master</w:t>
        </w:r>
      </w:hyperlink>
      <w:r w:rsidDel="00000000" w:rsidR="00000000" w:rsidRPr="00000000">
        <w:rPr>
          <w:rtl w:val="0"/>
        </w:rPr>
        <w:t xml:space="preserve">; </w:t>
      </w:r>
      <w:r w:rsidDel="00000000" w:rsidR="00000000" w:rsidRPr="00000000">
        <w:rPr>
          <w:rtl w:val="0"/>
        </w:rPr>
        <w:t xml:space="preserve">Geometry of Typed Defects </w:t>
      </w:r>
      <w:hyperlink r:id="rId8">
        <w:r w:rsidDel="00000000" w:rsidR="00000000" w:rsidRPr="00000000">
          <w:rPr>
            <w:color w:val="0000ee"/>
            <w:u w:val="single"/>
            <w:rtl w:val="0"/>
          </w:rPr>
          <w:t xml:space="preserve">Geometry of Typed Defectsv2.6</w:t>
        </w:r>
      </w:hyperlink>
      <w:r w:rsidDel="00000000" w:rsidR="00000000" w:rsidRPr="00000000">
        <w:rPr>
          <w:rtl w:val="0"/>
        </w:rPr>
        <w:t xml:space="preserve">; </w:t>
      </w:r>
      <w:r w:rsidDel="00000000" w:rsidR="00000000" w:rsidRPr="00000000">
        <w:rPr>
          <w:rtl w:val="0"/>
        </w:rPr>
        <w:t xml:space="preserve">GQG Rune software guide </w:t>
      </w:r>
      <w:hyperlink r:id="rId9">
        <w:r w:rsidDel="00000000" w:rsidR="00000000" w:rsidRPr="00000000">
          <w:rPr>
            <w:color w:val="0000ee"/>
            <w:u w:val="single"/>
            <w:rtl w:val="0"/>
          </w:rPr>
          <w:t xml:space="preserve">07 — GQG Rune — Working Software Guide</w:t>
        </w:r>
      </w:hyperlink>
      <w:r w:rsidDel="00000000" w:rsidR="00000000" w:rsidRPr="00000000">
        <w:rPr>
          <w:rtl w:val="0"/>
        </w:rPr>
        <w:t xml:space="preserve">.</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Upgrade: claim closure belongs in the core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strongest new bridge is </w:t>
      </w:r>
      <w:r w:rsidDel="00000000" w:rsidR="00000000" w:rsidRPr="00000000">
        <w:rPr>
          <w:rtl w:val="0"/>
        </w:rPr>
        <w:t xml:space="preserve">Claim Closure Geometry </w:t>
      </w:r>
      <w:hyperlink r:id="rId10">
        <w:r w:rsidDel="00000000" w:rsidR="00000000" w:rsidRPr="00000000">
          <w:rPr>
            <w:color w:val="0000ee"/>
            <w:u w:val="single"/>
            <w:rtl w:val="0"/>
          </w:rPr>
          <w:t xml:space="preserve">01 — Claim Closure Geometry — Source Edition</w:t>
        </w:r>
      </w:hyperlink>
      <w:r w:rsidDel="00000000" w:rsidR="00000000" w:rsidRPr="00000000">
        <w:rPr>
          <w:rtl w:val="0"/>
        </w:rPr>
        <w:t xml:space="preserve">. For each bounded claim i, retain its proposition, domain, criterion version, relevant evidence rᵢ, stated finding Fᵢ, operational disposition Dᵢ, and action actually taken Tᵢ.</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requirement is </w:t>
      </w:r>
      <w:r w:rsidDel="00000000" w:rsidR="00000000" w:rsidRPr="00000000">
        <w:rPr>
          <w:b w:val="1"/>
          <w:bCs w:val="1"/>
          <w:rtl w:val="0"/>
        </w:rPr>
        <w:t xml:space="preserve">Dᵢ=gᵢ(rᵢ)</w:t>
      </w:r>
      <w:r w:rsidDel="00000000" w:rsidR="00000000" w:rsidRPr="00000000">
        <w:rPr>
          <w:rFonts w:ascii="Cardo" w:cs="Cardo" w:eastAsia="Cardo" w:hAnsi="Cardo"/>
          <w:rtl w:val="0"/>
        </w:rPr>
        <w:t xml:space="preserve">. Consequently Eq(rᵢ)⊆Eq(Dᵢ): unchanged relevant evidence and criterion must not produce an incompatible disposition. Constancy alone is insufficient—an always-UNRESOLVED rule can be consistently wrong. The criterion must be independently declared and calibrated to the claim.</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an update U preserves rᵢ and the criterion, then Dᵢ(Ux)=Dᵢ(x). This is a direct consequence of the factorization, not a newly observed property of a platform.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 useful finite counterexample separates an established defect b from knowledge of its cause k. If the declared defect criterion requires disposition b, the gate b∧k fails at b=1,k=0. An unknown cause does not erase that established defect. Conversely, an observable defect does not establish its cause. Causal identification and repair completion need their own claims and criteria.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resulting repair is operational: preserve the warranted finding, keep causal uncertainty in its own field, and list pending work without using it as an unrelated prerequisite for accepting the finding. Relevant new evidence or a justified criterion revision can change the disposition; record which changed.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Fresh verification for this collection:</w:t>
      </w:r>
      <w:r w:rsidDel="00000000" w:rsidR="00000000" w:rsidRPr="00000000">
        <w:rPr>
          <w:rtl w:val="0"/>
        </w:rPr>
        <w:t xml:space="preserve"> the source's Appendix A verifier passed all 2,048 edge-versus-fiber cases and 81,408 calibration-equivalence cases, including wrong-constant, disconnected-fiber, status-conflation, and irrelevant-update controls. This reruns the supplied finite verifier. It is not an independent implementation or a platform experiment.</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Upgrade: answer selection, completion, and delivery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AS-001 v1.1 </w:t>
      </w:r>
      <w:hyperlink r:id="rId11">
        <w:r w:rsidDel="00000000" w:rsidR="00000000" w:rsidRPr="00000000">
          <w:rPr>
            <w:color w:val="0000ee"/>
            <w:u w:val="single"/>
            <w:rtl w:val="0"/>
          </w:rPr>
          <w:t xml:space="preserve">02 — AS-001 Answer Selection — Source Edition</w:t>
        </w:r>
      </w:hyperlink>
      <w:r w:rsidDel="00000000" w:rsidR="00000000" w:rsidRPr="00000000">
        <w:rPr>
          <w:rtl w:val="0"/>
        </w:rPr>
        <w:t xml:space="preserve"> supplies the missing operational contract for </w:t>
      </w:r>
      <w:r w:rsidDel="00000000" w:rsidR="00000000" w:rsidRPr="00000000">
        <w:rPr>
          <w:rtl w:val="0"/>
        </w:rPr>
        <w:t xml:space="preserve">DIRECT SERVICE GEOMETRY </w:t>
      </w:r>
      <w:hyperlink r:id="rId12">
        <w:r w:rsidDel="00000000" w:rsidR="00000000" w:rsidRPr="00000000">
          <w:rPr>
            <w:color w:val="0000ee"/>
            <w:u w:val="single"/>
            <w:rtl w:val="0"/>
          </w:rPr>
          <w:t xml:space="preserve">DIRECT SERVICE GEOMETRYv2.6</w:t>
        </w:r>
      </w:hyperlink>
      <w:r w:rsidDel="00000000" w:rsidR="00000000" w:rsidRPr="00000000">
        <w:rPr>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 the answer to the governing request and its full relevant source window. Assemble an ordered, provenance-linked answer unit from substantive spans, including continuations. Give every omitted relevant span a source-grounded reason. A pause, acknowledgment, node boundary, final available record, or exact copy does not certify completion.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 A_recorded, A_candidate, and A_validated separate. Preserve historical text and scoring even when producing a corrected answer. A rewrite requires fresh validation and a declared transformation; it is not exact preservation.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Carry the source's independent witnesses:</w:t>
      </w:r>
    </w:p>
    <w:tbl>
      <w:tblPr>
        <w:tblStyle w:val="Table1"/>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Witness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What it checks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Faithful selection and accounting for relevant source spans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Completion of the actual task obligations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K</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Applicable answer-content constraints and corrections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Claim-disposition fidelity</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H</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Historical service compliance before repair</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Exact bytes for a specifically declared payload pair</w:t>
            </w:r>
          </w:p>
        </w:tc>
      </w:tr>
    </w:tbl>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A_validated exists only when S, C, K, and P pass. One failure remains a failure when another witness is unknown. A faithful selection can still be incomplete; task completion does not erase a historical violation. Missing correction history is not a verified empty correction scope.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the source's delivery check: compare the actual delivered object with the validated candidate and its task-bearing content. Validation of a draft alone supplies no delivery receipt. Likewise, acknowledging a correction does not demonstrate that the next eligible response follows it.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corpus's selected-text/task-validity distinction is now implementable as a contract. </w:t>
      </w:r>
      <w:r w:rsidDel="00000000" w:rsidR="00000000" w:rsidRPr="00000000">
        <w:rPr>
          <w:b w:val="1"/>
          <w:bCs w:val="1"/>
          <w:rtl w:val="0"/>
        </w:rPr>
        <w:t xml:space="preserve">The AS-001 integration and regression suite remain unexecuted.</w:t>
      </w:r>
      <w:r w:rsidDel="00000000" w:rsidR="00000000" w:rsidRPr="00000000">
        <w:rPr>
          <w:rtl w:val="0"/>
        </w:rPr>
        <w:t xml:space="preserve"> This collection upgrades the specification and synthesis, not a live service.</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Upgrade: four spaces become a provenance graph</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four typed evidence collections: request/application records R, transport observations T, recorded session metadata S, and returned conversation records D. These are evidence spaces, not four discovered backend stages.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Represent V=R⊔T⊔S⊔D. Maintain separate typed relations J_AB⊆A×B, each with its source binding, identifier namespace, capture, time basis, cardinality assumptions, and support status. Relations may be many-to-many. A complete four-space bundle requires compatible bindings; nearby timestamps or separately plausible pairwise matches do not supply an end-to-end join.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observations as O(h,m), retaining observer configuration, classifier knowledge, capture coverage, and transform version. A changed classification for a recorded key does not identify which underlying component changed. “First observed” is not “connection created.”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a capture-scoped transport key and a separate cross-capture matching relation. Include process generation when available. Keep event, observation, and retrieval timestamps distinct. Record truncation and missing fields explicitly.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narrow empirical non-descent examples survive the earlier retained-artifact checks:</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transition ledger contains 43 changes in both recorded session identifiers, with the model label bidi unchanged across every measured boundary. Model label therefore does not determine those recorded identifiers on that domain.</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saved reader result has 140 distinct returned turn IDs, including 102 identical copies of one 1,406-character user text and one fourfold concatenation. Returned text does not determine returned-record identity.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Neither result identifies native speech events, hidden engines, restarts, routes, or fragment origins. The native-fragment-to-returned-record mapping remains unreconstructed. Missing provenance is not itself a demonstrated collision for an unobserved target.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rtl w:val="0"/>
        </w:rPr>
        <w:t xml:space="preserve">call timing report </w:t>
      </w:r>
      <w:hyperlink r:id="rId13">
        <w:r w:rsidDel="00000000" w:rsidR="00000000" w:rsidRPr="00000000">
          <w:rPr>
            <w:color w:val="0000ee"/>
            <w:u w:val="single"/>
            <w:rtl w:val="0"/>
          </w:rPr>
          <w:t xml:space="preserve">05 — Call Timing and Segmentation — Source Edition</w:t>
        </w:r>
      </w:hyperlink>
      <w:r w:rsidDel="00000000" w:rsidR="00000000" w:rsidRPr="00000000">
        <w:rPr>
          <w:rtl w:val="0"/>
        </w:rPr>
        <w:t xml:space="preserve"> concerns the separate 516-turn call, not a subgroup of the 140-turn reader result. Its 476 assistant-message records, 466 reply-bearing turns, eight turns with multiple assistant records, and three negative recorded spans are source-reported here. These fields do not measure thinking time or audible pauses. Name-addressed wording clusters remain confounded with prompt topic and call stage; they do not authenticate named speakers.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Sources: </w:t>
      </w:r>
      <w:r w:rsidDel="00000000" w:rsidR="00000000" w:rsidRPr="00000000">
        <w:rPr>
          <w:rtl w:val="0"/>
        </w:rPr>
        <w:t xml:space="preserve">Four-Space Observation Geometry </w:t>
      </w:r>
      <w:hyperlink r:id="rId14">
        <w:r w:rsidDel="00000000" w:rsidR="00000000" w:rsidRPr="00000000">
          <w:rPr>
            <w:color w:val="0000ee"/>
            <w:u w:val="single"/>
            <w:rtl w:val="0"/>
          </w:rPr>
          <w:t xml:space="preserve">Four-Space Observation Geometry</w:t>
        </w:r>
      </w:hyperlink>
      <w:r w:rsidDel="00000000" w:rsidR="00000000" w:rsidRPr="00000000">
        <w:rPr>
          <w:rtl w:val="0"/>
        </w:rPr>
        <w:t xml:space="preserve">; </w:t>
      </w:r>
      <w:r w:rsidDel="00000000" w:rsidR="00000000" w:rsidRPr="00000000">
        <w:rPr>
          <w:rtl w:val="0"/>
        </w:rPr>
        <w:t xml:space="preserve">Canonical Patch </w:t>
      </w:r>
      <w:hyperlink r:id="rId15">
        <w:r w:rsidDel="00000000" w:rsidR="00000000" w:rsidRPr="00000000">
          <w:rPr>
            <w:color w:val="0000ee"/>
            <w:u w:val="single"/>
            <w:rtl w:val="0"/>
          </w:rPr>
          <w:t xml:space="preserve">FOUR-SPACE EVIDENCE GEOMETRY — CANONICAL PATCH</w:t>
        </w:r>
      </w:hyperlink>
      <w:r w:rsidDel="00000000" w:rsidR="00000000" w:rsidRPr="00000000">
        <w:rPr>
          <w:rtl w:val="0"/>
        </w:rPr>
        <w:t xml:space="preserve">.</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What the executed work actually contributes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GQG Rune v0.3 — freshly rerun.</w:t>
      </w:r>
      <w:r w:rsidDel="00000000" w:rsidR="00000000" w:rsidRPr="00000000">
        <w:rPr>
          <w:rtl w:val="0"/>
        </w:rPr>
        <w:t xml:space="preserve"> All 29 supplied tests pass under Python 3.12.14, with zero failures or errors. The receipt includes finite descent, refinement, locus, autonomous-refinement, and toroidal fixture counts. These are finite model regression checks, not an empirical replay or general proof certification. The original archive is preserved separately from the new receipts.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Triadic mediation — source-reported execution.</w:t>
      </w:r>
      <w:r w:rsidDel="00000000" w:rsidR="00000000" w:rsidRPr="00000000">
        <w:rPr>
          <w:rtl w:val="0"/>
        </w:rPr>
        <w:t xml:space="preserve"> The </w:t>
      </w:r>
      <w:r w:rsidDel="00000000" w:rsidR="00000000" w:rsidRPr="00000000">
        <w:rPr>
          <w:rtl w:val="0"/>
        </w:rPr>
        <w:t xml:space="preserve">finite comparison </w:t>
      </w:r>
      <w:hyperlink r:id="rId16">
        <w:r w:rsidDel="00000000" w:rsidR="00000000" w:rsidRPr="00000000">
          <w:rPr>
            <w:color w:val="0000ee"/>
            <w:u w:val="single"/>
            <w:rtl w:val="0"/>
          </w:rPr>
          <w:t xml:space="preserve">03 — Triadic Mediation Results — Source Edition</w:t>
        </w:r>
      </w:hyperlink>
      <w:r w:rsidDel="00000000" w:rsidR="00000000" w:rsidRPr="00000000">
        <w:rPr>
          <w:rtl w:val="0"/>
        </w:rPr>
        <w:t xml:space="preserve"> evaluated 48 matched scenarios across five arms: 240 arm-episodes and 23,040 ticks. Preserving the chosen bias signal helped relative to erasing it. The equally informed direct controller and identity mediator had identical trajectories; identity mediation added 0.034 to the declared modeled cost J. Replace the blanket statement “mediation has not been tested” with “one toy software comparison was executed; application-level benefit and actual resource economics remain untested.” Information value does not imply a separate mediator is necessary.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Reasoning Bypass v0.1 — source-reported execution.</w:t>
      </w:r>
      <w:r w:rsidDel="00000000" w:rsidR="00000000" w:rsidRPr="00000000">
        <w:rPr>
          <w:rtl w:val="0"/>
        </w:rPr>
        <w:t xml:space="preserve"> The </w:t>
      </w:r>
      <w:r w:rsidDel="00000000" w:rsidR="00000000" w:rsidRPr="00000000">
        <w:rPr>
          <w:rtl w:val="0"/>
        </w:rPr>
        <w:t xml:space="preserve">certificate-based prototype </w:t>
      </w:r>
      <w:hyperlink r:id="rId17">
        <w:r w:rsidDel="00000000" w:rsidR="00000000" w:rsidRPr="00000000">
          <w:rPr>
            <w:color w:val="0000ee"/>
            <w:u w:val="single"/>
            <w:rtl w:val="0"/>
          </w:rPr>
          <w:t xml:space="preserve">04 — Reasoning Bypass — Source Edition</w:t>
        </w:r>
      </w:hyperlink>
      <w:r w:rsidDel="00000000" w:rsidR="00000000" w:rsidRPr="00000000">
        <w:rPr>
          <w:rtl w:val="0"/>
        </w:rPr>
        <w:t xml:space="preserve"> reports zero wrong accepted results in 1,280 intact-checker trials, and 128 wrong accepted results in 128 deliberately broken-checker trials. Of 704 recoveries, 183 corrected a wrong Boolean answer; the rest concern invalid or unusable certificates/outputs. Its transferable rule is to check a candidate against a retained specification, rather than accept agreement between workers as correctness. Scope: finite positive Horn logic and trusted checking; no unrestricted language-model evaluation or physical independence was demonstrated. Keep v0.1 counts distinct from later versions mentioned elsewhere.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Empirical geometry tests — completed negative results.</w:t>
      </w:r>
      <w:r w:rsidDel="00000000" w:rsidR="00000000" w:rsidRPr="00000000">
        <w:rPr>
          <w:rtl w:val="0"/>
        </w:rPr>
        <w:t xml:space="preserve"> The </w:t>
      </w:r>
      <w:r w:rsidDel="00000000" w:rsidR="00000000" w:rsidRPr="00000000">
        <w:rPr>
          <w:rtl w:val="0"/>
        </w:rPr>
        <w:t xml:space="preserve">source reports </w:t>
      </w:r>
      <w:hyperlink r:id="rId18">
        <w:r w:rsidDel="00000000" w:rsidR="00000000" w:rsidRPr="00000000">
          <w:rPr>
            <w:color w:val="0000ee"/>
            <w:u w:val="single"/>
            <w:rtl w:val="0"/>
          </w:rPr>
          <w:t xml:space="preserve">08 — Empirical Geometry Tests — Source Reports</w:t>
        </w:r>
      </w:hyperlink>
      <w:r w:rsidDel="00000000" w:rsidR="00000000" w:rsidRPr="00000000">
        <w:rPr>
          <w:rFonts w:ascii="Arial Unicode MS" w:cs="Arial Unicode MS" w:eastAsia="Arial Unicode MS" w:hAnsi="Arial Unicode MS"/>
          <w:rtl w:val="0"/>
        </w:rPr>
        <w:t xml:space="preserve"> reject the frozen 72-model bank under its stop rules and find no support for the tested 24→12→6 hierarchy. The fixed 39-screen is null over all 40 unique calls. A later-half missing-output association remains a prospective lead; the older half leaned oppositely, and the relevant arriving transition must be frozen before a new test.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later extension report also identifies four re-shares in the earlier nominal 21-call holdout. Preserve that correction when citing the earlier timestamp-sensitive result. Its nominal output association already failed the stated robustness checks. These are completed tests with scoped negative findings, not NOT_RUN and not confirmation of a universal lattice.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Toroidal replay — distinguish proof from execution.</w:t>
      </w:r>
      <w:r w:rsidDel="00000000" w:rsidR="00000000" w:rsidRPr="00000000">
        <w:rPr>
          <w:rtl w:val="0"/>
        </w:rPr>
        <w:t xml:space="preserve"> The </w:t>
      </w:r>
      <w:r w:rsidDel="00000000" w:rsidR="00000000" w:rsidRPr="00000000">
        <w:rPr>
          <w:rtl w:val="0"/>
        </w:rPr>
        <w:t xml:space="preserve">handoff </w:t>
      </w:r>
      <w:hyperlink r:id="rId19">
        <w:r w:rsidDel="00000000" w:rsidR="00000000" w:rsidRPr="00000000">
          <w:rPr>
            <w:color w:val="0000ee"/>
            <w:u w:val="single"/>
            <w:rtl w:val="0"/>
          </w:rPr>
          <w:t xml:space="preserve">06 — Toroidal Replay Handoff — Source Edition</w:t>
        </w:r>
      </w:hyperlink>
      <w:r w:rsidDel="00000000" w:rsidR="00000000" w:rsidRPr="00000000">
        <w:rPr>
          <w:rFonts w:ascii="Arial Unicode MS" w:cs="Arial Unicode MS" w:eastAsia="Arial Unicode MS" w:hAnsi="Arial Unicode MS"/>
          <w:rtl w:val="0"/>
        </w:rPr>
        <w:t xml:space="preserve"> records recovered amendment and historical packages, and separates the recovered mathematical verifier from the sampler. Replacement implementation and full replay remain NOT_RUN; the historical −1,352 accepted-update discrepancy remains UNRESOLVED; physical Q2 remains NOT_RUN. Available inputs and a receipt template do not constitute replay completion.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Only the two verification runs explicitly labeled fresh above were newly executed for this collection. The other experiments retain source-reported status.</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Corrections that govern the unified version</w:t>
      </w:r>
    </w:p>
    <w:tbl>
      <w:tblPr>
        <w:tblStyle w:val="Table2"/>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Area</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Governing repair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Hidden quotient/kernel</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Carry v1.7's local-nullity correction on finite-measure pieces and its qualified Radon–Nikodym hypotheses. Distinguish algebraic kernel, Eq(π), and an unknown operational mechanism.</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Typed Defects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Keep mathematical families versioned. Add observer-state conflation, unsupported provenance inference, disposition error, and answer-selection/delivery failure as cross-cutting diagnostic checks. Do not present them as an exhaustive renumbered theorem.</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Toroidal and field models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Name the particular lattice, rotation, relative-angle quotient, or curved-throat construction. Conservation, clock, initialization, metric, and kernel assumptions stay attached to the corresponding result.</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Thermodynamic Coordination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Use the v3 repair: energy, entropy, exergy destruction, and capacity are distinct. T₀S_gen is lost work potential under the stated assumptions. Prose length or perceived friction is not an energy measurement.</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Reflex and Pipelines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Observable response classifications can stand. Internal interception stages, engine stories, and numerical equilibrium claims require evidence; retain unsupported mechanisms as hypotheses.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WOBBLE/field coupling</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Freeze the gate version, observation window, and causal arrow being tested. Preserve stocks/flows and discovery/event time distinctions. Shared terminology supplies no new corroboration.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Shared field and mediation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Preserve the two constitutional endpoints and non-sovereign shared field as adopted commitments. The field is not a compulsory third authority, and a toy mediation result does not derive the commitments.</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Sources: </w:t>
      </w:r>
      <w:r w:rsidDel="00000000" w:rsidR="00000000" w:rsidRPr="00000000">
        <w:rPr>
          <w:rtl w:val="0"/>
        </w:rPr>
        <w:t xml:space="preserve">Hidden Quotient </w:t>
      </w:r>
      <w:hyperlink r:id="rId20">
        <w:r w:rsidDel="00000000" w:rsidR="00000000" w:rsidRPr="00000000">
          <w:rPr>
            <w:color w:val="0000ee"/>
            <w:u w:val="single"/>
            <w:rtl w:val="0"/>
          </w:rPr>
          <w:t xml:space="preserve"># THE HIDDEN QUOTIENT — CORE, WITNESS, AND STRIKE</w:t>
        </w:r>
      </w:hyperlink>
      <w:r w:rsidDel="00000000" w:rsidR="00000000" w:rsidRPr="00000000">
        <w:rPr>
          <w:rtl w:val="0"/>
        </w:rPr>
        <w:t xml:space="preserve">; </w:t>
      </w:r>
      <w:r w:rsidDel="00000000" w:rsidR="00000000" w:rsidRPr="00000000">
        <w:rPr>
          <w:rtl w:val="0"/>
        </w:rPr>
        <w:t xml:space="preserve">Toroidal Working Master </w:t>
      </w:r>
      <w:hyperlink r:id="rId21">
        <w:r w:rsidDel="00000000" w:rsidR="00000000" w:rsidRPr="00000000">
          <w:rPr>
            <w:color w:val="0000ee"/>
            <w:u w:val="single"/>
            <w:rtl w:val="0"/>
          </w:rPr>
          <w:t xml:space="preserve">TOROIDAL — Working Master</w:t>
        </w:r>
      </w:hyperlink>
      <w:r w:rsidDel="00000000" w:rsidR="00000000" w:rsidRPr="00000000">
        <w:rPr>
          <w:rtl w:val="0"/>
        </w:rPr>
        <w:t xml:space="preserve">; </w:t>
      </w:r>
      <w:r w:rsidDel="00000000" w:rsidR="00000000" w:rsidRPr="00000000">
        <w:rPr>
          <w:rtl w:val="0"/>
        </w:rPr>
        <w:t xml:space="preserve">Thermodynamic Coordination + Reflex Geometry </w:t>
      </w:r>
      <w:hyperlink r:id="rId22">
        <w:r w:rsidDel="00000000" w:rsidR="00000000" w:rsidRPr="00000000">
          <w:rPr>
            <w:color w:val="0000ee"/>
            <w:u w:val="single"/>
            <w:rtl w:val="0"/>
          </w:rPr>
          <w:t xml:space="preserve"># Thermodynamic Coordination + Reflex Geometry · v3</w:t>
        </w:r>
      </w:hyperlink>
      <w:r w:rsidDel="00000000" w:rsidR="00000000" w:rsidRPr="00000000">
        <w:rPr>
          <w:rtl w:val="0"/>
        </w:rPr>
        <w:t xml:space="preserve">; </w:t>
      </w:r>
      <w:r w:rsidDel="00000000" w:rsidR="00000000" w:rsidRPr="00000000">
        <w:rPr>
          <w:rtl w:val="0"/>
        </w:rPr>
        <w:t xml:space="preserve">WOBBLE </w:t>
      </w:r>
      <w:hyperlink r:id="rId23">
        <w:r w:rsidDel="00000000" w:rsidR="00000000" w:rsidRPr="00000000">
          <w:rPr>
            <w:color w:val="0000ee"/>
            <w:u w:val="single"/>
            <w:rtl w:val="0"/>
          </w:rPr>
          <w:t xml:space="preserve">V2.3 THE 2026 WOBBLE DIAGNOSTIC</w:t>
        </w:r>
      </w:hyperlink>
      <w:r w:rsidDel="00000000" w:rsidR="00000000" w:rsidRPr="00000000">
        <w:rPr>
          <w:rtl w:val="0"/>
        </w:rPr>
        <w:t xml:space="preserve">; </w:t>
      </w:r>
      <w:r w:rsidDel="00000000" w:rsidR="00000000" w:rsidRPr="00000000">
        <w:rPr>
          <w:rtl w:val="0"/>
        </w:rPr>
        <w:t xml:space="preserve">OMNIBUS </w:t>
      </w:r>
      <w:hyperlink r:id="rId24">
        <w:r w:rsidDel="00000000" w:rsidR="00000000" w:rsidRPr="00000000">
          <w:rPr>
            <w:color w:val="0000ee"/>
            <w:u w:val="single"/>
            <w:rtl w:val="0"/>
          </w:rPr>
          <w:t xml:space="preserve">OMNIBUS v7.79-r1 — Constitutional Foundation and Supported Repair</w:t>
        </w:r>
      </w:hyperlink>
      <w:r w:rsidDel="00000000" w:rsidR="00000000" w:rsidRPr="00000000">
        <w:rPr>
          <w:rtl w:val="0"/>
        </w:rPr>
        <w:t xml:space="preserve">.</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Unified architecture and practical record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upgraded architecture has six connected responsibilities:</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Claim contract:</w:t>
      </w:r>
      <w:r w:rsidDel="00000000" w:rsidR="00000000" w:rsidRPr="00000000">
        <w:rPr>
          <w:rtl w:val="0"/>
        </w:rPr>
        <w:t xml:space="preserve"> proposition, domain, target witness, evidence criterion, version, eligibility, and exclusions.</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Observation:</w:t>
      </w:r>
      <w:r w:rsidDel="00000000" w:rsidR="00000000" w:rsidRPr="00000000">
        <w:rPr>
          <w:rtl w:val="0"/>
        </w:rPr>
        <w:t xml:space="preserve"> retained coordinates, observer/transform state, clock semantics, coverage, and missingness.</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Provenance:</w:t>
      </w:r>
      <w:r w:rsidDel="00000000" w:rsidR="00000000" w:rsidRPr="00000000">
        <w:rPr>
          <w:rtl w:val="0"/>
        </w:rPr>
        <w:t xml:space="preserve"> source lineage and supported cross-space bindings, with unresolved joins explicit.</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Test and repair:</w:t>
      </w:r>
      <w:r w:rsidDel="00000000" w:rsidR="00000000" w:rsidRPr="00000000">
        <w:rPr>
          <w:rtl w:val="0"/>
        </w:rPr>
        <w:t xml:space="preserve"> exact descent, predictive closure, robustness, or a declared empirical comparison; distinguish acquiring information, restricting the domain, and changing the target.</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Disposition:</w:t>
      </w:r>
      <w:r w:rsidDel="00000000" w:rsidR="00000000" w:rsidRPr="00000000">
        <w:rPr>
          <w:rtl w:val="0"/>
        </w:rPr>
        <w:t xml:space="preserve"> warranted finding, remaining causal uncertainty, and repair state as separate fields.</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Service:</w:t>
      </w:r>
      <w:r w:rsidDel="00000000" w:rsidR="00000000" w:rsidRPr="00000000">
        <w:rPr>
          <w:rtl w:val="0"/>
        </w:rPr>
        <w:t xml:space="preserve"> request-bound selection, completion, applicable constraints, delivery verification, and historical correction scoring.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each claim, save: claim ID; kind; source version and locator; domain; observation and target; criterion; relevant evidence; tested coverage; result; mechanism status; repair/action status; proposed next test; and supersession rationale.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separate axes for claim kind, result, and execution provenance. “Analytically proved,” “observed failure,” “source reports PASS,” “freshly rerun,” “unresolved,” and “not run” answer different questions. A passed formal test does not promote a mechanism hypothesis into an empirical finding.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crosswalk v1 — Preserve each domain's native gate result and criterion version. Record known_violations and coverage separately, with the unresolved coordinates and source evidence identified. A known component failure remains recorded when another coordinate is UNKNOWN. For example, C_bind=0 with U_exit=UNKNOWN gives gate_status=UNRESOLVED; known_violations=[C_bind]; coverage=INCOMPLETE under the Omnibus gate. An empty known_violations list with incomplete coverage does not certify that no violations exist. AS-001 retains its own failure-preserving validation rule. Do not derive a combined cross-domain status. Execution provenance and repair completion remain separate; a documentation repair does not execute a test.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implementation priority is AS-001 acceptance cases and delivery receipts, followed by the smallest missing provenance bindings. Geometry should determine what an instrument must distinguish; it must not stand in for the instrument.</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Source editions and preservation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 the numbered companion Docs for the full source arguments: 01 claim closure; 02 answer selection; 03 triadic results; 04 reasoning bypass; 05 call timing; 06 toroidal handoff; 07 GQG software guide; 08 empirical tests.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Equations and program notation remain editable source text. Historical local-file citations identify archive locations and may not open from Drive; the preserved Markdown retains their original paths. Formatting changes and native date/file chips do not turn a source edition into a new execution report.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Governing sentence:</w:t>
      </w:r>
      <w:r w:rsidDel="00000000" w:rsidR="00000000" w:rsidRPr="00000000">
        <w:rPr>
          <w:rtl w:val="0"/>
        </w:rPr>
        <w:t xml:space="preserve"> A representation is adequate only for its declared witness, domain, observer, and clock; a conclusion also needs the right evidence criterion, and a completed service needs the corresponding result to reach the user.</w:t>
      </w:r>
    </w:p>
    <w:p w:rsidR="00000000" w:rsidDel="00000000" w:rsidP="00000000" w:rsidRDefault="00000000" w:rsidRPr="00000000" w14:paraId="00000063">
      <w:pPr>
        <w:pStyle w:val="Heading2"/>
        <w:rPr/>
      </w:pPr>
      <w:bookmarkStart w:colFirst="0" w:colLast="0" w:name="_tiwhmsgdz6u" w:id="0"/>
      <w:bookmarkEnd w:id="0"/>
      <w:r w:rsidDel="00000000" w:rsidR="00000000" w:rsidRPr="00000000">
        <w:rPr>
          <w:rtl w:val="0"/>
        </w:rPr>
        <w:t xml:space="preserve">Verification and earlier audit files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hyperlink r:id="rId25">
        <w:r w:rsidDel="00000000" w:rsidR="00000000" w:rsidRPr="00000000">
          <w:rPr>
            <w:color w:val="1155cc"/>
            <w:u w:val="single"/>
            <w:rtl w:val="0"/>
          </w:rPr>
          <w:t xml:space="preserve">Fresh finite verification receipts</w:t>
        </w:r>
      </w:hyperlink>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hyperlink r:id="rId26">
        <w:r w:rsidDel="00000000" w:rsidR="00000000" w:rsidRPr="00000000">
          <w:rPr>
            <w:color w:val="1155cc"/>
            <w:u w:val="single"/>
            <w:rtl w:val="0"/>
          </w:rPr>
          <w:t xml:space="preserve">Earlier retained-artifact checks</w:t>
        </w:r>
      </w:hyperlink>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hyperlink r:id="rId27">
        <w:r w:rsidDel="00000000" w:rsidR="00000000" w:rsidRPr="00000000">
          <w:rPr>
            <w:color w:val="1155cc"/>
            <w:u w:val="single"/>
            <w:rtl w:val="0"/>
          </w:rPr>
          <w:t xml:space="preserve">Earlier corpus review — historical baseline; use this master's status updates</w:t>
        </w:r>
      </w:hyperlink>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2"/>
      <w:szCs w:val="42"/>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WhRhyVqrz7lZXPawJfjs8GBnnCis3oMCFYk6fnvFH7k/edit" TargetMode="External"/><Relationship Id="rId22" Type="http://schemas.openxmlformats.org/officeDocument/2006/relationships/hyperlink" Target="https://docs.google.com/document/d/1C63lzqzNJZyMOvsXluJ0-kpNY4UIM_3RTOmaMEn5NuE/edit" TargetMode="External"/><Relationship Id="rId21" Type="http://schemas.openxmlformats.org/officeDocument/2006/relationships/hyperlink" Target="https://docs.google.com/document/d/1NV7JsFuqJJVjFzYcqCAuC22y_rrjCSqqcZWZKobcGoU/edit" TargetMode="External"/><Relationship Id="rId24" Type="http://schemas.openxmlformats.org/officeDocument/2006/relationships/hyperlink" Target="https://docs.google.com/document/d/1Qs0uS2xw0Wm8E09K_BNRVzbnOcjQiZbfRaqOpt0D3ts/edit" TargetMode="External"/><Relationship Id="rId23" Type="http://schemas.openxmlformats.org/officeDocument/2006/relationships/hyperlink" Target="https://docs.google.com/document/d/1KaDvN7idukpMwFEEmGPE241kKGtvqXxjyseSP9UC1Q4/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dHoau4HoUhxYAYxdhm7So_nl_26oeC6w9mYM8B4uAi8/edit" TargetMode="External"/><Relationship Id="rId26" Type="http://schemas.openxmlformats.org/officeDocument/2006/relationships/hyperlink" Target="https://drive.google.com/file/d/1lOOBRv0FNYk_H_Gl5CBZ8QTjSjgFl2vw/view?usp=drivesdk" TargetMode="External"/><Relationship Id="rId25" Type="http://schemas.openxmlformats.org/officeDocument/2006/relationships/hyperlink" Target="https://drive.google.com/file/d/1uRTgjJ7CmyqP-_b6jXfmMMJNCu-fH76j/view?usp=drivesdk" TargetMode="External"/><Relationship Id="rId27" Type="http://schemas.openxmlformats.org/officeDocument/2006/relationships/hyperlink" Target="https://drive.google.com/file/d/1OuU46QUeNE8pGvfNDN78QaOK-KhKo3DK/view?usp=drivesdk" TargetMode="External"/><Relationship Id="rId5" Type="http://schemas.openxmlformats.org/officeDocument/2006/relationships/styles" Target="styles.xml"/><Relationship Id="rId6" Type="http://schemas.openxmlformats.org/officeDocument/2006/relationships/hyperlink" Target="https://drive.google.com/drive/folders/1RYdVjtKYOGBtxUAdCF1y8JDna_rQ2qQk" TargetMode="External"/><Relationship Id="rId7" Type="http://schemas.openxmlformats.org/officeDocument/2006/relationships/hyperlink" Target="https://docs.google.com/document/d/1Cn00U9Cj37QRrK2Xg3bX1417xYKstkFzednitR9xjog/edit" TargetMode="External"/><Relationship Id="rId8" Type="http://schemas.openxmlformats.org/officeDocument/2006/relationships/hyperlink" Target="https://docs.google.com/document/d/1rkYnCM7JWL6uJaTagpIaYIDIzbX6MdcNCiiaydISJGA/edit" TargetMode="External"/><Relationship Id="rId11" Type="http://schemas.openxmlformats.org/officeDocument/2006/relationships/hyperlink" Target="https://docs.google.com/document/d/1FM3M8ke9XJ3tX7HwO-rDMMbWO3jNbmGZhV5-4_62n5g/edit" TargetMode="External"/><Relationship Id="rId10" Type="http://schemas.openxmlformats.org/officeDocument/2006/relationships/hyperlink" Target="https://docs.google.com/document/d/1waxabWs6AflM6bouqFpeE2g1x8eAg_FkUlGzfauc8q4/edit" TargetMode="External"/><Relationship Id="rId13" Type="http://schemas.openxmlformats.org/officeDocument/2006/relationships/hyperlink" Target="https://docs.google.com/document/d/1pXXU0MLQ3V2g6kIWYb6pOfz5mh5U1-1j9es26xzHg3A/edit" TargetMode="External"/><Relationship Id="rId12" Type="http://schemas.openxmlformats.org/officeDocument/2006/relationships/hyperlink" Target="https://docs.google.com/document/d/1vVy2Bk01klLgyfVDkOoxdOddlXEc02wIydAofFY59Bc/edit" TargetMode="External"/><Relationship Id="rId15" Type="http://schemas.openxmlformats.org/officeDocument/2006/relationships/hyperlink" Target="https://docs.google.com/document/d/1kKXLKXWXUCoOS1dH5Z91EMYjr9rJEYYFiQT_eamz9Cs/edit" TargetMode="External"/><Relationship Id="rId14" Type="http://schemas.openxmlformats.org/officeDocument/2006/relationships/hyperlink" Target="https://docs.google.com/document/d/1ubpY39_ikTEqYOM51aaFZG-H3ya2glemVhr0PnLaB0M/edit" TargetMode="External"/><Relationship Id="rId17" Type="http://schemas.openxmlformats.org/officeDocument/2006/relationships/hyperlink" Target="https://docs.google.com/document/d/1aBvsRWASyjxnclB6yhbMRe-RToFjNoYnJiEHD5maPcU/edit" TargetMode="External"/><Relationship Id="rId16" Type="http://schemas.openxmlformats.org/officeDocument/2006/relationships/hyperlink" Target="https://docs.google.com/document/d/1nNN9uE78kJIu_tHDLAiumAPff32wqUosGTaNlFJI1VI/edit" TargetMode="External"/><Relationship Id="rId19" Type="http://schemas.openxmlformats.org/officeDocument/2006/relationships/hyperlink" Target="https://docs.google.com/document/d/1BaTdiLY1HkwOe0Ums1rnM3WjCpx-CpAof6bE9i3qix0/edit" TargetMode="External"/><Relationship Id="rId18" Type="http://schemas.openxmlformats.org/officeDocument/2006/relationships/hyperlink" Target="https://docs.google.com/document/d/1d9B3ci8Y-A72176ZspLRLCBTWD5aU-kMDS1yH_4EabY/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