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COUSIN HOMINID</w:t>
      </w:r>
    </w:p>
    <w:p>
      <w:pPr>
        <w:spacing w:before="80"/>
      </w:pPr>
      <w:r>
        <w:rPr>
          <w:rFonts w:ascii="Aptos Display" w:hAnsi="Aptos Display"/>
          <w:b/>
          <w:sz w:val="34"/>
        </w:rPr>
        <w:t>ARCHITECTURE EXTRACTION</w:t>
      </w:r>
    </w:p>
    <w:p>
      <w:pPr>
        <w:spacing w:before="280"/>
      </w:pPr>
      <w:r>
        <w:rPr>
          <w:b/>
        </w:rPr>
        <w:t>Source: Cousin hominid .docx</w:t>
        <w:br/>
      </w:r>
      <w:r>
        <w:t>Mode: architecture only; conversational scaffolding removed; repeated passes consolidated; evidence-status boundaries preserved.</w:t>
      </w:r>
    </w:p>
    <w:p>
      <w:pPr>
        <w:pStyle w:val="ArchitectureBlock"/>
        <w:pBdr>
          <w:left w:val="single" w:sz="8" w:space="6" w:color="8A8A8A"/>
        </w:pBdr>
      </w:pPr>
      <w:r>
        <w:t>Editorial rule: retain the machine, not the banter. Models, equations, causal chains, named institutional nodes, office distinctions, bridge routes, ledgers, tests, counter-witnesses, and unresolved seams are retained. Greetings, reactions, tool-status text, repeated run-up language, and most meta-commentary are removed.</w:t>
      </w:r>
    </w:p>
    <w:p>
      <w:pPr>
        <w:pStyle w:val="ArchitectureBlock"/>
        <w:pBdr>
          <w:left w:val="single" w:sz="8" w:space="6" w:color="8A8A8A"/>
        </w:pBdr>
      </w:pPr>
      <w:r>
        <w:t>Evidence discipline: 'confirmed,' 'strong,' 'open,' 'not located,' 'speculative,' and 'not supported' remain distinct. A hypothesis is not upgraded merely because later architecture fits it.</w:t>
      </w:r>
    </w:p>
    <w:p/>
    <w:p>
      <w:r>
        <w:rPr>
          <w:b/>
        </w:rPr>
        <w:t>Core compression</w:t>
      </w:r>
    </w:p>
    <w:p>
      <w:pPr>
        <w:pStyle w:val="EquationBlock"/>
        <w:shd w:fill="F2F2F2"/>
      </w:pPr>
      <w:r>
        <w:rPr>
          <w:rFonts w:ascii="Cascadia Mono" w:hAnsi="Cascadia Mono"/>
          <w:sz w:val="17"/>
        </w:rPr>
        <w:t>TIME -&gt; MEASURE -&gt; LEDGER -&gt; LEGITIMACY -&gt; OBLIGATION -&gt; CAPTURE -&gt; REMAINDER -&gt; RETURN</w:t>
      </w:r>
    </w:p>
    <w:p>
      <w:pPr>
        <w:pStyle w:val="EquationBlock"/>
        <w:shd w:fill="F2F2F2"/>
      </w:pPr>
      <w:r>
        <w:rPr>
          <w:rFonts w:ascii="Cascadia Mono" w:hAnsi="Cascadia Mono"/>
          <w:sz w:val="17"/>
        </w:rPr>
        <w:t>Credential -&gt; Access -&gt; Interpret -&gt; Amplify -&gt; Authorize -&gt; Allocate -&gt; Enforce -&gt; Adjudicate -&gt; Archive -&gt; Time -&gt; Credential</w:t>
      </w:r>
    </w:p>
    <w:p>
      <w:pPr>
        <w:pStyle w:val="EquationBlock"/>
        <w:shd w:fill="F2F2F2"/>
      </w:pPr>
      <w:r>
        <w:rPr>
          <w:rFonts w:ascii="Cascadia Mono" w:hAnsi="Cascadia Mono"/>
          <w:sz w:val="17"/>
        </w:rPr>
        <w:t>R = X - Q(X)</w:t>
      </w:r>
    </w:p>
    <w:p>
      <w:r/>
    </w:p>
    <w:p>
      <w:pPr>
        <w:pStyle w:val="Heading1"/>
      </w:pPr>
      <w:r>
        <w:t>Contents</w:t>
      </w:r>
    </w:p>
    <w:p>
      <w:pPr>
        <w:spacing w:after="36"/>
        <w:ind w:left="317" w:hanging="245"/>
      </w:pPr>
      <w:r>
        <w:rPr>
          <w:b/>
        </w:rPr>
        <w:t xml:space="preserve">1. </w:t>
      </w:r>
      <w:r>
        <w:t>Master institutional machine</w:t>
      </w:r>
    </w:p>
    <w:p>
      <w:pPr>
        <w:spacing w:after="36"/>
        <w:ind w:left="317" w:hanging="245"/>
      </w:pPr>
      <w:r>
        <w:rPr>
          <w:b/>
        </w:rPr>
        <w:t xml:space="preserve">2. </w:t>
      </w:r>
      <w:r>
        <w:t>Quotient, remainder, recurrence</w:t>
      </w:r>
    </w:p>
    <w:p>
      <w:pPr>
        <w:spacing w:after="36"/>
        <w:ind w:left="317" w:hanging="245"/>
      </w:pPr>
      <w:r>
        <w:rPr>
          <w:b/>
        </w:rPr>
        <w:t xml:space="preserve">3. </w:t>
      </w:r>
      <w:r>
        <w:t>Diagnostic and forensic tests</w:t>
      </w:r>
    </w:p>
    <w:p>
      <w:pPr>
        <w:spacing w:after="36"/>
        <w:ind w:left="317" w:hanging="245"/>
      </w:pPr>
      <w:r>
        <w:rPr>
          <w:b/>
        </w:rPr>
        <w:t xml:space="preserve">4. </w:t>
      </w:r>
      <w:r>
        <w:t>Mythic / social fossil architecture</w:t>
      </w:r>
    </w:p>
    <w:p>
      <w:pPr>
        <w:spacing w:after="36"/>
        <w:ind w:left="317" w:hanging="245"/>
      </w:pPr>
      <w:r>
        <w:rPr>
          <w:b/>
        </w:rPr>
        <w:t xml:space="preserve">5. </w:t>
      </w:r>
      <w:r>
        <w:t>Deep-time hominin hypothesis lane</w:t>
      </w:r>
    </w:p>
    <w:p>
      <w:pPr>
        <w:spacing w:after="36"/>
        <w:ind w:left="317" w:hanging="245"/>
      </w:pPr>
      <w:r>
        <w:rPr>
          <w:b/>
        </w:rPr>
        <w:t xml:space="preserve">6. </w:t>
      </w:r>
      <w:r>
        <w:t>Babylonian Timekeeper transmission</w:t>
      </w:r>
    </w:p>
    <w:p>
      <w:pPr>
        <w:spacing w:after="36"/>
        <w:ind w:left="317" w:hanging="245"/>
      </w:pPr>
      <w:r>
        <w:rPr>
          <w:b/>
        </w:rPr>
        <w:t xml:space="preserve">7. </w:t>
      </w:r>
      <w:r>
        <w:t>Enochic–Levitical custodial architecture</w:t>
      </w:r>
    </w:p>
    <w:p>
      <w:pPr>
        <w:spacing w:after="36"/>
        <w:ind w:left="317" w:hanging="245"/>
      </w:pPr>
      <w:r>
        <w:rPr>
          <w:b/>
        </w:rPr>
        <w:t xml:space="preserve">8. </w:t>
      </w:r>
      <w:r>
        <w:t>Jerusalem custodial ecosystem</w:t>
      </w:r>
    </w:p>
    <w:p>
      <w:pPr>
        <w:spacing w:after="36"/>
        <w:ind w:left="317" w:hanging="245"/>
      </w:pPr>
      <w:r>
        <w:rPr>
          <w:b/>
        </w:rPr>
        <w:t xml:space="preserve">9. </w:t>
      </w:r>
      <w:r>
        <w:t>Rupture, office mutation, and portable custody</w:t>
      </w:r>
    </w:p>
    <w:p>
      <w:pPr>
        <w:spacing w:after="36"/>
        <w:ind w:left="317" w:hanging="245"/>
      </w:pPr>
      <w:r>
        <w:rPr>
          <w:b/>
        </w:rPr>
        <w:t xml:space="preserve">10. </w:t>
      </w:r>
      <w:r>
        <w:t>Modern production architecture of power</w:t>
      </w:r>
    </w:p>
    <w:p>
      <w:pPr>
        <w:spacing w:after="36"/>
        <w:ind w:left="317" w:hanging="245"/>
      </w:pPr>
      <w:r>
        <w:rPr>
          <w:b/>
        </w:rPr>
        <w:t xml:space="preserve">11. </w:t>
      </w:r>
      <w:r>
        <w:t>Network geometry and quantitative targets</w:t>
      </w:r>
    </w:p>
    <w:p>
      <w:pPr>
        <w:spacing w:after="36"/>
        <w:ind w:left="317" w:hanging="245"/>
      </w:pPr>
      <w:r>
        <w:rPr>
          <w:b/>
        </w:rPr>
        <w:t xml:space="preserve">12. </w:t>
      </w:r>
      <w:r>
        <w:t>Master evidence / uncertainty register</w:t>
      </w:r>
    </w:p>
    <w:p>
      <w:pPr>
        <w:spacing w:after="36"/>
        <w:ind w:left="317" w:hanging="245"/>
      </w:pPr>
      <w:r>
        <w:rPr>
          <w:b/>
        </w:rPr>
        <w:t xml:space="preserve">13. </w:t>
      </w:r>
      <w:r>
        <w:t>Formula and state-transition register</w:t>
      </w:r>
    </w:p>
    <w:p>
      <w:pPr>
        <w:spacing w:after="36"/>
        <w:ind w:left="317" w:hanging="245"/>
      </w:pPr>
      <w:r>
        <w:rPr>
          <w:b/>
        </w:rPr>
        <w:t xml:space="preserve">14. </w:t>
      </w:r>
      <w:r>
        <w:t>Symbolic diagnostic architectures</w:t>
      </w:r>
    </w:p>
    <w:p>
      <w:r/>
    </w:p>
    <w:p>
      <w:pPr>
        <w:pStyle w:val="Heading1"/>
      </w:pPr>
      <w:r>
        <w:t>1. Master Institutional Machine</w:t>
      </w:r>
    </w:p>
    <w:p>
      <w:pPr>
        <w:pStyle w:val="ArchitectureBlock"/>
        <w:pBdr>
          <w:left w:val="single" w:sz="8" w:space="6" w:color="8A8A8A"/>
        </w:pBdr>
      </w:pPr>
      <w:r>
        <w:t>The recurring object is not a single occupant or bloodline. It is a production architecture in which functions persist while people rotate through them. Durable power may therefore concentrate in the machinery that selects, routes, interprets, authorizes, records, and times occupants rather than in the occupants alone.</w:t>
      </w:r>
    </w:p>
    <w:p>
      <w:pPr>
        <w:pStyle w:val="Heading2"/>
      </w:pPr>
      <w:r>
        <w:t>1.1 Full functional stack</w:t>
      </w:r>
    </w:p>
    <w:tbl>
      <w:tblPr>
        <w:tblStyle w:val="TableGrid"/>
        <w:tblW w:type="auto" w:w="0"/>
        <w:jc w:val="center"/>
        <w:tblLayout w:type="autofit"/>
        <w:tblLook w:firstColumn="1" w:firstRow="1" w:lastColumn="0" w:lastRow="0" w:noHBand="0" w:noVBand="1" w:val="04A0"/>
      </w:tblPr>
      <w:tblGrid>
        <w:gridCol w:w="5083"/>
        <w:gridCol w:w="5083"/>
      </w:tblGrid>
      <w:tr>
        <w:tc>
          <w:tcPr>
            <w:tcW w:type="dxa" w:w="2232"/>
            <w:shd w:fill="E7E7E7"/>
            <w:tcMar>
              <w:top w:w="65" w:type="dxa"/>
              <w:start w:w="75" w:type="dxa"/>
              <w:bottom w:w="65" w:type="dxa"/>
              <w:end w:w="75" w:type="dxa"/>
            </w:tcMar>
            <w:vAlign w:val="center"/>
          </w:tcPr>
          <w:p>
            <w:r>
              <w:rPr>
                <w:b/>
                <w:sz w:val="16"/>
              </w:rPr>
              <w:t>Function</w:t>
            </w:r>
          </w:p>
        </w:tc>
        <w:tc>
          <w:tcPr>
            <w:tcW w:type="dxa" w:w="7992"/>
            <w:shd w:fill="E7E7E7"/>
            <w:tcMar>
              <w:top w:w="65" w:type="dxa"/>
              <w:start w:w="75" w:type="dxa"/>
              <w:bottom w:w="65" w:type="dxa"/>
              <w:end w:w="75" w:type="dxa"/>
            </w:tcMar>
            <w:vAlign w:val="center"/>
          </w:tcPr>
          <w:p>
            <w:r>
              <w:rPr>
                <w:b/>
                <w:sz w:val="16"/>
              </w:rPr>
              <w:t>Architectural job</w:t>
            </w:r>
          </w:p>
        </w:tc>
      </w:tr>
      <w:tr>
        <w:tc>
          <w:tcPr>
            <w:tcW w:type="dxa" w:w="2232"/>
            <w:tcMar>
              <w:top w:w="65" w:type="dxa"/>
              <w:start w:w="75" w:type="dxa"/>
              <w:bottom w:w="65" w:type="dxa"/>
              <w:end w:w="75" w:type="dxa"/>
            </w:tcMar>
            <w:vAlign w:val="top"/>
          </w:tcPr>
          <w:p>
            <w:pPr>
              <w:spacing w:after="0"/>
            </w:pPr>
            <w:r>
              <w:rPr>
                <w:sz w:val="16"/>
              </w:rPr>
              <w:t>Credentialing</w:t>
            </w:r>
          </w:p>
        </w:tc>
        <w:tc>
          <w:tcPr>
            <w:tcW w:type="dxa" w:w="7992"/>
            <w:tcMar>
              <w:top w:w="65" w:type="dxa"/>
              <w:start w:w="75" w:type="dxa"/>
              <w:bottom w:w="65" w:type="dxa"/>
              <w:end w:w="75" w:type="dxa"/>
            </w:tcMar>
            <w:vAlign w:val="top"/>
          </w:tcPr>
          <w:p>
            <w:pPr>
              <w:spacing w:after="0"/>
            </w:pPr>
            <w:r>
              <w:rPr>
                <w:sz w:val="16"/>
              </w:rPr>
              <w:t>Defines viable candidates, acceptable expertise, recognized standing, and the option set before formal choice.</w:t>
            </w:r>
          </w:p>
        </w:tc>
      </w:tr>
      <w:tr>
        <w:tc>
          <w:tcPr>
            <w:tcW w:type="dxa" w:w="2232"/>
            <w:tcMar>
              <w:top w:w="65" w:type="dxa"/>
              <w:start w:w="75" w:type="dxa"/>
              <w:bottom w:w="65" w:type="dxa"/>
              <w:end w:w="75" w:type="dxa"/>
            </w:tcMar>
            <w:vAlign w:val="top"/>
          </w:tcPr>
          <w:p>
            <w:pPr>
              <w:spacing w:after="0"/>
            </w:pPr>
            <w:r>
              <w:rPr>
                <w:sz w:val="16"/>
              </w:rPr>
              <w:t>Access</w:t>
            </w:r>
          </w:p>
        </w:tc>
        <w:tc>
          <w:tcPr>
            <w:tcW w:type="dxa" w:w="7992"/>
            <w:tcMar>
              <w:top w:w="65" w:type="dxa"/>
              <w:start w:w="75" w:type="dxa"/>
              <w:bottom w:w="65" w:type="dxa"/>
              <w:end w:w="75" w:type="dxa"/>
            </w:tcMar>
            <w:vAlign w:val="top"/>
          </w:tcPr>
          <w:p>
            <w:pPr>
              <w:spacing w:after="0"/>
            </w:pPr>
            <w:r>
              <w:rPr>
                <w:sz w:val="16"/>
              </w:rPr>
              <w:t>Controls who reaches decision-makers and which inputs arrive before public review.</w:t>
            </w:r>
          </w:p>
        </w:tc>
      </w:tr>
      <w:tr>
        <w:tc>
          <w:tcPr>
            <w:tcW w:type="dxa" w:w="2232"/>
            <w:tcMar>
              <w:top w:w="65" w:type="dxa"/>
              <w:start w:w="75" w:type="dxa"/>
              <w:bottom w:w="65" w:type="dxa"/>
              <w:end w:w="75" w:type="dxa"/>
            </w:tcMar>
            <w:vAlign w:val="top"/>
          </w:tcPr>
          <w:p>
            <w:pPr>
              <w:spacing w:after="0"/>
            </w:pPr>
            <w:r>
              <w:rPr>
                <w:sz w:val="16"/>
              </w:rPr>
              <w:t>Interpretation</w:t>
            </w:r>
          </w:p>
        </w:tc>
        <w:tc>
          <w:tcPr>
            <w:tcW w:type="dxa" w:w="7992"/>
            <w:tcMar>
              <w:top w:w="65" w:type="dxa"/>
              <w:start w:w="75" w:type="dxa"/>
              <w:bottom w:w="65" w:type="dxa"/>
              <w:end w:w="75" w:type="dxa"/>
            </w:tcMar>
            <w:vAlign w:val="top"/>
          </w:tcPr>
          <w:p>
            <w:pPr>
              <w:spacing w:after="0"/>
            </w:pPr>
            <w:r>
              <w:rPr>
                <w:sz w:val="16"/>
              </w:rPr>
              <w:t>Determines what a problem, rule, event, text, risk, or obligation means.</w:t>
            </w:r>
          </w:p>
        </w:tc>
      </w:tr>
      <w:tr>
        <w:tc>
          <w:tcPr>
            <w:tcW w:type="dxa" w:w="2232"/>
            <w:tcMar>
              <w:top w:w="65" w:type="dxa"/>
              <w:start w:w="75" w:type="dxa"/>
              <w:bottom w:w="65" w:type="dxa"/>
              <w:end w:w="75" w:type="dxa"/>
            </w:tcMar>
            <w:vAlign w:val="top"/>
          </w:tcPr>
          <w:p>
            <w:pPr>
              <w:spacing w:after="0"/>
            </w:pPr>
            <w:r>
              <w:rPr>
                <w:sz w:val="16"/>
              </w:rPr>
              <w:t>Amplification</w:t>
            </w:r>
          </w:p>
        </w:tc>
        <w:tc>
          <w:tcPr>
            <w:tcW w:type="dxa" w:w="7992"/>
            <w:tcMar>
              <w:top w:w="65" w:type="dxa"/>
              <w:start w:w="75" w:type="dxa"/>
              <w:bottom w:w="65" w:type="dxa"/>
              <w:end w:w="75" w:type="dxa"/>
            </w:tcMar>
            <w:vAlign w:val="top"/>
          </w:tcPr>
          <w:p>
            <w:pPr>
              <w:spacing w:after="0"/>
            </w:pPr>
            <w:r>
              <w:rPr>
                <w:sz w:val="16"/>
              </w:rPr>
              <w:t>Makes one interpretation socially or institutionally dominant.</w:t>
            </w:r>
          </w:p>
        </w:tc>
      </w:tr>
      <w:tr>
        <w:tc>
          <w:tcPr>
            <w:tcW w:type="dxa" w:w="2232"/>
            <w:tcMar>
              <w:top w:w="65" w:type="dxa"/>
              <w:start w:w="75" w:type="dxa"/>
              <w:bottom w:w="65" w:type="dxa"/>
              <w:end w:w="75" w:type="dxa"/>
            </w:tcMar>
            <w:vAlign w:val="top"/>
          </w:tcPr>
          <w:p>
            <w:pPr>
              <w:spacing w:after="0"/>
            </w:pPr>
            <w:r>
              <w:rPr>
                <w:sz w:val="16"/>
              </w:rPr>
              <w:t>Authorization</w:t>
            </w:r>
          </w:p>
        </w:tc>
        <w:tc>
          <w:tcPr>
            <w:tcW w:type="dxa" w:w="7992"/>
            <w:tcMar>
              <w:top w:w="65" w:type="dxa"/>
              <w:start w:w="75" w:type="dxa"/>
              <w:bottom w:w="65" w:type="dxa"/>
              <w:end w:w="75" w:type="dxa"/>
            </w:tcMar>
            <w:vAlign w:val="top"/>
          </w:tcPr>
          <w:p>
            <w:pPr>
              <w:spacing w:after="0"/>
            </w:pPr>
            <w:r>
              <w:rPr>
                <w:sz w:val="16"/>
              </w:rPr>
              <w:t>Converts interpretation into operative authority: order, policy, contract, guidance, rule, holding.</w:t>
            </w:r>
          </w:p>
        </w:tc>
      </w:tr>
      <w:tr>
        <w:tc>
          <w:tcPr>
            <w:tcW w:type="dxa" w:w="2232"/>
            <w:tcMar>
              <w:top w:w="65" w:type="dxa"/>
              <w:start w:w="75" w:type="dxa"/>
              <w:bottom w:w="65" w:type="dxa"/>
              <w:end w:w="75" w:type="dxa"/>
            </w:tcMar>
            <w:vAlign w:val="top"/>
          </w:tcPr>
          <w:p>
            <w:pPr>
              <w:spacing w:after="0"/>
            </w:pPr>
            <w:r>
              <w:rPr>
                <w:sz w:val="16"/>
              </w:rPr>
              <w:t>Allocation</w:t>
            </w:r>
          </w:p>
        </w:tc>
        <w:tc>
          <w:tcPr>
            <w:tcW w:type="dxa" w:w="7992"/>
            <w:tcMar>
              <w:top w:w="65" w:type="dxa"/>
              <w:start w:w="75" w:type="dxa"/>
              <w:bottom w:w="65" w:type="dxa"/>
              <w:end w:w="75" w:type="dxa"/>
            </w:tcMar>
            <w:vAlign w:val="top"/>
          </w:tcPr>
          <w:p>
            <w:pPr>
              <w:spacing w:after="0"/>
            </w:pPr>
            <w:r>
              <w:rPr>
                <w:sz w:val="16"/>
              </w:rPr>
              <w:t>Distributes money, contracts, licenses, grants, data, exemptions, attention, or other scarce resources.</w:t>
            </w:r>
          </w:p>
        </w:tc>
      </w:tr>
      <w:tr>
        <w:tc>
          <w:tcPr>
            <w:tcW w:type="dxa" w:w="2232"/>
            <w:tcMar>
              <w:top w:w="65" w:type="dxa"/>
              <w:start w:w="75" w:type="dxa"/>
              <w:bottom w:w="65" w:type="dxa"/>
              <w:end w:w="75" w:type="dxa"/>
            </w:tcMar>
            <w:vAlign w:val="top"/>
          </w:tcPr>
          <w:p>
            <w:pPr>
              <w:spacing w:after="0"/>
            </w:pPr>
            <w:r>
              <w:rPr>
                <w:sz w:val="16"/>
              </w:rPr>
              <w:t>Technical dependency</w:t>
            </w:r>
          </w:p>
        </w:tc>
        <w:tc>
          <w:tcPr>
            <w:tcW w:type="dxa" w:w="7992"/>
            <w:tcMar>
              <w:top w:w="65" w:type="dxa"/>
              <w:start w:w="75" w:type="dxa"/>
              <w:bottom w:w="65" w:type="dxa"/>
              <w:end w:w="75" w:type="dxa"/>
            </w:tcMar>
            <w:vAlign w:val="top"/>
          </w:tcPr>
          <w:p>
            <w:pPr>
              <w:spacing w:after="0"/>
            </w:pPr>
            <w:r>
              <w:rPr>
                <w:sz w:val="16"/>
              </w:rPr>
              <w:t>Creates infrastructure, interoperability, switching cost, and incumbent path dependence.</w:t>
            </w:r>
          </w:p>
        </w:tc>
      </w:tr>
      <w:tr>
        <w:tc>
          <w:tcPr>
            <w:tcW w:type="dxa" w:w="2232"/>
            <w:tcMar>
              <w:top w:w="65" w:type="dxa"/>
              <w:start w:w="75" w:type="dxa"/>
              <w:bottom w:w="65" w:type="dxa"/>
              <w:end w:w="75" w:type="dxa"/>
            </w:tcMar>
            <w:vAlign w:val="top"/>
          </w:tcPr>
          <w:p>
            <w:pPr>
              <w:spacing w:after="0"/>
            </w:pPr>
            <w:r>
              <w:rPr>
                <w:sz w:val="16"/>
              </w:rPr>
              <w:t>Enforcement</w:t>
            </w:r>
          </w:p>
        </w:tc>
        <w:tc>
          <w:tcPr>
            <w:tcW w:type="dxa" w:w="7992"/>
            <w:tcMar>
              <w:top w:w="65" w:type="dxa"/>
              <w:start w:w="75" w:type="dxa"/>
              <w:bottom w:w="65" w:type="dxa"/>
              <w:end w:w="75" w:type="dxa"/>
            </w:tcMar>
            <w:vAlign w:val="top"/>
          </w:tcPr>
          <w:p>
            <w:pPr>
              <w:spacing w:after="0"/>
            </w:pPr>
            <w:r>
              <w:rPr>
                <w:sz w:val="16"/>
              </w:rPr>
              <w:t>Makes classifications consequential through police, prosecution, licensing, sanctions, contracting, or force.</w:t>
            </w:r>
          </w:p>
        </w:tc>
      </w:tr>
      <w:tr>
        <w:tc>
          <w:tcPr>
            <w:tcW w:type="dxa" w:w="2232"/>
            <w:tcMar>
              <w:top w:w="65" w:type="dxa"/>
              <w:start w:w="75" w:type="dxa"/>
              <w:bottom w:w="65" w:type="dxa"/>
              <w:end w:w="75" w:type="dxa"/>
            </w:tcMar>
            <w:vAlign w:val="top"/>
          </w:tcPr>
          <w:p>
            <w:pPr>
              <w:spacing w:after="0"/>
            </w:pPr>
            <w:r>
              <w:rPr>
                <w:sz w:val="16"/>
              </w:rPr>
              <w:t>Adjudication</w:t>
            </w:r>
          </w:p>
        </w:tc>
        <w:tc>
          <w:tcPr>
            <w:tcW w:type="dxa" w:w="7992"/>
            <w:tcMar>
              <w:top w:w="65" w:type="dxa"/>
              <w:start w:w="75" w:type="dxa"/>
              <w:bottom w:w="65" w:type="dxa"/>
              <w:end w:w="75" w:type="dxa"/>
            </w:tcMar>
            <w:vAlign w:val="top"/>
          </w:tcPr>
          <w:p>
            <w:pPr>
              <w:spacing w:after="0"/>
            </w:pPr>
            <w:r>
              <w:rPr>
                <w:sz w:val="16"/>
              </w:rPr>
              <w:t>Determines whether prior stages acted correctly and whether their outputs survive challenge.</w:t>
            </w:r>
          </w:p>
        </w:tc>
      </w:tr>
      <w:tr>
        <w:tc>
          <w:tcPr>
            <w:tcW w:type="dxa" w:w="2232"/>
            <w:tcMar>
              <w:top w:w="65" w:type="dxa"/>
              <w:start w:w="75" w:type="dxa"/>
              <w:bottom w:w="65" w:type="dxa"/>
              <w:end w:w="75" w:type="dxa"/>
            </w:tcMar>
            <w:vAlign w:val="top"/>
          </w:tcPr>
          <w:p>
            <w:pPr>
              <w:spacing w:after="0"/>
            </w:pPr>
            <w:r>
              <w:rPr>
                <w:sz w:val="16"/>
              </w:rPr>
              <w:t>Scribe / archive</w:t>
            </w:r>
          </w:p>
        </w:tc>
        <w:tc>
          <w:tcPr>
            <w:tcW w:type="dxa" w:w="7992"/>
            <w:tcMar>
              <w:top w:w="65" w:type="dxa"/>
              <w:start w:w="75" w:type="dxa"/>
              <w:bottom w:w="65" w:type="dxa"/>
              <w:end w:w="75" w:type="dxa"/>
            </w:tcMar>
            <w:vAlign w:val="top"/>
          </w:tcPr>
          <w:p>
            <w:pPr>
              <w:spacing w:after="0"/>
            </w:pPr>
            <w:r>
              <w:rPr>
                <w:sz w:val="16"/>
              </w:rPr>
              <w:t>Controls official records, provenance, classification, minutes, dockets, retention, and recoverability.</w:t>
            </w:r>
          </w:p>
        </w:tc>
      </w:tr>
      <w:tr>
        <w:tc>
          <w:tcPr>
            <w:tcW w:type="dxa" w:w="2232"/>
            <w:tcMar>
              <w:top w:w="65" w:type="dxa"/>
              <w:start w:w="75" w:type="dxa"/>
              <w:bottom w:w="65" w:type="dxa"/>
              <w:end w:w="75" w:type="dxa"/>
            </w:tcMar>
            <w:vAlign w:val="top"/>
          </w:tcPr>
          <w:p>
            <w:pPr>
              <w:spacing w:after="0"/>
            </w:pPr>
            <w:r>
              <w:rPr>
                <w:sz w:val="16"/>
              </w:rPr>
              <w:t>Timekeeper</w:t>
            </w:r>
          </w:p>
        </w:tc>
        <w:tc>
          <w:tcPr>
            <w:tcW w:type="dxa" w:w="7992"/>
            <w:tcMar>
              <w:top w:w="65" w:type="dxa"/>
              <w:start w:w="75" w:type="dxa"/>
              <w:bottom w:w="65" w:type="dxa"/>
              <w:end w:w="75" w:type="dxa"/>
            </w:tcMar>
            <w:vAlign w:val="top"/>
          </w:tcPr>
          <w:p>
            <w:pPr>
              <w:spacing w:after="0"/>
            </w:pPr>
            <w:r>
              <w:rPr>
                <w:sz w:val="16"/>
              </w:rPr>
              <w:t>Determines when a transition becomes valid: terms, deadlines, windows, maturities, elections, reviews, emergencies.</w:t>
            </w:r>
          </w:p>
        </w:tc>
      </w:tr>
      <w:tr>
        <w:tc>
          <w:tcPr>
            <w:tcW w:type="dxa" w:w="2232"/>
            <w:tcMar>
              <w:top w:w="65" w:type="dxa"/>
              <w:start w:w="75" w:type="dxa"/>
              <w:bottom w:w="65" w:type="dxa"/>
              <w:end w:w="75" w:type="dxa"/>
            </w:tcMar>
            <w:vAlign w:val="top"/>
          </w:tcPr>
          <w:p>
            <w:pPr>
              <w:spacing w:after="0"/>
            </w:pPr>
            <w:r>
              <w:rPr>
                <w:sz w:val="16"/>
              </w:rPr>
              <w:t>Reproduction</w:t>
            </w:r>
          </w:p>
        </w:tc>
        <w:tc>
          <w:tcPr>
            <w:tcW w:type="dxa" w:w="7992"/>
            <w:tcMar>
              <w:top w:w="65" w:type="dxa"/>
              <w:start w:w="75" w:type="dxa"/>
              <w:bottom w:w="65" w:type="dxa"/>
              <w:end w:w="75" w:type="dxa"/>
            </w:tcMar>
            <w:vAlign w:val="top"/>
          </w:tcPr>
          <w:p>
            <w:pPr>
              <w:spacing w:after="0"/>
            </w:pPr>
            <w:r>
              <w:rPr>
                <w:sz w:val="16"/>
              </w:rPr>
              <w:t>Feeds outputs back into the next cycle: future candidates, institutions, norms, technical dependencies, and rule-sets.</w:t>
            </w:r>
          </w:p>
        </w:tc>
      </w:tr>
    </w:tbl>
    <w:p>
      <w:pPr>
        <w:spacing w:after="0"/>
      </w:pPr>
    </w:p>
    <w:p>
      <w:pPr>
        <w:pStyle w:val="EquationBlock"/>
        <w:shd w:fill="F2F2F2"/>
      </w:pPr>
      <w:r>
        <w:rPr>
          <w:rFonts w:ascii="Cascadia Mono" w:hAnsi="Cascadia Mono"/>
          <w:sz w:val="17"/>
        </w:rPr>
        <w:t>Credential -&gt; Access -&gt; Interpret -&gt; Amplify -&gt; Authorize -&gt; Allocate -&gt; Enforce -&gt; Adjudicate -&gt; Archive -&gt; Time -&gt; Credential</w:t>
      </w:r>
    </w:p>
    <w:p>
      <w:pPr>
        <w:pStyle w:val="ArchitectureBlock"/>
        <w:pBdr>
          <w:left w:val="single" w:sz="8" w:space="6" w:color="8A8A8A"/>
        </w:pBdr>
      </w:pPr>
      <w:r>
        <w:t>The return to credentialing is load-bearing. Outputs from one cycle help determine who and what can occupy the next cycle. Judicial selection is the cleanest example: outside candidate production -&gt; nomination -&gt; Senate timing/gate -&gt; life-tenured adjudicator -&gt; future rules governing later executive, legislative, administrative, and private action.</w:t>
      </w:r>
    </w:p>
    <w:p>
      <w:pPr>
        <w:pStyle w:val="Heading2"/>
      </w:pPr>
      <w:r>
        <w:t>1.2 Function first, occupant second</w:t>
      </w:r>
    </w:p>
    <w:p>
      <w:pPr>
        <w:spacing w:after="32"/>
        <w:ind w:left="317" w:hanging="173"/>
      </w:pPr>
      <w:r>
        <w:rPr>
          <w:b/>
        </w:rPr>
        <w:t xml:space="preserve">• </w:t>
      </w:r>
      <w:r>
        <w:t>Ask what resource or route is controlled.</w:t>
      </w:r>
    </w:p>
    <w:p>
      <w:pPr>
        <w:spacing w:after="32"/>
        <w:ind w:left="317" w:hanging="173"/>
      </w:pPr>
      <w:r>
        <w:rPr>
          <w:b/>
        </w:rPr>
        <w:t xml:space="preserve">• </w:t>
      </w:r>
      <w:r>
        <w:t>Ask whether the route can be bypassed.</w:t>
      </w:r>
    </w:p>
    <w:p>
      <w:pPr>
        <w:spacing w:after="32"/>
        <w:ind w:left="317" w:hanging="173"/>
      </w:pPr>
      <w:r>
        <w:rPr>
          <w:b/>
        </w:rPr>
        <w:t xml:space="preserve">• </w:t>
      </w:r>
      <w:r>
        <w:t>Ask who appoints, reviews, removes, or replaces the function.</w:t>
      </w:r>
    </w:p>
    <w:p>
      <w:pPr>
        <w:spacing w:after="32"/>
        <w:ind w:left="317" w:hanging="173"/>
      </w:pPr>
      <w:r>
        <w:rPr>
          <w:b/>
        </w:rPr>
        <w:t xml:space="preserve">• </w:t>
      </w:r>
      <w:r>
        <w:t>Ask whether the function survives occupant substitution.</w:t>
      </w:r>
    </w:p>
    <w:p>
      <w:pPr>
        <w:spacing w:after="32"/>
        <w:ind w:left="317" w:hanging="173"/>
      </w:pPr>
      <w:r>
        <w:rPr>
          <w:b/>
        </w:rPr>
        <w:t xml:space="preserve">• </w:t>
      </w:r>
      <w:r>
        <w:t>Distinguish prestige, access, epistemic authority, operational authority, and enforcement.</w:t>
      </w:r>
    </w:p>
    <w:p>
      <w:pPr>
        <w:spacing w:after="32"/>
        <w:ind w:left="317" w:hanging="173"/>
      </w:pPr>
      <w:r>
        <w:rPr>
          <w:b/>
        </w:rPr>
        <w:t xml:space="preserve">• </w:t>
      </w:r>
      <w:r>
        <w:t>Treat names as occupants of slots unless the record establishes durable coordination.</w:t>
      </w:r>
    </w:p>
    <w:p>
      <w:pPr>
        <w:pStyle w:val="Heading2"/>
      </w:pPr>
      <w:r>
        <w:t>1.3 Timekeeper as synchronization axis</w:t>
      </w:r>
    </w:p>
    <w:p>
      <w:pPr>
        <w:pStyle w:val="ArchitectureBlock"/>
        <w:pBdr>
          <w:left w:val="single" w:sz="8" w:space="6" w:color="8A8A8A"/>
        </w:pBdr>
      </w:pPr>
      <w:r>
        <w:t>Timekeeper is not merely another role in the ring. Time is the coordinate system in which the other roles become executable. Credentialing occurs on a timetable; access often precedes review; authorization has effective dates; allocation has fiscal periods; enforcement has windows; adjudication has deadlines; archives have retention periods; appointments have terms; elections have cycles; debt has maturity.</w:t>
      </w:r>
    </w:p>
    <w:p>
      <w:pPr>
        <w:pStyle w:val="EquationBlock"/>
        <w:shd w:fill="F2F2F2"/>
      </w:pPr>
      <w:r>
        <w:rPr>
          <w:rFonts w:ascii="Cascadia Mono" w:hAnsi="Cascadia Mono"/>
          <w:sz w:val="17"/>
        </w:rPr>
        <w:t>TIMEKEEPER := institutions that determine WHEN a state transition becomes valid</w:t>
      </w:r>
    </w:p>
    <w:p>
      <w:pPr>
        <w:pStyle w:val="ArchitectureBlock"/>
        <w:pBdr>
          <w:left w:val="single" w:sz="8" w:space="6" w:color="8A8A8A"/>
        </w:pBdr>
      </w:pPr>
      <w:r>
        <w:t>The strongest formulation is not 'who secretly schedules the universe?' It is: which institutions can set, move, publish, interpret, or enforce the clock, and who turns rhythm into obligation?</w:t>
      </w:r>
    </w:p>
    <w:p>
      <w:pPr>
        <w:pStyle w:val="Heading2"/>
      </w:pPr>
      <w:r>
        <w:t>1.4 Priesthood-function</w:t>
      </w:r>
    </w:p>
    <w:p>
      <w:pPr>
        <w:pStyle w:val="ArchitectureBlock"/>
        <w:pBdr>
          <w:left w:val="single" w:sz="8" w:space="6" w:color="8A8A8A"/>
        </w:pBdr>
      </w:pPr>
      <w:r>
        <w:t>A priesthood-function appears when a socially necessary interpretation or pathway moves along the capture gradient AVAILABLE -&gt; PREFERRED -&gt; EXPECTED -&gt; REQUIRED -&gt; EXCLUSIVE. The issue is not religion as such. The issue is mandatory mediation: the intermediary becomes the load-bearing route between the object and authorized meaning.</w:t>
      </w:r>
    </w:p>
    <w:p>
      <w:pPr>
        <w:spacing w:after="32"/>
        <w:ind w:left="317" w:hanging="173"/>
      </w:pPr>
      <w:r>
        <w:rPr>
          <w:b/>
        </w:rPr>
        <w:t xml:space="preserve">• </w:t>
      </w:r>
      <w:r>
        <w:t>Interpreter controls access to meaning, permission, legitimacy, or procedure.</w:t>
      </w:r>
    </w:p>
    <w:p>
      <w:pPr>
        <w:spacing w:after="32"/>
        <w:ind w:left="317" w:hanging="173"/>
      </w:pPr>
      <w:r>
        <w:rPr>
          <w:b/>
        </w:rPr>
        <w:t xml:space="preserve">• </w:t>
      </w:r>
      <w:r>
        <w:t>Specialist judgment becomes difficult or impossible to bypass.</w:t>
      </w:r>
    </w:p>
    <w:p>
      <w:pPr>
        <w:spacing w:after="32"/>
        <w:ind w:left="317" w:hanging="173"/>
      </w:pPr>
      <w:r>
        <w:rPr>
          <w:b/>
        </w:rPr>
        <w:t xml:space="preserve">• </w:t>
      </w:r>
      <w:r>
        <w:t>Review may become recursive: authorized interpreter reviews authorized interpreter.</w:t>
      </w:r>
    </w:p>
    <w:p>
      <w:pPr>
        <w:spacing w:after="32"/>
        <w:ind w:left="317" w:hanging="173"/>
      </w:pPr>
      <w:r>
        <w:rPr>
          <w:b/>
        </w:rPr>
        <w:t xml:space="preserve">• </w:t>
      </w:r>
      <w:r>
        <w:t>The risk variable is custody of adjudication, not proof that every decision is corrupt.</w:t>
      </w:r>
    </w:p>
    <w:p>
      <w:pPr>
        <w:spacing w:after="32"/>
        <w:ind w:left="317" w:hanging="173"/>
      </w:pPr>
      <w:r>
        <w:rPr>
          <w:b/>
        </w:rPr>
        <w:t xml:space="preserve">• </w:t>
      </w:r>
      <w:r>
        <w:t>A good system remains legible, challengeable, recallable, replaceable, and routable around.</w:t>
      </w:r>
    </w:p>
    <w:p>
      <w:pPr>
        <w:pStyle w:val="Heading2"/>
      </w:pPr>
      <w:r>
        <w:t>1.5 Scribe, Gatekeeper, Mediator, Signer</w:t>
      </w:r>
    </w:p>
    <w:tbl>
      <w:tblPr>
        <w:tblStyle w:val="TableGrid"/>
        <w:tblW w:type="auto" w:w="0"/>
        <w:jc w:val="center"/>
        <w:tblLayout w:type="autofit"/>
        <w:tblLook w:firstColumn="1" w:firstRow="1" w:lastColumn="0" w:lastRow="0" w:noHBand="0" w:noVBand="1" w:val="04A0"/>
      </w:tblPr>
      <w:tblGrid>
        <w:gridCol w:w="5083"/>
        <w:gridCol w:w="5083"/>
      </w:tblGrid>
      <w:tr>
        <w:tc>
          <w:tcPr>
            <w:tcW w:type="dxa" w:w="2232"/>
            <w:shd w:fill="E7E7E7"/>
            <w:tcMar>
              <w:top w:w="65" w:type="dxa"/>
              <w:start w:w="75" w:type="dxa"/>
              <w:bottom w:w="65" w:type="dxa"/>
              <w:end w:w="75" w:type="dxa"/>
            </w:tcMar>
            <w:vAlign w:val="center"/>
          </w:tcPr>
          <w:p>
            <w:r>
              <w:rPr>
                <w:b/>
                <w:sz w:val="16"/>
              </w:rPr>
              <w:t>Role</w:t>
            </w:r>
          </w:p>
        </w:tc>
        <w:tc>
          <w:tcPr>
            <w:tcW w:type="dxa" w:w="7992"/>
            <w:shd w:fill="E7E7E7"/>
            <w:tcMar>
              <w:top w:w="65" w:type="dxa"/>
              <w:start w:w="75" w:type="dxa"/>
              <w:bottom w:w="65" w:type="dxa"/>
              <w:end w:w="75" w:type="dxa"/>
            </w:tcMar>
            <w:vAlign w:val="center"/>
          </w:tcPr>
          <w:p>
            <w:r>
              <w:rPr>
                <w:b/>
                <w:sz w:val="16"/>
              </w:rPr>
              <w:t>Function</w:t>
            </w:r>
          </w:p>
        </w:tc>
      </w:tr>
      <w:tr>
        <w:tc>
          <w:tcPr>
            <w:tcW w:type="dxa" w:w="2232"/>
            <w:tcMar>
              <w:top w:w="65" w:type="dxa"/>
              <w:start w:w="75" w:type="dxa"/>
              <w:bottom w:w="65" w:type="dxa"/>
              <w:end w:w="75" w:type="dxa"/>
            </w:tcMar>
            <w:vAlign w:val="top"/>
          </w:tcPr>
          <w:p>
            <w:pPr>
              <w:spacing w:after="0"/>
            </w:pPr>
            <w:r>
              <w:rPr>
                <w:sz w:val="16"/>
              </w:rPr>
              <w:t>Scribe / Archive</w:t>
            </w:r>
          </w:p>
        </w:tc>
        <w:tc>
          <w:tcPr>
            <w:tcW w:type="dxa" w:w="7992"/>
            <w:tcMar>
              <w:top w:w="65" w:type="dxa"/>
              <w:start w:w="75" w:type="dxa"/>
              <w:bottom w:w="65" w:type="dxa"/>
              <w:end w:w="75" w:type="dxa"/>
            </w:tcMar>
            <w:vAlign w:val="top"/>
          </w:tcPr>
          <w:p>
            <w:pPr>
              <w:spacing w:after="0"/>
            </w:pPr>
            <w:r>
              <w:rPr>
                <w:sz w:val="16"/>
              </w:rPr>
              <w:t>Controls what becomes the official record and which provenance survives representation.</w:t>
            </w:r>
          </w:p>
        </w:tc>
      </w:tr>
      <w:tr>
        <w:tc>
          <w:tcPr>
            <w:tcW w:type="dxa" w:w="2232"/>
            <w:tcMar>
              <w:top w:w="65" w:type="dxa"/>
              <w:start w:w="75" w:type="dxa"/>
              <w:bottom w:w="65" w:type="dxa"/>
              <w:end w:w="75" w:type="dxa"/>
            </w:tcMar>
            <w:vAlign w:val="top"/>
          </w:tcPr>
          <w:p>
            <w:pPr>
              <w:spacing w:after="0"/>
            </w:pPr>
            <w:r>
              <w:rPr>
                <w:sz w:val="16"/>
              </w:rPr>
              <w:t>Gatekeeper</w:t>
            </w:r>
          </w:p>
        </w:tc>
        <w:tc>
          <w:tcPr>
            <w:tcW w:type="dxa" w:w="7992"/>
            <w:tcMar>
              <w:top w:w="65" w:type="dxa"/>
              <w:start w:w="75" w:type="dxa"/>
              <w:bottom w:w="65" w:type="dxa"/>
              <w:end w:w="75" w:type="dxa"/>
            </w:tcMar>
            <w:vAlign w:val="top"/>
          </w:tcPr>
          <w:p>
            <w:pPr>
              <w:spacing w:after="0"/>
            </w:pPr>
            <w:r>
              <w:rPr>
                <w:sz w:val="16"/>
              </w:rPr>
              <w:t>Controls access, permission, exclusion, and the available option set.</w:t>
            </w:r>
          </w:p>
        </w:tc>
      </w:tr>
      <w:tr>
        <w:tc>
          <w:tcPr>
            <w:tcW w:type="dxa" w:w="2232"/>
            <w:tcMar>
              <w:top w:w="65" w:type="dxa"/>
              <w:start w:w="75" w:type="dxa"/>
              <w:bottom w:w="65" w:type="dxa"/>
              <w:end w:w="75" w:type="dxa"/>
            </w:tcMar>
            <w:vAlign w:val="top"/>
          </w:tcPr>
          <w:p>
            <w:pPr>
              <w:spacing w:after="0"/>
            </w:pPr>
            <w:r>
              <w:rPr>
                <w:sz w:val="16"/>
              </w:rPr>
              <w:t>Mediator / Interpreter</w:t>
            </w:r>
          </w:p>
        </w:tc>
        <w:tc>
          <w:tcPr>
            <w:tcW w:type="dxa" w:w="7992"/>
            <w:tcMar>
              <w:top w:w="65" w:type="dxa"/>
              <w:start w:w="75" w:type="dxa"/>
              <w:bottom w:w="65" w:type="dxa"/>
              <w:end w:w="75" w:type="dxa"/>
            </w:tcMar>
            <w:vAlign w:val="top"/>
          </w:tcPr>
          <w:p>
            <w:pPr>
              <w:spacing w:after="0"/>
            </w:pPr>
            <w:r>
              <w:rPr>
                <w:sz w:val="16"/>
              </w:rPr>
              <w:t>Supplies authoritative meaning between rule and action.</w:t>
            </w:r>
          </w:p>
        </w:tc>
      </w:tr>
      <w:tr>
        <w:tc>
          <w:tcPr>
            <w:tcW w:type="dxa" w:w="2232"/>
            <w:tcMar>
              <w:top w:w="65" w:type="dxa"/>
              <w:start w:w="75" w:type="dxa"/>
              <w:bottom w:w="65" w:type="dxa"/>
              <w:end w:w="75" w:type="dxa"/>
            </w:tcMar>
            <w:vAlign w:val="top"/>
          </w:tcPr>
          <w:p>
            <w:pPr>
              <w:spacing w:after="0"/>
            </w:pPr>
            <w:r>
              <w:rPr>
                <w:sz w:val="16"/>
              </w:rPr>
              <w:t>Signer / Authorizer</w:t>
            </w:r>
          </w:p>
        </w:tc>
        <w:tc>
          <w:tcPr>
            <w:tcW w:type="dxa" w:w="7992"/>
            <w:tcMar>
              <w:top w:w="65" w:type="dxa"/>
              <w:start w:w="75" w:type="dxa"/>
              <w:bottom w:w="65" w:type="dxa"/>
              <w:end w:w="75" w:type="dxa"/>
            </w:tcMar>
            <w:vAlign w:val="top"/>
          </w:tcPr>
          <w:p>
            <w:pPr>
              <w:spacing w:after="0"/>
            </w:pPr>
            <w:r>
              <w:rPr>
                <w:sz w:val="16"/>
              </w:rPr>
              <w:t>Turns interpretation into operative policy, contract, order, or other state change.</w:t>
            </w:r>
          </w:p>
        </w:tc>
      </w:tr>
      <w:tr>
        <w:tc>
          <w:tcPr>
            <w:tcW w:type="dxa" w:w="2232"/>
            <w:tcMar>
              <w:top w:w="65" w:type="dxa"/>
              <w:start w:w="75" w:type="dxa"/>
              <w:bottom w:w="65" w:type="dxa"/>
              <w:end w:w="75" w:type="dxa"/>
            </w:tcMar>
            <w:vAlign w:val="top"/>
          </w:tcPr>
          <w:p>
            <w:pPr>
              <w:spacing w:after="0"/>
            </w:pPr>
            <w:r>
              <w:rPr>
                <w:sz w:val="16"/>
              </w:rPr>
              <w:t>Timekeeper</w:t>
            </w:r>
          </w:p>
        </w:tc>
        <w:tc>
          <w:tcPr>
            <w:tcW w:type="dxa" w:w="7992"/>
            <w:tcMar>
              <w:top w:w="65" w:type="dxa"/>
              <w:start w:w="75" w:type="dxa"/>
              <w:bottom w:w="65" w:type="dxa"/>
              <w:end w:w="75" w:type="dxa"/>
            </w:tcMar>
            <w:vAlign w:val="top"/>
          </w:tcPr>
          <w:p>
            <w:pPr>
              <w:spacing w:after="0"/>
            </w:pPr>
            <w:r>
              <w:rPr>
                <w:sz w:val="16"/>
              </w:rPr>
              <w:t>Determines the valid moment and sequence in which the other roles take effect.</w:t>
            </w:r>
          </w:p>
        </w:tc>
      </w:tr>
    </w:tbl>
    <w:p>
      <w:pPr>
        <w:spacing w:after="0"/>
      </w:pPr>
    </w:p>
    <w:p>
      <w:pPr>
        <w:pStyle w:val="Heading1"/>
      </w:pPr>
      <w:r>
        <w:t>2. Quotient, Remainder, Recurrence</w:t>
      </w:r>
    </w:p>
    <w:p>
      <w:pPr>
        <w:pStyle w:val="Heading2"/>
      </w:pPr>
      <w:r>
        <w:t>2.1 Administrative Quotient</w:t>
      </w:r>
    </w:p>
    <w:p>
      <w:pPr>
        <w:pStyle w:val="ArchitectureBlock"/>
        <w:pBdr>
          <w:left w:val="single" w:sz="8" w:space="6" w:color="8A8A8A"/>
        </w:pBdr>
      </w:pPr>
      <w:r>
        <w:t>A recurring transformation class takes rich, irregular, high-dimensional reality and compresses it into a legible administrative representation. The representation then becomes a schedule, category, ledger, office, or rule. The capture point occurs when the map stops merely describing the object and the object is forced to conform to the map.</w:t>
      </w:r>
    </w:p>
    <w:p>
      <w:pPr>
        <w:pStyle w:val="EquationBlock"/>
        <w:shd w:fill="F2F2F2"/>
      </w:pPr>
      <w:r>
        <w:rPr>
          <w:rFonts w:ascii="Cascadia Mono" w:hAnsi="Cascadia Mono"/>
          <w:sz w:val="17"/>
        </w:rPr>
        <w:t>Q_A : X_rich -&gt; X_legible -&gt; schedule/category/ledger/office -&gt; governance over 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1440"/>
            <w:shd w:fill="E7E7E7"/>
            <w:tcMar>
              <w:top w:w="65" w:type="dxa"/>
              <w:start w:w="75" w:type="dxa"/>
              <w:bottom w:w="65" w:type="dxa"/>
              <w:end w:w="75" w:type="dxa"/>
            </w:tcMar>
            <w:vAlign w:val="center"/>
          </w:tcPr>
          <w:p>
            <w:r>
              <w:rPr>
                <w:b/>
                <w:sz w:val="15"/>
              </w:rPr>
              <w:t>Domain</w:t>
            </w:r>
          </w:p>
        </w:tc>
        <w:tc>
          <w:tcPr>
            <w:tcW w:type="dxa" w:w="2448"/>
            <w:shd w:fill="E7E7E7"/>
            <w:tcMar>
              <w:top w:w="65" w:type="dxa"/>
              <w:start w:w="75" w:type="dxa"/>
              <w:bottom w:w="65" w:type="dxa"/>
              <w:end w:w="75" w:type="dxa"/>
            </w:tcMar>
            <w:vAlign w:val="center"/>
          </w:tcPr>
          <w:p>
            <w:r>
              <w:rPr>
                <w:b/>
                <w:sz w:val="15"/>
              </w:rPr>
              <w:t>Raw object</w:t>
            </w:r>
          </w:p>
        </w:tc>
        <w:tc>
          <w:tcPr>
            <w:tcW w:type="dxa" w:w="3168"/>
            <w:shd w:fill="E7E7E7"/>
            <w:tcMar>
              <w:top w:w="65" w:type="dxa"/>
              <w:start w:w="75" w:type="dxa"/>
              <w:bottom w:w="65" w:type="dxa"/>
              <w:end w:w="75" w:type="dxa"/>
            </w:tcMar>
            <w:vAlign w:val="center"/>
          </w:tcPr>
          <w:p>
            <w:r>
              <w:rPr>
                <w:b/>
                <w:sz w:val="15"/>
              </w:rPr>
              <w:t>Administrative quotient</w:t>
            </w:r>
          </w:p>
        </w:tc>
        <w:tc>
          <w:tcPr>
            <w:tcW w:type="dxa" w:w="3168"/>
            <w:shd w:fill="E7E7E7"/>
            <w:tcMar>
              <w:top w:w="65" w:type="dxa"/>
              <w:start w:w="75" w:type="dxa"/>
              <w:bottom w:w="65" w:type="dxa"/>
              <w:end w:w="75" w:type="dxa"/>
            </w:tcMar>
            <w:vAlign w:val="center"/>
          </w:tcPr>
          <w:p>
            <w:r>
              <w:rPr>
                <w:b/>
                <w:sz w:val="15"/>
              </w:rPr>
              <w:t>Typical residual</w:t>
            </w:r>
          </w:p>
        </w:tc>
      </w:tr>
      <w:tr>
        <w:tc>
          <w:tcPr>
            <w:tcW w:type="dxa" w:w="1440"/>
            <w:tcMar>
              <w:top w:w="65" w:type="dxa"/>
              <w:start w:w="75" w:type="dxa"/>
              <w:bottom w:w="65" w:type="dxa"/>
              <w:end w:w="75" w:type="dxa"/>
            </w:tcMar>
            <w:vAlign w:val="top"/>
          </w:tcPr>
          <w:p>
            <w:pPr>
              <w:spacing w:after="0"/>
            </w:pPr>
            <w:r>
              <w:rPr>
                <w:sz w:val="15"/>
              </w:rPr>
              <w:t>Calendar</w:t>
            </w:r>
          </w:p>
        </w:tc>
        <w:tc>
          <w:tcPr>
            <w:tcW w:type="dxa" w:w="2448"/>
            <w:tcMar>
              <w:top w:w="65" w:type="dxa"/>
              <w:start w:w="75" w:type="dxa"/>
              <w:bottom w:w="65" w:type="dxa"/>
              <w:end w:w="75" w:type="dxa"/>
            </w:tcMar>
            <w:vAlign w:val="top"/>
          </w:tcPr>
          <w:p>
            <w:pPr>
              <w:spacing w:after="0"/>
            </w:pPr>
            <w:r>
              <w:rPr>
                <w:sz w:val="15"/>
              </w:rPr>
              <w:t>Irregular astronomical cycles</w:t>
            </w:r>
          </w:p>
        </w:tc>
        <w:tc>
          <w:tcPr>
            <w:tcW w:type="dxa" w:w="3168"/>
            <w:tcMar>
              <w:top w:w="65" w:type="dxa"/>
              <w:start w:w="75" w:type="dxa"/>
              <w:bottom w:w="65" w:type="dxa"/>
              <w:end w:w="75" w:type="dxa"/>
            </w:tcMar>
            <w:vAlign w:val="top"/>
          </w:tcPr>
          <w:p>
            <w:pPr>
              <w:spacing w:after="0"/>
            </w:pPr>
            <w:r>
              <w:rPr>
                <w:sz w:val="15"/>
              </w:rPr>
              <w:t>Numbered periods / official calendar</w:t>
            </w:r>
          </w:p>
        </w:tc>
        <w:tc>
          <w:tcPr>
            <w:tcW w:type="dxa" w:w="3168"/>
            <w:tcMar>
              <w:top w:w="65" w:type="dxa"/>
              <w:start w:w="75" w:type="dxa"/>
              <w:bottom w:w="65" w:type="dxa"/>
              <w:end w:w="75" w:type="dxa"/>
            </w:tcMar>
            <w:vAlign w:val="top"/>
          </w:tcPr>
          <w:p>
            <w:pPr>
              <w:spacing w:after="0"/>
            </w:pPr>
            <w:r>
              <w:rPr>
                <w:sz w:val="15"/>
              </w:rPr>
              <w:t>Intercalation, local variation, irregularity</w:t>
            </w:r>
          </w:p>
        </w:tc>
      </w:tr>
      <w:tr>
        <w:tc>
          <w:tcPr>
            <w:tcW w:type="dxa" w:w="1440"/>
            <w:tcMar>
              <w:top w:w="65" w:type="dxa"/>
              <w:start w:w="75" w:type="dxa"/>
              <w:bottom w:w="65" w:type="dxa"/>
              <w:end w:w="75" w:type="dxa"/>
            </w:tcMar>
            <w:vAlign w:val="top"/>
          </w:tcPr>
          <w:p>
            <w:pPr>
              <w:spacing w:after="0"/>
            </w:pPr>
            <w:r>
              <w:rPr>
                <w:sz w:val="15"/>
              </w:rPr>
              <w:t>Zodiac</w:t>
            </w:r>
          </w:p>
        </w:tc>
        <w:tc>
          <w:tcPr>
            <w:tcW w:type="dxa" w:w="2448"/>
            <w:tcMar>
              <w:top w:w="65" w:type="dxa"/>
              <w:start w:w="75" w:type="dxa"/>
              <w:bottom w:w="65" w:type="dxa"/>
              <w:end w:w="75" w:type="dxa"/>
            </w:tcMar>
            <w:vAlign w:val="top"/>
          </w:tcPr>
          <w:p>
            <w:pPr>
              <w:spacing w:after="0"/>
            </w:pPr>
            <w:r>
              <w:rPr>
                <w:sz w:val="15"/>
              </w:rPr>
              <w:t>Unequal observed constellation field</w:t>
            </w:r>
          </w:p>
        </w:tc>
        <w:tc>
          <w:tcPr>
            <w:tcW w:type="dxa" w:w="3168"/>
            <w:tcMar>
              <w:top w:w="65" w:type="dxa"/>
              <w:start w:w="75" w:type="dxa"/>
              <w:bottom w:w="65" w:type="dxa"/>
              <w:end w:w="75" w:type="dxa"/>
            </w:tcMar>
            <w:vAlign w:val="top"/>
          </w:tcPr>
          <w:p>
            <w:pPr>
              <w:spacing w:after="0"/>
            </w:pPr>
            <w:r>
              <w:rPr>
                <w:sz w:val="15"/>
              </w:rPr>
              <w:t>Twelve equal 30-degree signs</w:t>
            </w:r>
          </w:p>
        </w:tc>
        <w:tc>
          <w:tcPr>
            <w:tcW w:type="dxa" w:w="3168"/>
            <w:tcMar>
              <w:top w:w="65" w:type="dxa"/>
              <w:start w:w="75" w:type="dxa"/>
              <w:bottom w:w="65" w:type="dxa"/>
              <w:end w:w="75" w:type="dxa"/>
            </w:tcMar>
            <w:vAlign w:val="top"/>
          </w:tcPr>
          <w:p>
            <w:pPr>
              <w:spacing w:after="0"/>
            </w:pPr>
            <w:r>
              <w:rPr>
                <w:sz w:val="15"/>
              </w:rPr>
              <w:t>Unequal size, extra ecliptic constellations, fuzzy boundaries</w:t>
            </w:r>
          </w:p>
        </w:tc>
      </w:tr>
      <w:tr>
        <w:tc>
          <w:tcPr>
            <w:tcW w:type="dxa" w:w="1440"/>
            <w:tcMar>
              <w:top w:w="65" w:type="dxa"/>
              <w:start w:w="75" w:type="dxa"/>
              <w:bottom w:w="65" w:type="dxa"/>
              <w:end w:w="75" w:type="dxa"/>
            </w:tcMar>
            <w:vAlign w:val="top"/>
          </w:tcPr>
          <w:p>
            <w:pPr>
              <w:spacing w:after="0"/>
            </w:pPr>
            <w:r>
              <w:rPr>
                <w:sz w:val="15"/>
              </w:rPr>
              <w:t>Money</w:t>
            </w:r>
          </w:p>
        </w:tc>
        <w:tc>
          <w:tcPr>
            <w:tcW w:type="dxa" w:w="2448"/>
            <w:tcMar>
              <w:top w:w="65" w:type="dxa"/>
              <w:start w:w="75" w:type="dxa"/>
              <w:bottom w:w="65" w:type="dxa"/>
              <w:end w:w="75" w:type="dxa"/>
            </w:tcMar>
            <w:vAlign w:val="top"/>
          </w:tcPr>
          <w:p>
            <w:pPr>
              <w:spacing w:after="0"/>
            </w:pPr>
            <w:r>
              <w:rPr>
                <w:sz w:val="15"/>
              </w:rPr>
              <w:t>Heterogeneous goods/labor/relationships</w:t>
            </w:r>
          </w:p>
        </w:tc>
        <w:tc>
          <w:tcPr>
            <w:tcW w:type="dxa" w:w="3168"/>
            <w:tcMar>
              <w:top w:w="65" w:type="dxa"/>
              <w:start w:w="75" w:type="dxa"/>
              <w:bottom w:w="65" w:type="dxa"/>
              <w:end w:w="75" w:type="dxa"/>
            </w:tcMar>
            <w:vAlign w:val="top"/>
          </w:tcPr>
          <w:p>
            <w:pPr>
              <w:spacing w:after="0"/>
            </w:pPr>
            <w:r>
              <w:rPr>
                <w:sz w:val="15"/>
              </w:rPr>
              <w:t>Denomination -&gt; account -&gt; due date</w:t>
            </w:r>
          </w:p>
        </w:tc>
        <w:tc>
          <w:tcPr>
            <w:tcW w:type="dxa" w:w="3168"/>
            <w:tcMar>
              <w:top w:w="65" w:type="dxa"/>
              <w:start w:w="75" w:type="dxa"/>
              <w:bottom w:w="65" w:type="dxa"/>
              <w:end w:w="75" w:type="dxa"/>
            </w:tcMar>
            <w:vAlign w:val="top"/>
          </w:tcPr>
          <w:p>
            <w:pPr>
              <w:spacing w:after="0"/>
            </w:pPr>
            <w:r>
              <w:rPr>
                <w:sz w:val="15"/>
              </w:rPr>
              <w:t>Reciprocity, context, qualitative difference</w:t>
            </w:r>
          </w:p>
        </w:tc>
      </w:tr>
      <w:tr>
        <w:tc>
          <w:tcPr>
            <w:tcW w:type="dxa" w:w="1440"/>
            <w:tcMar>
              <w:top w:w="65" w:type="dxa"/>
              <w:start w:w="75" w:type="dxa"/>
              <w:bottom w:w="65" w:type="dxa"/>
              <w:end w:w="75" w:type="dxa"/>
            </w:tcMar>
            <w:vAlign w:val="top"/>
          </w:tcPr>
          <w:p>
            <w:pPr>
              <w:spacing w:after="0"/>
            </w:pPr>
            <w:r>
              <w:rPr>
                <w:sz w:val="15"/>
              </w:rPr>
              <w:t>Inheritance</w:t>
            </w:r>
          </w:p>
        </w:tc>
        <w:tc>
          <w:tcPr>
            <w:tcW w:type="dxa" w:w="2448"/>
            <w:tcMar>
              <w:top w:w="65" w:type="dxa"/>
              <w:start w:w="75" w:type="dxa"/>
              <w:bottom w:w="65" w:type="dxa"/>
              <w:end w:w="75" w:type="dxa"/>
            </w:tcMar>
            <w:vAlign w:val="top"/>
          </w:tcPr>
          <w:p>
            <w:pPr>
              <w:spacing w:after="0"/>
            </w:pPr>
            <w:r>
              <w:rPr>
                <w:sz w:val="15"/>
              </w:rPr>
              <w:t>Messy kinship</w:t>
            </w:r>
          </w:p>
        </w:tc>
        <w:tc>
          <w:tcPr>
            <w:tcW w:type="dxa" w:w="3168"/>
            <w:tcMar>
              <w:top w:w="65" w:type="dxa"/>
              <w:start w:w="75" w:type="dxa"/>
              <w:bottom w:w="65" w:type="dxa"/>
              <w:end w:w="75" w:type="dxa"/>
            </w:tcMar>
            <w:vAlign w:val="top"/>
          </w:tcPr>
          <w:p>
            <w:pPr>
              <w:spacing w:after="0"/>
            </w:pPr>
            <w:r>
              <w:rPr>
                <w:sz w:val="15"/>
              </w:rPr>
              <w:t>Legitimate descent -&gt; authorized heir</w:t>
            </w:r>
          </w:p>
        </w:tc>
        <w:tc>
          <w:tcPr>
            <w:tcW w:type="dxa" w:w="3168"/>
            <w:tcMar>
              <w:top w:w="65" w:type="dxa"/>
              <w:start w:w="75" w:type="dxa"/>
              <w:bottom w:w="65" w:type="dxa"/>
              <w:end w:w="75" w:type="dxa"/>
            </w:tcMar>
            <w:vAlign w:val="top"/>
          </w:tcPr>
          <w:p>
            <w:pPr>
              <w:spacing w:after="0"/>
            </w:pPr>
            <w:r>
              <w:rPr>
                <w:sz w:val="15"/>
              </w:rPr>
              <w:t>Maternal/informal/community claims, ambiguity</w:t>
            </w:r>
          </w:p>
        </w:tc>
      </w:tr>
      <w:tr>
        <w:tc>
          <w:tcPr>
            <w:tcW w:type="dxa" w:w="1440"/>
            <w:tcMar>
              <w:top w:w="65" w:type="dxa"/>
              <w:start w:w="75" w:type="dxa"/>
              <w:bottom w:w="65" w:type="dxa"/>
              <w:end w:w="75" w:type="dxa"/>
            </w:tcMar>
            <w:vAlign w:val="top"/>
          </w:tcPr>
          <w:p>
            <w:pPr>
              <w:spacing w:after="0"/>
            </w:pPr>
            <w:r>
              <w:rPr>
                <w:sz w:val="15"/>
              </w:rPr>
              <w:t>Priesthood</w:t>
            </w:r>
          </w:p>
        </w:tc>
        <w:tc>
          <w:tcPr>
            <w:tcW w:type="dxa" w:w="2448"/>
            <w:tcMar>
              <w:top w:w="65" w:type="dxa"/>
              <w:start w:w="75" w:type="dxa"/>
              <w:bottom w:w="65" w:type="dxa"/>
              <w:end w:w="75" w:type="dxa"/>
            </w:tcMar>
            <w:vAlign w:val="top"/>
          </w:tcPr>
          <w:p>
            <w:pPr>
              <w:spacing w:after="0"/>
            </w:pPr>
            <w:r>
              <w:rPr>
                <w:sz w:val="15"/>
              </w:rPr>
              <w:t>Distributed/variable practice</w:t>
            </w:r>
          </w:p>
        </w:tc>
        <w:tc>
          <w:tcPr>
            <w:tcW w:type="dxa" w:w="3168"/>
            <w:tcMar>
              <w:top w:w="65" w:type="dxa"/>
              <w:start w:w="75" w:type="dxa"/>
              <w:bottom w:w="65" w:type="dxa"/>
              <w:end w:w="75" w:type="dxa"/>
            </w:tcMar>
            <w:vAlign w:val="top"/>
          </w:tcPr>
          <w:p>
            <w:pPr>
              <w:spacing w:after="0"/>
            </w:pPr>
            <w:r>
              <w:rPr>
                <w:sz w:val="15"/>
              </w:rPr>
              <w:t>Doctrine -&gt; canon -&gt; authorized interpreter</w:t>
            </w:r>
          </w:p>
        </w:tc>
        <w:tc>
          <w:tcPr>
            <w:tcW w:type="dxa" w:w="3168"/>
            <w:tcMar>
              <w:top w:w="65" w:type="dxa"/>
              <w:start w:w="75" w:type="dxa"/>
              <w:bottom w:w="65" w:type="dxa"/>
              <w:end w:w="75" w:type="dxa"/>
            </w:tcMar>
            <w:vAlign w:val="top"/>
          </w:tcPr>
          <w:p>
            <w:pPr>
              <w:spacing w:after="0"/>
            </w:pPr>
            <w:r>
              <w:rPr>
                <w:sz w:val="15"/>
              </w:rPr>
              <w:t>Variant traditions, local meanings, unsanctioned interpretation</w:t>
            </w:r>
          </w:p>
        </w:tc>
      </w:tr>
      <w:tr>
        <w:tc>
          <w:tcPr>
            <w:tcW w:type="dxa" w:w="1440"/>
            <w:tcMar>
              <w:top w:w="65" w:type="dxa"/>
              <w:start w:w="75" w:type="dxa"/>
              <w:bottom w:w="65" w:type="dxa"/>
              <w:end w:w="75" w:type="dxa"/>
            </w:tcMar>
            <w:vAlign w:val="top"/>
          </w:tcPr>
          <w:p>
            <w:pPr>
              <w:spacing w:after="0"/>
            </w:pPr>
            <w:r>
              <w:rPr>
                <w:sz w:val="15"/>
              </w:rPr>
              <w:t>Bureaucracy</w:t>
            </w:r>
          </w:p>
        </w:tc>
        <w:tc>
          <w:tcPr>
            <w:tcW w:type="dxa" w:w="2448"/>
            <w:tcMar>
              <w:top w:w="65" w:type="dxa"/>
              <w:start w:w="75" w:type="dxa"/>
              <w:bottom w:w="65" w:type="dxa"/>
              <w:end w:w="75" w:type="dxa"/>
            </w:tcMar>
            <w:vAlign w:val="top"/>
          </w:tcPr>
          <w:p>
            <w:pPr>
              <w:spacing w:after="0"/>
            </w:pPr>
            <w:r>
              <w:rPr>
                <w:sz w:val="15"/>
              </w:rPr>
              <w:t>Whole person / event</w:t>
            </w:r>
          </w:p>
        </w:tc>
        <w:tc>
          <w:tcPr>
            <w:tcW w:type="dxa" w:w="3168"/>
            <w:tcMar>
              <w:top w:w="65" w:type="dxa"/>
              <w:start w:w="75" w:type="dxa"/>
              <w:bottom w:w="65" w:type="dxa"/>
              <w:end w:w="75" w:type="dxa"/>
            </w:tcMar>
            <w:vAlign w:val="top"/>
          </w:tcPr>
          <w:p>
            <w:pPr>
              <w:spacing w:after="0"/>
            </w:pPr>
            <w:r>
              <w:rPr>
                <w:sz w:val="15"/>
              </w:rPr>
              <w:t>Category -&gt; eligibility / disposition</w:t>
            </w:r>
          </w:p>
        </w:tc>
        <w:tc>
          <w:tcPr>
            <w:tcW w:type="dxa" w:w="3168"/>
            <w:tcMar>
              <w:top w:w="65" w:type="dxa"/>
              <w:start w:w="75" w:type="dxa"/>
              <w:bottom w:w="65" w:type="dxa"/>
              <w:end w:w="75" w:type="dxa"/>
            </w:tcMar>
            <w:vAlign w:val="top"/>
          </w:tcPr>
          <w:p>
            <w:pPr>
              <w:spacing w:after="0"/>
            </w:pPr>
            <w:r>
              <w:rPr>
                <w:sz w:val="15"/>
              </w:rPr>
              <w:t>Evidence with no field, mixed states, excluded alternatives</w:t>
            </w:r>
          </w:p>
        </w:tc>
      </w:tr>
    </w:tbl>
    <w:p>
      <w:pPr>
        <w:spacing w:after="0"/>
      </w:pPr>
    </w:p>
    <w:p>
      <w:pPr>
        <w:pStyle w:val="Heading2"/>
      </w:pPr>
      <w:r>
        <w:t>2.2 Hidden Quotient and remainder</w:t>
      </w:r>
    </w:p>
    <w:p>
      <w:pPr>
        <w:pStyle w:val="EquationBlock"/>
        <w:shd w:fill="F2F2F2"/>
      </w:pPr>
      <w:r>
        <w:rPr>
          <w:rFonts w:ascii="Cascadia Mono" w:hAnsi="Cascadia Mono"/>
          <w:sz w:val="17"/>
        </w:rPr>
        <w:t>R = X - Q(X)</w:t>
      </w:r>
    </w:p>
    <w:p>
      <w:pPr>
        <w:pStyle w:val="ArchitectureBlock"/>
        <w:pBdr>
          <w:left w:val="single" w:sz="8" w:space="6" w:color="8A8A8A"/>
        </w:pBdr>
      </w:pPr>
      <w:r>
        <w:t>R is the difference between the object and its authorized representation: the uncredentialed expert, dissident interpretation, unrecognized kin relation, uncategorizable body, local practice outside canon, evidence with no field, vendor alternative made impractical by lock-in, or political option excluded before the public vote.</w:t>
      </w:r>
    </w:p>
    <w:p>
      <w:pPr>
        <w:pStyle w:val="EquationBlock"/>
        <w:shd w:fill="F2F2F2"/>
      </w:pPr>
      <w:r>
        <w:rPr>
          <w:rFonts w:ascii="Cascadia Mono" w:hAnsi="Cascadia Mono"/>
          <w:sz w:val="17"/>
        </w:rPr>
        <w:t>closed representation -&gt; residual accumulation -&gt; disruption -&gt; reorganization -&gt; new categories -&gt; new residual</w:t>
      </w:r>
    </w:p>
    <w:p>
      <w:pPr>
        <w:pStyle w:val="ArchitectureBlock"/>
        <w:pBdr>
          <w:left w:val="single" w:sz="8" w:space="6" w:color="8A8A8A"/>
        </w:pBdr>
      </w:pPr>
      <w:r>
        <w:t>The thirteenth/remainder model is architectural rather than magical. '12' denotes a closed administrable partition; '13' denotes whatever remains real after the partition claims closure. Ophiuchus functions as a remainder glyph: the sky refusing the spreadsheet, not independent proof of a hidden conspiracy.</w:t>
      </w:r>
    </w:p>
    <w:p>
      <w:pPr>
        <w:pStyle w:val="Heading2"/>
      </w:pPr>
      <w:r>
        <w:t>2.3 Spiral recurrence</w:t>
      </w:r>
    </w:p>
    <w:p>
      <w:pPr>
        <w:pStyle w:val="EquationBlock"/>
        <w:shd w:fill="F2F2F2"/>
      </w:pPr>
      <w:r>
        <w:rPr>
          <w:rFonts w:ascii="Cascadia Mono" w:hAnsi="Cascadia Mono"/>
          <w:sz w:val="17"/>
        </w:rPr>
        <w:t>Circle: A -&gt; B -&gt; C -&gt; A</w:t>
      </w:r>
    </w:p>
    <w:p>
      <w:pPr>
        <w:pStyle w:val="EquationBlock"/>
        <w:shd w:fill="F2F2F2"/>
      </w:pPr>
      <w:r>
        <w:rPr>
          <w:rFonts w:ascii="Cascadia Mono" w:hAnsi="Cascadia Mono"/>
          <w:sz w:val="17"/>
        </w:rPr>
        <w:t>Spiral: A0 -&gt; B0 -&gt; C0 -&gt; A1 -&gt; B1 -&gt; C1 -&gt; A2 ...</w:t>
      </w:r>
    </w:p>
    <w:p>
      <w:pPr>
        <w:pStyle w:val="ArchitectureBlock"/>
        <w:pBdr>
          <w:left w:val="single" w:sz="8" w:space="6" w:color="8A8A8A"/>
        </w:pBdr>
      </w:pPr>
      <w:r>
        <w:t>A spiral returns to a similar structural coordinate while retaining accumulated historical state. Character names, technologies, substrates, and institutions change, but relational roles recur: ruler/subordinate, elite/laborer, authority/rebel, scarcity/population, order/disruption, purge/survival, succession/restoration.</w:t>
      </w:r>
    </w:p>
    <w:p>
      <w:pPr>
        <w:pStyle w:val="ArchitectureBlock"/>
        <w:pBdr>
          <w:left w:val="single" w:sz="8" w:space="6" w:color="8A8A8A"/>
        </w:pBdr>
      </w:pPr>
      <w:r>
        <w:t>This supplies a non-prophetic mechanism for apparently prophetic repetition: organisms and institutions re-enter similar relational state spaces and reproduce familiar solutions.</w:t>
      </w:r>
    </w:p>
    <w:p>
      <w:pPr>
        <w:pStyle w:val="Heading2"/>
      </w:pPr>
      <w:r>
        <w:t>2.4 Role regeneration</w:t>
      </w:r>
    </w:p>
    <w:p>
      <w:pPr>
        <w:spacing w:after="32"/>
        <w:ind w:left="317" w:hanging="173"/>
      </w:pPr>
      <w:r>
        <w:rPr>
          <w:b/>
        </w:rPr>
        <w:t xml:space="preserve">• </w:t>
      </w:r>
      <w:r>
        <w:t>Capture + rigidity + remainder accumulation tends to regenerate rebel / trickster / witness / alternative Timekeeper roles.</w:t>
      </w:r>
    </w:p>
    <w:p>
      <w:pPr>
        <w:spacing w:after="32"/>
        <w:ind w:left="317" w:hanging="173"/>
      </w:pPr>
      <w:r>
        <w:rPr>
          <w:b/>
        </w:rPr>
        <w:t xml:space="preserve">• </w:t>
      </w:r>
      <w:r>
        <w:t>Severe disorder tends to regenerate ordering operator / king / savior / administrator roles.</w:t>
      </w:r>
    </w:p>
    <w:p>
      <w:pPr>
        <w:spacing w:after="32"/>
        <w:ind w:left="317" w:hanging="173"/>
      </w:pPr>
      <w:r>
        <w:rPr>
          <w:b/>
        </w:rPr>
        <w:t xml:space="preserve">• </w:t>
      </w:r>
      <w:r>
        <w:t>Scarce authorized interpretation tends to regenerate priest / scribe / expert / gatekeeper roles.</w:t>
      </w:r>
    </w:p>
    <w:p>
      <w:pPr>
        <w:spacing w:after="32"/>
        <w:ind w:left="317" w:hanging="173"/>
      </w:pPr>
      <w:r>
        <w:rPr>
          <w:b/>
        </w:rPr>
        <w:t xml:space="preserve">• </w:t>
      </w:r>
      <w:r>
        <w:t>The role topology can survive while the casting changes.</w:t>
      </w:r>
    </w:p>
    <w:p>
      <w:pPr>
        <w:pStyle w:val="Heading1"/>
      </w:pPr>
      <w:r>
        <w:t>3. Diagnostic and Forensic Tests</w:t>
      </w:r>
    </w:p>
    <w:p>
      <w:pPr>
        <w:pStyle w:val="Heading2"/>
      </w:pPr>
      <w:r>
        <w:t>3.1 Architecture battery</w:t>
      </w:r>
    </w:p>
    <w:tbl>
      <w:tblPr>
        <w:tblStyle w:val="TableGrid"/>
        <w:tblW w:type="auto" w:w="0"/>
        <w:jc w:val="center"/>
        <w:tblLayout w:type="autofit"/>
        <w:tblLook w:firstColumn="1" w:firstRow="1" w:lastColumn="0" w:lastRow="0" w:noHBand="0" w:noVBand="1" w:val="04A0"/>
      </w:tblPr>
      <w:tblGrid>
        <w:gridCol w:w="5083"/>
        <w:gridCol w:w="5083"/>
      </w:tblGrid>
      <w:tr>
        <w:tc>
          <w:tcPr>
            <w:tcW w:type="dxa" w:w="2376"/>
            <w:shd w:fill="E7E7E7"/>
            <w:tcMar>
              <w:top w:w="65" w:type="dxa"/>
              <w:start w:w="75" w:type="dxa"/>
              <w:bottom w:w="65" w:type="dxa"/>
              <w:end w:w="75" w:type="dxa"/>
            </w:tcMar>
            <w:vAlign w:val="center"/>
          </w:tcPr>
          <w:p>
            <w:r>
              <w:rPr>
                <w:b/>
                <w:sz w:val="16"/>
              </w:rPr>
              <w:t>Test</w:t>
            </w:r>
          </w:p>
        </w:tc>
        <w:tc>
          <w:tcPr>
            <w:tcW w:type="dxa" w:w="7848"/>
            <w:shd w:fill="E7E7E7"/>
            <w:tcMar>
              <w:top w:w="65" w:type="dxa"/>
              <w:start w:w="75" w:type="dxa"/>
              <w:bottom w:w="65" w:type="dxa"/>
              <w:end w:w="75" w:type="dxa"/>
            </w:tcMar>
            <w:vAlign w:val="center"/>
          </w:tcPr>
          <w:p>
            <w:r>
              <w:rPr>
                <w:b/>
                <w:sz w:val="16"/>
              </w:rPr>
              <w:t>Question</w:t>
            </w:r>
          </w:p>
        </w:tc>
      </w:tr>
      <w:tr>
        <w:tc>
          <w:tcPr>
            <w:tcW w:type="dxa" w:w="2376"/>
            <w:tcMar>
              <w:top w:w="65" w:type="dxa"/>
              <w:start w:w="75" w:type="dxa"/>
              <w:bottom w:w="65" w:type="dxa"/>
              <w:end w:w="75" w:type="dxa"/>
            </w:tcMar>
            <w:vAlign w:val="top"/>
          </w:tcPr>
          <w:p>
            <w:pPr>
              <w:spacing w:after="0"/>
            </w:pPr>
            <w:r>
              <w:rPr>
                <w:sz w:val="16"/>
              </w:rPr>
              <w:t>REMOVE THE MIDDLE</w:t>
            </w:r>
          </w:p>
        </w:tc>
        <w:tc>
          <w:tcPr>
            <w:tcW w:type="dxa" w:w="7848"/>
            <w:tcMar>
              <w:top w:w="65" w:type="dxa"/>
              <w:start w:w="75" w:type="dxa"/>
              <w:bottom w:w="65" w:type="dxa"/>
              <w:end w:w="75" w:type="dxa"/>
            </w:tcMar>
            <w:vAlign w:val="top"/>
          </w:tcPr>
          <w:p>
            <w:pPr>
              <w:spacing w:after="0"/>
            </w:pPr>
            <w:r>
              <w:rPr>
                <w:sz w:val="16"/>
              </w:rPr>
              <w:t>Does the system still function if the custodian/intermediary is removed?</w:t>
            </w:r>
          </w:p>
        </w:tc>
      </w:tr>
      <w:tr>
        <w:tc>
          <w:tcPr>
            <w:tcW w:type="dxa" w:w="2376"/>
            <w:tcMar>
              <w:top w:w="65" w:type="dxa"/>
              <w:start w:w="75" w:type="dxa"/>
              <w:bottom w:w="65" w:type="dxa"/>
              <w:end w:w="75" w:type="dxa"/>
            </w:tcMar>
            <w:vAlign w:val="top"/>
          </w:tcPr>
          <w:p>
            <w:pPr>
              <w:spacing w:after="0"/>
            </w:pPr>
            <w:r>
              <w:rPr>
                <w:sz w:val="16"/>
              </w:rPr>
              <w:t>SWAP THE TOOL</w:t>
            </w:r>
          </w:p>
        </w:tc>
        <w:tc>
          <w:tcPr>
            <w:tcW w:type="dxa" w:w="7848"/>
            <w:tcMar>
              <w:top w:w="65" w:type="dxa"/>
              <w:start w:w="75" w:type="dxa"/>
              <w:bottom w:w="65" w:type="dxa"/>
              <w:end w:w="75" w:type="dxa"/>
            </w:tcMar>
            <w:vAlign w:val="top"/>
          </w:tcPr>
          <w:p>
            <w:pPr>
              <w:spacing w:after="0"/>
            </w:pPr>
            <w:r>
              <w:rPr>
                <w:sz w:val="16"/>
              </w:rPr>
              <w:t>If another institution performs the same transformation, do similar residuals and capture effects appear?</w:t>
            </w:r>
          </w:p>
        </w:tc>
      </w:tr>
      <w:tr>
        <w:tc>
          <w:tcPr>
            <w:tcW w:type="dxa" w:w="2376"/>
            <w:tcMar>
              <w:top w:w="65" w:type="dxa"/>
              <w:start w:w="75" w:type="dxa"/>
              <w:bottom w:w="65" w:type="dxa"/>
              <w:end w:w="75" w:type="dxa"/>
            </w:tcMar>
            <w:vAlign w:val="top"/>
          </w:tcPr>
          <w:p>
            <w:pPr>
              <w:spacing w:after="0"/>
            </w:pPr>
            <w:r>
              <w:rPr>
                <w:sz w:val="16"/>
              </w:rPr>
              <w:t>DECLINE THE TOOL</w:t>
            </w:r>
          </w:p>
        </w:tc>
        <w:tc>
          <w:tcPr>
            <w:tcW w:type="dxa" w:w="7848"/>
            <w:tcMar>
              <w:top w:w="65" w:type="dxa"/>
              <w:start w:w="75" w:type="dxa"/>
              <w:bottom w:w="65" w:type="dxa"/>
              <w:end w:w="75" w:type="dxa"/>
            </w:tcMar>
            <w:vAlign w:val="top"/>
          </w:tcPr>
          <w:p>
            <w:pPr>
              <w:spacing w:after="0"/>
            </w:pPr>
            <w:r>
              <w:rPr>
                <w:sz w:val="16"/>
              </w:rPr>
              <w:t>Can participants coordinate without the imposed representation or intermediary?</w:t>
            </w:r>
          </w:p>
        </w:tc>
      </w:tr>
      <w:tr>
        <w:tc>
          <w:tcPr>
            <w:tcW w:type="dxa" w:w="2376"/>
            <w:tcMar>
              <w:top w:w="65" w:type="dxa"/>
              <w:start w:w="75" w:type="dxa"/>
              <w:bottom w:w="65" w:type="dxa"/>
              <w:end w:w="75" w:type="dxa"/>
            </w:tcMar>
            <w:vAlign w:val="top"/>
          </w:tcPr>
          <w:p>
            <w:pPr>
              <w:spacing w:after="0"/>
            </w:pPr>
            <w:r>
              <w:rPr>
                <w:sz w:val="16"/>
              </w:rPr>
              <w:t>CORRECT THE FRAME</w:t>
            </w:r>
          </w:p>
        </w:tc>
        <w:tc>
          <w:tcPr>
            <w:tcW w:type="dxa" w:w="7848"/>
            <w:tcMar>
              <w:top w:w="65" w:type="dxa"/>
              <w:start w:w="75" w:type="dxa"/>
              <w:bottom w:w="65" w:type="dxa"/>
              <w:end w:w="75" w:type="dxa"/>
            </w:tcMar>
            <w:vAlign w:val="top"/>
          </w:tcPr>
          <w:p>
            <w:pPr>
              <w:spacing w:after="0"/>
            </w:pPr>
            <w:r>
              <w:rPr>
                <w:sz w:val="16"/>
              </w:rPr>
              <w:t>When the underlying object contradicts the administrative map, which one gets modified?</w:t>
            </w:r>
          </w:p>
        </w:tc>
      </w:tr>
      <w:tr>
        <w:tc>
          <w:tcPr>
            <w:tcW w:type="dxa" w:w="2376"/>
            <w:tcMar>
              <w:top w:w="65" w:type="dxa"/>
              <w:start w:w="75" w:type="dxa"/>
              <w:bottom w:w="65" w:type="dxa"/>
              <w:end w:w="75" w:type="dxa"/>
            </w:tcMar>
            <w:vAlign w:val="top"/>
          </w:tcPr>
          <w:p>
            <w:pPr>
              <w:spacing w:after="0"/>
            </w:pPr>
            <w:r>
              <w:rPr>
                <w:sz w:val="16"/>
              </w:rPr>
              <w:t>RENAME THE HELPER</w:t>
            </w:r>
          </w:p>
        </w:tc>
        <w:tc>
          <w:tcPr>
            <w:tcW w:type="dxa" w:w="7848"/>
            <w:tcMar>
              <w:top w:w="65" w:type="dxa"/>
              <w:start w:w="75" w:type="dxa"/>
              <w:bottom w:w="65" w:type="dxa"/>
              <w:end w:w="75" w:type="dxa"/>
            </w:tcMar>
            <w:vAlign w:val="top"/>
          </w:tcPr>
          <w:p>
            <w:pPr>
              <w:spacing w:after="0"/>
            </w:pPr>
            <w:r>
              <w:rPr>
                <w:sz w:val="16"/>
              </w:rPr>
              <w:t>If priest/banker/clerk/bureaucrat/algorithm is renamed, does the route remain structurally the same?</w:t>
            </w:r>
          </w:p>
        </w:tc>
      </w:tr>
      <w:tr>
        <w:tc>
          <w:tcPr>
            <w:tcW w:type="dxa" w:w="2376"/>
            <w:tcMar>
              <w:top w:w="65" w:type="dxa"/>
              <w:start w:w="75" w:type="dxa"/>
              <w:bottom w:w="65" w:type="dxa"/>
              <w:end w:w="75" w:type="dxa"/>
            </w:tcMar>
            <w:vAlign w:val="top"/>
          </w:tcPr>
          <w:p>
            <w:pPr>
              <w:spacing w:after="0"/>
            </w:pPr>
            <w:r>
              <w:rPr>
                <w:sz w:val="16"/>
              </w:rPr>
              <w:t>HIDDEN SEAT</w:t>
            </w:r>
          </w:p>
        </w:tc>
        <w:tc>
          <w:tcPr>
            <w:tcW w:type="dxa" w:w="7848"/>
            <w:tcMar>
              <w:top w:w="65" w:type="dxa"/>
              <w:start w:w="75" w:type="dxa"/>
              <w:bottom w:w="65" w:type="dxa"/>
              <w:end w:w="75" w:type="dxa"/>
            </w:tcMar>
            <w:vAlign w:val="top"/>
          </w:tcPr>
          <w:p>
            <w:pPr>
              <w:spacing w:after="0"/>
            </w:pPr>
            <w:r>
              <w:rPr>
                <w:sz w:val="16"/>
              </w:rPr>
              <w:t>Who controls categories, introductions, interpretation, timing, and permissible outputs?</w:t>
            </w:r>
          </w:p>
        </w:tc>
      </w:tr>
    </w:tbl>
    <w:p>
      <w:pPr>
        <w:spacing w:after="0"/>
      </w:pPr>
    </w:p>
    <w:p>
      <w:pPr>
        <w:pStyle w:val="Heading2"/>
      </w:pPr>
      <w:r>
        <w:t>3.2 Causal public-record spine</w:t>
      </w:r>
    </w:p>
    <w:p>
      <w:pPr>
        <w:pStyle w:val="EquationBlock"/>
        <w:shd w:fill="F2F2F2"/>
      </w:pPr>
      <w:r>
        <w:rPr>
          <w:rFonts w:ascii="Cascadia Mono" w:hAnsi="Cascadia Mono"/>
          <w:sz w:val="17"/>
        </w:rPr>
        <w:t>actor -&gt; formal authority -&gt; specific action -&gt; timing/participation -&gt; money/access relation -&gt; consequence</w:t>
      </w:r>
    </w:p>
    <w:p>
      <w:pPr>
        <w:pStyle w:val="ArchitectureBlock"/>
        <w:pBdr>
          <w:left w:val="single" w:sz="8" w:space="6" w:color="8A8A8A"/>
        </w:pBdr>
      </w:pPr>
      <w:r>
        <w:t>Archetypes may nominate a search target; instruments decide what survives. Structural resemblance is not enough. The public-record lane requires an actor, authority, action, timing, relationship, and consequence before symbolic interpretation is allowed to carry weight.</w:t>
      </w:r>
    </w:p>
    <w:p>
      <w:pPr>
        <w:pStyle w:val="Heading2"/>
      </w:pPr>
      <w:r>
        <w:t>3.3 Invisible Exception</w:t>
      </w:r>
    </w:p>
    <w:p>
      <w:pPr>
        <w:pStyle w:val="ArchitectureBlock"/>
        <w:pBdr>
          <w:left w:val="single" w:sz="8" w:space="6" w:color="8A8A8A"/>
        </w:pBdr>
      </w:pPr>
      <w:r>
        <w:t>Use when the action is visible but the justification is hidden.</w:t>
      </w:r>
    </w:p>
    <w:p>
      <w:pPr>
        <w:spacing w:after="36"/>
        <w:ind w:left="317" w:hanging="245"/>
      </w:pPr>
      <w:r>
        <w:rPr>
          <w:b/>
        </w:rPr>
        <w:t xml:space="preserve">1. </w:t>
      </w:r>
      <w:r>
        <w:t>Locate the authorizing instrument.</w:t>
      </w:r>
    </w:p>
    <w:p>
      <w:pPr>
        <w:spacing w:after="36"/>
        <w:ind w:left="317" w:hanging="245"/>
      </w:pPr>
      <w:r>
        <w:rPr>
          <w:b/>
        </w:rPr>
        <w:t xml:space="preserve">2. </w:t>
      </w:r>
      <w:r>
        <w:t>Identify the interpreter / decision-maker.</w:t>
      </w:r>
    </w:p>
    <w:p>
      <w:pPr>
        <w:spacing w:after="36"/>
        <w:ind w:left="317" w:hanging="245"/>
      </w:pPr>
      <w:r>
        <w:rPr>
          <w:b/>
        </w:rPr>
        <w:t xml:space="preserve">3. </w:t>
      </w:r>
      <w:r>
        <w:t>Identify the rule interpreted.</w:t>
      </w:r>
    </w:p>
    <w:p>
      <w:pPr>
        <w:spacing w:after="36"/>
        <w:ind w:left="317" w:hanging="245"/>
      </w:pPr>
      <w:r>
        <w:rPr>
          <w:b/>
        </w:rPr>
        <w:t xml:space="preserve">4. </w:t>
      </w:r>
      <w:r>
        <w:t>Identify the factual predicates supplied to that interpreter.</w:t>
      </w:r>
    </w:p>
    <w:p>
      <w:pPr>
        <w:spacing w:after="36"/>
        <w:ind w:left="317" w:hanging="245"/>
      </w:pPr>
      <w:r>
        <w:rPr>
          <w:b/>
        </w:rPr>
        <w:t xml:space="preserve">5. </w:t>
      </w:r>
      <w:r>
        <w:t>Determine whether the reasoning is inspectable.</w:t>
      </w:r>
    </w:p>
    <w:p>
      <w:pPr>
        <w:spacing w:after="36"/>
        <w:ind w:left="317" w:hanging="245"/>
      </w:pPr>
      <w:r>
        <w:rPr>
          <w:b/>
        </w:rPr>
        <w:t xml:space="preserve">6. </w:t>
      </w:r>
      <w:r>
        <w:t>Determine whether an external reviewer can challenge it.</w:t>
      </w:r>
    </w:p>
    <w:p>
      <w:pPr>
        <w:pStyle w:val="ArchitectureBlock"/>
        <w:pBdr>
          <w:left w:val="single" w:sz="8" w:space="6" w:color="8A8A8A"/>
        </w:pBdr>
      </w:pPr>
      <w:r>
        <w:t>If a system says 'cleared' while the rule, facts, action, and classification are visible but the route from apparent constraint to authorized exception is not, the architectural issue is custody of adjudication. That does not by itself prove misconduct.</w:t>
      </w:r>
    </w:p>
    <w:p>
      <w:pPr>
        <w:pStyle w:val="Heading2"/>
      </w:pPr>
      <w:r>
        <w:t>3.4 Invisible Touch</w:t>
      </w:r>
    </w:p>
    <w:p>
      <w:pPr>
        <w:pStyle w:val="ArchitectureBlock"/>
        <w:pBdr>
          <w:left w:val="single" w:sz="8" w:space="6" w:color="8A8A8A"/>
        </w:pBdr>
      </w:pPr>
      <w:r>
        <w:t>Use when exposure or institutional adjacency is visible but the actor's actual participation is missing. The relationship is not the action. This prevents Priesthood-Function from overfiring and turning adjacency into agency.</w:t>
      </w:r>
    </w:p>
    <w:p>
      <w:pPr>
        <w:pStyle w:val="EquationBlock"/>
        <w:shd w:fill="F2F2F2"/>
      </w:pPr>
      <w:r>
        <w:rPr>
          <w:rFonts w:ascii="Cascadia Mono" w:hAnsi="Cascadia Mono"/>
          <w:sz w:val="17"/>
        </w:rPr>
        <w:t>visible exposure + visible substrate + missing actor touch != proven participation</w:t>
      </w:r>
    </w:p>
    <w:p>
      <w:pPr>
        <w:pStyle w:val="Heading2"/>
      </w:pPr>
      <w:r>
        <w:t>3.5 Rupture test</w:t>
      </w:r>
    </w:p>
    <w:p>
      <w:pPr>
        <w:pStyle w:val="ArchitectureBlock"/>
        <w:pBdr>
          <w:left w:val="single" w:sz="8" w:space="6" w:color="8A8A8A"/>
        </w:pBdr>
      </w:pPr>
      <w:r>
        <w:t>Rupture reveals topology. Succession crises, fiscal conflicts, institutional displacement, schism, procurement renewal, and regime change expose normally hidden interfaces because offices, patronage routes, admission rules, and external bridges become contested and therefore recorded.</w:t>
      </w:r>
    </w:p>
    <w:p>
      <w:pPr>
        <w:pStyle w:val="Heading2"/>
      </w:pPr>
      <w:r>
        <w:t>3.6 Continuity mechanism test</w:t>
      </w:r>
    </w:p>
    <w:p>
      <w:pPr>
        <w:pStyle w:val="EquationBlock"/>
        <w:shd w:fill="F2F2F2"/>
      </w:pPr>
      <w:r>
        <w:rPr>
          <w:rFonts w:ascii="Cascadia Mono" w:hAnsi="Cascadia Mono"/>
          <w:sz w:val="17"/>
        </w:rPr>
        <w:t>family -&gt; apprentice -&gt; office -&gt; archive -&gt; ritual -&gt; credential -&gt; successor</w:t>
      </w:r>
    </w:p>
    <w:p>
      <w:pPr>
        <w:pStyle w:val="ArchitectureBlock"/>
        <w:pBdr>
          <w:left w:val="single" w:sz="8" w:space="6" w:color="8A8A8A"/>
        </w:pBdr>
      </w:pPr>
      <w:r>
        <w:t>A durable bounded network requires more than surviving ideas. Distinguish knowledge transmission from organizational continuity. If ideas diffuse broadly while recurring families, closed offices, initiation rules, privileged brokers, and successor mechanisms disappear, transmission survives while the bounded-network hypothesis weakens.</w:t>
      </w:r>
    </w:p>
    <w:p>
      <w:pPr>
        <w:pStyle w:val="Heading1"/>
      </w:pPr>
      <w:r>
        <w:t>4. Mythic / Social Fossil Architecture</w:t>
      </w:r>
    </w:p>
    <w:p>
      <w:pPr>
        <w:pStyle w:val="Heading2"/>
      </w:pPr>
      <w:r>
        <w:t>4.1 Myth as processed memory</w:t>
      </w:r>
    </w:p>
    <w:p>
      <w:pPr>
        <w:pStyle w:val="ArchitectureBlock"/>
        <w:pBdr>
          <w:left w:val="single" w:sz="8" w:space="6" w:color="8A8A8A"/>
        </w:pBdr>
      </w:pPr>
      <w:r>
        <w:t>Working model: myth can preserve primate and institutional power dynamics after compression, substitution, moralization, elite editing, syncretic overwrite, and trauma distortion. This is an analytic possibility, not a license to translate mythic terms directly into technical history.</w:t>
      </w:r>
    </w:p>
    <w:p>
      <w:pPr>
        <w:pStyle w:val="EquationBlock"/>
        <w:shd w:fill="F2F2F2"/>
      </w:pPr>
      <w:r>
        <w:rPr>
          <w:rFonts w:ascii="Cascadia Mono" w:hAnsi="Cascadia Mono"/>
          <w:sz w:val="17"/>
        </w:rPr>
        <w:t>raw event -&gt; story -&gt; ritual -&gt; office -&gt; obligation -&gt; legitimacy</w:t>
      </w:r>
    </w:p>
    <w:p>
      <w:pPr>
        <w:pStyle w:val="EquationBlock"/>
        <w:shd w:fill="F2F2F2"/>
      </w:pPr>
      <w:r>
        <w:rPr>
          <w:rFonts w:ascii="Cascadia Mono" w:hAnsi="Cascadia Mono"/>
          <w:sz w:val="17"/>
        </w:rPr>
        <w:t>life -&gt; symbol -&gt; specialist -&gt; gate -&gt; compliance</w:t>
      </w:r>
    </w:p>
    <w:p>
      <w:pPr>
        <w:pStyle w:val="Heading2"/>
      </w:pPr>
      <w:r>
        <w:t>4.2 Atrahasis labor-regime machine</w:t>
      </w:r>
    </w:p>
    <w:p>
      <w:pPr>
        <w:pStyle w:val="EquationBlock"/>
        <w:shd w:fill="F2F2F2"/>
      </w:pPr>
      <w:r>
        <w:rPr>
          <w:rFonts w:ascii="Cascadia Mono" w:hAnsi="Cascadia Mono"/>
          <w:sz w:val="17"/>
        </w:rPr>
        <w:t>existing order -&gt; unequal labor burden -&gt; subordinate revolt -&gt; ruling crisis -&gt; replacement labor population -&gt; population expansion -&gt; disturbance -&gt; suppression -&gt; catastrophe -&gt; surviving remnant -&gt; revised settlement</w:t>
      </w:r>
    </w:p>
    <w:p>
      <w:pPr>
        <w:pStyle w:val="ArchitectureBlock"/>
        <w:pBdr>
          <w:left w:val="single" w:sz="8" w:space="6" w:color="8A8A8A"/>
        </w:pBdr>
      </w:pPr>
      <w:r>
        <w:t>The labor-transfer and population-control structure is textually present in Atrahasis. Under the mythic-historical hypothesis, 'god,' 'clay,' 'blood/flesh/intelligence,' and 'creation' may be tested as possible encodings of status, substrate, inheritance/incorporation, and population differentiation. Those are hypotheses, not literal Akkadian translations.</w:t>
      </w:r>
    </w:p>
    <w:p>
      <w:pPr>
        <w:pStyle w:val="Heading2"/>
      </w:pPr>
      <w:r>
        <w:t>4.3 Succession engine</w:t>
      </w:r>
    </w:p>
    <w:p>
      <w:pPr>
        <w:pStyle w:val="ArchitectureBlock"/>
        <w:pBdr>
          <w:left w:val="single" w:sz="8" w:space="6" w:color="8A8A8A"/>
        </w:pBdr>
      </w:pPr>
      <w:r>
        <w:t>Divine succession stories repeatedly map onto ruling-house questions: who inherits, who overthrows, who controls land/Temple/women/resources, and who narrates victory. The durable hypothesis is functional rather than genealogical: a biological dynasty can die while a dynastic operating system survives.</w:t>
      </w:r>
    </w:p>
    <w:p>
      <w:pPr>
        <w:pStyle w:val="EquationBlock"/>
        <w:shd w:fill="F2F2F2"/>
      </w:pPr>
      <w:r>
        <w:rPr>
          <w:rFonts w:ascii="Cascadia Mono" w:hAnsi="Cascadia Mono"/>
          <w:sz w:val="17"/>
        </w:rPr>
        <w:t>succession -&gt; genealogy -&gt; sacred geography -&gt; ritual -&gt; calendar -&gt; scribe/priest -&gt; ledger -&gt; obligation</w:t>
      </w:r>
    </w:p>
    <w:p>
      <w:pPr>
        <w:pStyle w:val="Heading2"/>
      </w:pPr>
      <w:r>
        <w:t>4.4 Feminine capture as succession accounting</w:t>
      </w:r>
    </w:p>
    <w:p>
      <w:pPr>
        <w:pStyle w:val="EquationBlock"/>
        <w:shd w:fill="F2F2F2"/>
      </w:pPr>
      <w:r>
        <w:rPr>
          <w:rFonts w:ascii="Cascadia Mono" w:hAnsi="Cascadia Mono"/>
          <w:sz w:val="17"/>
        </w:rPr>
        <w:t>reproductive uncertainty -&gt; succession uncertainty -&gt; property uncertainty -&gt; ledger instability -&gt; legitimacy problem</w:t>
      </w:r>
    </w:p>
    <w:p>
      <w:pPr>
        <w:pStyle w:val="ArchitectureBlock"/>
        <w:pBdr>
          <w:left w:val="single" w:sz="8" w:space="6" w:color="8A8A8A"/>
        </w:pBdr>
      </w:pPr>
      <w:r>
        <w:t>The corpus repeatedly models female autonomy being split, sanitized, demonized, ritualized, subordinated, or idealized into administrable roles. Within the dynastic model, the architectural link is lineage certainty rather than a universal claim that every tradition performs the same operation.</w:t>
      </w:r>
    </w:p>
    <w:p>
      <w:pPr>
        <w:pStyle w:val="Heading2"/>
      </w:pPr>
      <w:r>
        <w:t>4.5 Sacred geography</w:t>
      </w:r>
    </w:p>
    <w:p>
      <w:pPr>
        <w:pStyle w:val="EquationBlock"/>
        <w:shd w:fill="F2F2F2"/>
      </w:pPr>
      <w:r>
        <w:rPr>
          <w:rFonts w:ascii="Cascadia Mono" w:hAnsi="Cascadia Mono"/>
          <w:sz w:val="17"/>
        </w:rPr>
        <w:t>territory -&gt; story -&gt; shrine -&gt; legitimacy -&gt; control</w:t>
      </w:r>
    </w:p>
    <w:tbl>
      <w:tblPr>
        <w:tblStyle w:val="TableGrid"/>
        <w:tblW w:type="auto" w:w="0"/>
        <w:jc w:val="center"/>
        <w:tblLayout w:type="autofit"/>
        <w:tblLook w:firstColumn="1" w:firstRow="1" w:lastColumn="0" w:lastRow="0" w:noHBand="0" w:noVBand="1" w:val="04A0"/>
      </w:tblPr>
      <w:tblGrid>
        <w:gridCol w:w="5083"/>
        <w:gridCol w:w="5083"/>
      </w:tblGrid>
      <w:tr>
        <w:tc>
          <w:tcPr>
            <w:tcW w:type="dxa" w:w="2448"/>
            <w:shd w:fill="E7E7E7"/>
            <w:tcMar>
              <w:top w:w="65" w:type="dxa"/>
              <w:start w:w="75" w:type="dxa"/>
              <w:bottom w:w="65" w:type="dxa"/>
              <w:end w:w="75" w:type="dxa"/>
            </w:tcMar>
            <w:vAlign w:val="center"/>
          </w:tcPr>
          <w:p>
            <w:r>
              <w:rPr>
                <w:b/>
                <w:sz w:val="16"/>
              </w:rPr>
              <w:t>Mythic form</w:t>
            </w:r>
          </w:p>
        </w:tc>
        <w:tc>
          <w:tcPr>
            <w:tcW w:type="dxa" w:w="7776"/>
            <w:shd w:fill="E7E7E7"/>
            <w:tcMar>
              <w:top w:w="65" w:type="dxa"/>
              <w:start w:w="75" w:type="dxa"/>
              <w:bottom w:w="65" w:type="dxa"/>
              <w:end w:w="75" w:type="dxa"/>
            </w:tcMar>
            <w:vAlign w:val="center"/>
          </w:tcPr>
          <w:p>
            <w:r>
              <w:rPr>
                <w:b/>
                <w:sz w:val="16"/>
              </w:rPr>
              <w:t>Structural reading</w:t>
            </w:r>
          </w:p>
        </w:tc>
      </w:tr>
      <w:tr>
        <w:tc>
          <w:tcPr>
            <w:tcW w:type="dxa" w:w="2448"/>
            <w:tcMar>
              <w:top w:w="65" w:type="dxa"/>
              <w:start w:w="75" w:type="dxa"/>
              <w:bottom w:w="65" w:type="dxa"/>
              <w:end w:w="75" w:type="dxa"/>
            </w:tcMar>
            <w:vAlign w:val="top"/>
          </w:tcPr>
          <w:p>
            <w:pPr>
              <w:spacing w:after="0"/>
            </w:pPr>
            <w:r>
              <w:rPr>
                <w:sz w:val="16"/>
              </w:rPr>
              <w:t>Mountain</w:t>
            </w:r>
          </w:p>
        </w:tc>
        <w:tc>
          <w:tcPr>
            <w:tcW w:type="dxa" w:w="7776"/>
            <w:tcMar>
              <w:top w:w="65" w:type="dxa"/>
              <w:start w:w="75" w:type="dxa"/>
              <w:bottom w:w="65" w:type="dxa"/>
              <w:end w:w="75" w:type="dxa"/>
            </w:tcMar>
            <w:vAlign w:val="top"/>
          </w:tcPr>
          <w:p>
            <w:pPr>
              <w:spacing w:after="0"/>
            </w:pPr>
            <w:r>
              <w:rPr>
                <w:sz w:val="16"/>
              </w:rPr>
              <w:t>Legitimacy anchor</w:t>
            </w:r>
          </w:p>
        </w:tc>
      </w:tr>
      <w:tr>
        <w:tc>
          <w:tcPr>
            <w:tcW w:type="dxa" w:w="2448"/>
            <w:tcMar>
              <w:top w:w="65" w:type="dxa"/>
              <w:start w:w="75" w:type="dxa"/>
              <w:bottom w:w="65" w:type="dxa"/>
              <w:end w:w="75" w:type="dxa"/>
            </w:tcMar>
            <w:vAlign w:val="top"/>
          </w:tcPr>
          <w:p>
            <w:pPr>
              <w:spacing w:after="0"/>
            </w:pPr>
            <w:r>
              <w:rPr>
                <w:sz w:val="16"/>
              </w:rPr>
              <w:t>Cave</w:t>
            </w:r>
          </w:p>
        </w:tc>
        <w:tc>
          <w:tcPr>
            <w:tcW w:type="dxa" w:w="7776"/>
            <w:tcMar>
              <w:top w:w="65" w:type="dxa"/>
              <w:start w:w="75" w:type="dxa"/>
              <w:bottom w:w="65" w:type="dxa"/>
              <w:end w:w="75" w:type="dxa"/>
            </w:tcMar>
            <w:vAlign w:val="top"/>
          </w:tcPr>
          <w:p>
            <w:pPr>
              <w:spacing w:after="0"/>
            </w:pPr>
            <w:r>
              <w:rPr>
                <w:sz w:val="16"/>
              </w:rPr>
              <w:t>Origin chamber</w:t>
            </w:r>
          </w:p>
        </w:tc>
      </w:tr>
      <w:tr>
        <w:tc>
          <w:tcPr>
            <w:tcW w:type="dxa" w:w="2448"/>
            <w:tcMar>
              <w:top w:w="65" w:type="dxa"/>
              <w:start w:w="75" w:type="dxa"/>
              <w:bottom w:w="65" w:type="dxa"/>
              <w:end w:w="75" w:type="dxa"/>
            </w:tcMar>
            <w:vAlign w:val="top"/>
          </w:tcPr>
          <w:p>
            <w:pPr>
              <w:spacing w:after="0"/>
            </w:pPr>
            <w:r>
              <w:rPr>
                <w:sz w:val="16"/>
              </w:rPr>
              <w:t>Spring</w:t>
            </w:r>
          </w:p>
        </w:tc>
        <w:tc>
          <w:tcPr>
            <w:tcW w:type="dxa" w:w="7776"/>
            <w:tcMar>
              <w:top w:w="65" w:type="dxa"/>
              <w:start w:w="75" w:type="dxa"/>
              <w:bottom w:w="65" w:type="dxa"/>
              <w:end w:w="75" w:type="dxa"/>
            </w:tcMar>
            <w:vAlign w:val="top"/>
          </w:tcPr>
          <w:p>
            <w:pPr>
              <w:spacing w:after="0"/>
            </w:pPr>
            <w:r>
              <w:rPr>
                <w:sz w:val="16"/>
              </w:rPr>
              <w:t>Controlled resource</w:t>
            </w:r>
          </w:p>
        </w:tc>
      </w:tr>
      <w:tr>
        <w:tc>
          <w:tcPr>
            <w:tcW w:type="dxa" w:w="2448"/>
            <w:tcMar>
              <w:top w:w="65" w:type="dxa"/>
              <w:start w:w="75" w:type="dxa"/>
              <w:bottom w:w="65" w:type="dxa"/>
              <w:end w:w="75" w:type="dxa"/>
            </w:tcMar>
            <w:vAlign w:val="top"/>
          </w:tcPr>
          <w:p>
            <w:pPr>
              <w:spacing w:after="0"/>
            </w:pPr>
            <w:r>
              <w:rPr>
                <w:sz w:val="16"/>
              </w:rPr>
              <w:t>Shrine</w:t>
            </w:r>
          </w:p>
        </w:tc>
        <w:tc>
          <w:tcPr>
            <w:tcW w:type="dxa" w:w="7776"/>
            <w:tcMar>
              <w:top w:w="65" w:type="dxa"/>
              <w:start w:w="75" w:type="dxa"/>
              <w:bottom w:w="65" w:type="dxa"/>
              <w:end w:w="75" w:type="dxa"/>
            </w:tcMar>
            <w:vAlign w:val="top"/>
          </w:tcPr>
          <w:p>
            <w:pPr>
              <w:spacing w:after="0"/>
            </w:pPr>
            <w:r>
              <w:rPr>
                <w:sz w:val="16"/>
              </w:rPr>
              <w:t>Authorized memory</w:t>
            </w:r>
          </w:p>
        </w:tc>
      </w:tr>
      <w:tr>
        <w:tc>
          <w:tcPr>
            <w:tcW w:type="dxa" w:w="2448"/>
            <w:tcMar>
              <w:top w:w="65" w:type="dxa"/>
              <w:start w:w="75" w:type="dxa"/>
              <w:bottom w:w="65" w:type="dxa"/>
              <w:end w:w="75" w:type="dxa"/>
            </w:tcMar>
            <w:vAlign w:val="top"/>
          </w:tcPr>
          <w:p>
            <w:pPr>
              <w:spacing w:after="0"/>
            </w:pPr>
            <w:r>
              <w:rPr>
                <w:sz w:val="16"/>
              </w:rPr>
              <w:t>Burial ground</w:t>
            </w:r>
          </w:p>
        </w:tc>
        <w:tc>
          <w:tcPr>
            <w:tcW w:type="dxa" w:w="7776"/>
            <w:tcMar>
              <w:top w:w="65" w:type="dxa"/>
              <w:start w:w="75" w:type="dxa"/>
              <w:bottom w:w="65" w:type="dxa"/>
              <w:end w:w="75" w:type="dxa"/>
            </w:tcMar>
            <w:vAlign w:val="top"/>
          </w:tcPr>
          <w:p>
            <w:pPr>
              <w:spacing w:after="0"/>
            </w:pPr>
            <w:r>
              <w:rPr>
                <w:sz w:val="16"/>
              </w:rPr>
              <w:t>Ancestral claim</w:t>
            </w:r>
          </w:p>
        </w:tc>
      </w:tr>
      <w:tr>
        <w:tc>
          <w:tcPr>
            <w:tcW w:type="dxa" w:w="2448"/>
            <w:tcMar>
              <w:top w:w="65" w:type="dxa"/>
              <w:start w:w="75" w:type="dxa"/>
              <w:bottom w:w="65" w:type="dxa"/>
              <w:end w:w="75" w:type="dxa"/>
            </w:tcMar>
            <w:vAlign w:val="top"/>
          </w:tcPr>
          <w:p>
            <w:pPr>
              <w:spacing w:after="0"/>
            </w:pPr>
            <w:r>
              <w:rPr>
                <w:sz w:val="16"/>
              </w:rPr>
              <w:t>Holy city</w:t>
            </w:r>
          </w:p>
        </w:tc>
        <w:tc>
          <w:tcPr>
            <w:tcW w:type="dxa" w:w="7776"/>
            <w:tcMar>
              <w:top w:w="65" w:type="dxa"/>
              <w:start w:w="75" w:type="dxa"/>
              <w:bottom w:w="65" w:type="dxa"/>
              <w:end w:w="75" w:type="dxa"/>
            </w:tcMar>
            <w:vAlign w:val="top"/>
          </w:tcPr>
          <w:p>
            <w:pPr>
              <w:spacing w:after="0"/>
            </w:pPr>
            <w:r>
              <w:rPr>
                <w:sz w:val="16"/>
              </w:rPr>
              <w:t>Administered sovereignty</w:t>
            </w:r>
          </w:p>
        </w:tc>
      </w:tr>
    </w:tbl>
    <w:p>
      <w:pPr>
        <w:spacing w:after="0"/>
      </w:pPr>
    </w:p>
    <w:p>
      <w:pPr>
        <w:pStyle w:val="Heading2"/>
      </w:pPr>
      <w:r>
        <w:t>4.6 Scapegoat / timed violence</w:t>
      </w:r>
    </w:p>
    <w:p>
      <w:pPr>
        <w:pStyle w:val="ArchitectureBlock"/>
        <w:pBdr>
          <w:left w:val="single" w:sz="8" w:space="6" w:color="8A8A8A"/>
        </w:pBdr>
      </w:pPr>
      <w:r>
        <w:t>Crisis resolution may be carried by sacrifice, expulsion, founding murder, divine death/return, ritual repetition, or guilt transfer. The Timekeeper connection is structural: crisis needs a clock; sacrifice needs a calendar; an interpretive institution may therefore not only justify violence but time it.</w:t>
      </w:r>
    </w:p>
    <w:p>
      <w:pPr>
        <w:pStyle w:val="Heading1"/>
      </w:pPr>
      <w:r>
        <w:t>5. Deep-Time Hominin Hypothesis Lane</w:t>
      </w:r>
    </w:p>
    <w:p>
      <w:pPr>
        <w:pStyle w:val="Heading2"/>
      </w:pPr>
      <w:r>
        <w:t>5.1 985-kya speculative model</w:t>
      </w:r>
    </w:p>
    <w:p>
      <w:pPr>
        <w:pStyle w:val="ArchitectureBlock"/>
        <w:pBdr>
          <w:left w:val="single" w:sz="8" w:space="6" w:color="8A8A8A"/>
        </w:pBdr>
      </w:pPr>
      <w:r>
        <w:t>Working hypothesis retained from the source: an archaic hominin social/biological crisis, labor conflict, lineage differentiation, and later mythic compression could be compared against chromosome-2 timing, population bottlenecks, archaeology, and recurrent labor/succession motifs. The hypothesis remains speculative and must not be back-filled from mythology.</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792"/>
            <w:shd w:fill="E7E7E7"/>
            <w:tcMar>
              <w:top w:w="65" w:type="dxa"/>
              <w:start w:w="75" w:type="dxa"/>
              <w:bottom w:w="65" w:type="dxa"/>
              <w:end w:w="75" w:type="dxa"/>
            </w:tcMar>
            <w:vAlign w:val="center"/>
          </w:tcPr>
          <w:p>
            <w:r>
              <w:rPr>
                <w:b/>
                <w:sz w:val="16"/>
              </w:rPr>
              <w:t>ID</w:t>
            </w:r>
          </w:p>
        </w:tc>
        <w:tc>
          <w:tcPr>
            <w:tcW w:type="dxa" w:w="4464"/>
            <w:shd w:fill="E7E7E7"/>
            <w:tcMar>
              <w:top w:w="65" w:type="dxa"/>
              <w:start w:w="75" w:type="dxa"/>
              <w:bottom w:w="65" w:type="dxa"/>
              <w:end w:w="75" w:type="dxa"/>
            </w:tcMar>
            <w:vAlign w:val="center"/>
          </w:tcPr>
          <w:p>
            <w:r>
              <w:rPr>
                <w:b/>
                <w:sz w:val="16"/>
              </w:rPr>
              <w:t>Claim</w:t>
            </w:r>
          </w:p>
        </w:tc>
        <w:tc>
          <w:tcPr>
            <w:tcW w:type="dxa" w:w="5112"/>
            <w:shd w:fill="E7E7E7"/>
            <w:tcMar>
              <w:top w:w="65" w:type="dxa"/>
              <w:start w:w="75" w:type="dxa"/>
              <w:bottom w:w="65" w:type="dxa"/>
              <w:end w:w="75" w:type="dxa"/>
            </w:tcMar>
            <w:vAlign w:val="center"/>
          </w:tcPr>
          <w:p>
            <w:r>
              <w:rPr>
                <w:b/>
                <w:sz w:val="16"/>
              </w:rPr>
              <w:t>Current state</w:t>
            </w:r>
          </w:p>
        </w:tc>
      </w:tr>
      <w:tr>
        <w:tc>
          <w:tcPr>
            <w:tcW w:type="dxa" w:w="792"/>
            <w:tcMar>
              <w:top w:w="65" w:type="dxa"/>
              <w:start w:w="75" w:type="dxa"/>
              <w:bottom w:w="65" w:type="dxa"/>
              <w:end w:w="75" w:type="dxa"/>
            </w:tcMar>
            <w:vAlign w:val="top"/>
          </w:tcPr>
          <w:p>
            <w:pPr>
              <w:spacing w:after="0"/>
            </w:pPr>
            <w:r>
              <w:rPr>
                <w:sz w:val="16"/>
              </w:rPr>
              <w:t>H1</w:t>
            </w:r>
          </w:p>
        </w:tc>
        <w:tc>
          <w:tcPr>
            <w:tcW w:type="dxa" w:w="4464"/>
            <w:tcMar>
              <w:top w:w="65" w:type="dxa"/>
              <w:start w:w="75" w:type="dxa"/>
              <w:bottom w:w="65" w:type="dxa"/>
              <w:end w:w="75" w:type="dxa"/>
            </w:tcMar>
            <w:vAlign w:val="top"/>
          </w:tcPr>
          <w:p>
            <w:pPr>
              <w:spacing w:after="0"/>
            </w:pPr>
            <w:r>
              <w:rPr>
                <w:sz w:val="16"/>
              </w:rPr>
              <w:t>Cousin hominin dynasty ~985 kya</w:t>
            </w:r>
          </w:p>
        </w:tc>
        <w:tc>
          <w:tcPr>
            <w:tcW w:type="dxa" w:w="5112"/>
            <w:tcMar>
              <w:top w:w="65" w:type="dxa"/>
              <w:start w:w="75" w:type="dxa"/>
              <w:bottom w:w="65" w:type="dxa"/>
              <w:end w:w="75" w:type="dxa"/>
            </w:tcMar>
            <w:vAlign w:val="top"/>
          </w:tcPr>
          <w:p>
            <w:pPr>
              <w:spacing w:after="0"/>
            </w:pPr>
            <w:r>
              <w:rPr>
                <w:sz w:val="16"/>
              </w:rPr>
              <w:t>OPEN; no direct evidence.</w:t>
            </w:r>
          </w:p>
        </w:tc>
      </w:tr>
      <w:tr>
        <w:tc>
          <w:tcPr>
            <w:tcW w:type="dxa" w:w="792"/>
            <w:tcMar>
              <w:top w:w="65" w:type="dxa"/>
              <w:start w:w="75" w:type="dxa"/>
              <w:bottom w:w="65" w:type="dxa"/>
              <w:end w:w="75" w:type="dxa"/>
            </w:tcMar>
            <w:vAlign w:val="top"/>
          </w:tcPr>
          <w:p>
            <w:pPr>
              <w:spacing w:after="0"/>
            </w:pPr>
            <w:r>
              <w:rPr>
                <w:sz w:val="16"/>
              </w:rPr>
              <w:t>H2</w:t>
            </w:r>
          </w:p>
        </w:tc>
        <w:tc>
          <w:tcPr>
            <w:tcW w:type="dxa" w:w="4464"/>
            <w:tcMar>
              <w:top w:w="65" w:type="dxa"/>
              <w:start w:w="75" w:type="dxa"/>
              <w:bottom w:w="65" w:type="dxa"/>
              <w:end w:w="75" w:type="dxa"/>
            </w:tcMar>
            <w:vAlign w:val="top"/>
          </w:tcPr>
          <w:p>
            <w:pPr>
              <w:spacing w:after="0"/>
            </w:pPr>
            <w:r>
              <w:rPr>
                <w:sz w:val="16"/>
              </w:rPr>
              <w:t>Igigi revolt preserves archaic labor conflict</w:t>
            </w:r>
          </w:p>
        </w:tc>
        <w:tc>
          <w:tcPr>
            <w:tcW w:type="dxa" w:w="5112"/>
            <w:tcMar>
              <w:top w:w="65" w:type="dxa"/>
              <w:start w:w="75" w:type="dxa"/>
              <w:bottom w:w="65" w:type="dxa"/>
              <w:end w:w="75" w:type="dxa"/>
            </w:tcMar>
            <w:vAlign w:val="top"/>
          </w:tcPr>
          <w:p>
            <w:pPr>
              <w:spacing w:after="0"/>
            </w:pPr>
            <w:r>
              <w:rPr>
                <w:sz w:val="16"/>
              </w:rPr>
              <w:t>Textual structure confirmed; prehistoric identification OPEN.</w:t>
            </w:r>
          </w:p>
        </w:tc>
      </w:tr>
      <w:tr>
        <w:tc>
          <w:tcPr>
            <w:tcW w:type="dxa" w:w="792"/>
            <w:tcMar>
              <w:top w:w="65" w:type="dxa"/>
              <w:start w:w="75" w:type="dxa"/>
              <w:bottom w:w="65" w:type="dxa"/>
              <w:end w:w="75" w:type="dxa"/>
            </w:tcMar>
            <w:vAlign w:val="top"/>
          </w:tcPr>
          <w:p>
            <w:pPr>
              <w:spacing w:after="0"/>
            </w:pPr>
            <w:r>
              <w:rPr>
                <w:sz w:val="16"/>
              </w:rPr>
              <w:t>H3</w:t>
            </w:r>
          </w:p>
        </w:tc>
        <w:tc>
          <w:tcPr>
            <w:tcW w:type="dxa" w:w="4464"/>
            <w:tcMar>
              <w:top w:w="65" w:type="dxa"/>
              <w:start w:w="75" w:type="dxa"/>
              <w:bottom w:w="65" w:type="dxa"/>
              <w:end w:w="75" w:type="dxa"/>
            </w:tcMar>
            <w:vAlign w:val="top"/>
          </w:tcPr>
          <w:p>
            <w:pPr>
              <w:spacing w:after="0"/>
            </w:pPr>
            <w:r>
              <w:rPr>
                <w:sz w:val="16"/>
              </w:rPr>
              <w:t>Humans represent replacement/engineered labor population</w:t>
            </w:r>
          </w:p>
        </w:tc>
        <w:tc>
          <w:tcPr>
            <w:tcW w:type="dxa" w:w="5112"/>
            <w:tcMar>
              <w:top w:w="65" w:type="dxa"/>
              <w:start w:w="75" w:type="dxa"/>
              <w:bottom w:w="65" w:type="dxa"/>
              <w:end w:w="75" w:type="dxa"/>
            </w:tcMar>
            <w:vAlign w:val="top"/>
          </w:tcPr>
          <w:p>
            <w:pPr>
              <w:spacing w:after="0"/>
            </w:pPr>
            <w:r>
              <w:rPr>
                <w:sz w:val="16"/>
              </w:rPr>
              <w:t>Mythically present; biological engineering unproved.</w:t>
            </w:r>
          </w:p>
        </w:tc>
      </w:tr>
      <w:tr>
        <w:tc>
          <w:tcPr>
            <w:tcW w:type="dxa" w:w="792"/>
            <w:tcMar>
              <w:top w:w="65" w:type="dxa"/>
              <w:start w:w="75" w:type="dxa"/>
              <w:bottom w:w="65" w:type="dxa"/>
              <w:end w:w="75" w:type="dxa"/>
            </w:tcMar>
            <w:vAlign w:val="top"/>
          </w:tcPr>
          <w:p>
            <w:pPr>
              <w:spacing w:after="0"/>
            </w:pPr>
            <w:r>
              <w:rPr>
                <w:sz w:val="16"/>
              </w:rPr>
              <w:t>H4</w:t>
            </w:r>
          </w:p>
        </w:tc>
        <w:tc>
          <w:tcPr>
            <w:tcW w:type="dxa" w:w="4464"/>
            <w:tcMar>
              <w:top w:w="65" w:type="dxa"/>
              <w:start w:w="75" w:type="dxa"/>
              <w:bottom w:w="65" w:type="dxa"/>
              <w:end w:w="75" w:type="dxa"/>
            </w:tcMar>
            <w:vAlign w:val="top"/>
          </w:tcPr>
          <w:p>
            <w:pPr>
              <w:spacing w:after="0"/>
            </w:pPr>
            <w:r>
              <w:rPr>
                <w:sz w:val="16"/>
              </w:rPr>
              <w:t>Chromosome 2 marks intervention</w:t>
            </w:r>
          </w:p>
        </w:tc>
        <w:tc>
          <w:tcPr>
            <w:tcW w:type="dxa" w:w="5112"/>
            <w:tcMar>
              <w:top w:w="65" w:type="dxa"/>
              <w:start w:w="75" w:type="dxa"/>
              <w:bottom w:w="65" w:type="dxa"/>
              <w:end w:w="75" w:type="dxa"/>
            </w:tcMar>
            <w:vAlign w:val="top"/>
          </w:tcPr>
          <w:p>
            <w:pPr>
              <w:spacing w:after="0"/>
            </w:pPr>
            <w:r>
              <w:rPr>
                <w:sz w:val="16"/>
              </w:rPr>
              <w:t>Fusion confirmed; intervention unproved.</w:t>
            </w:r>
          </w:p>
        </w:tc>
      </w:tr>
      <w:tr>
        <w:tc>
          <w:tcPr>
            <w:tcW w:type="dxa" w:w="792"/>
            <w:tcMar>
              <w:top w:w="65" w:type="dxa"/>
              <w:start w:w="75" w:type="dxa"/>
              <w:bottom w:w="65" w:type="dxa"/>
              <w:end w:w="75" w:type="dxa"/>
            </w:tcMar>
            <w:vAlign w:val="top"/>
          </w:tcPr>
          <w:p>
            <w:pPr>
              <w:spacing w:after="0"/>
            </w:pPr>
            <w:r>
              <w:rPr>
                <w:sz w:val="16"/>
              </w:rPr>
              <w:t>H5</w:t>
            </w:r>
          </w:p>
        </w:tc>
        <w:tc>
          <w:tcPr>
            <w:tcW w:type="dxa" w:w="4464"/>
            <w:tcMar>
              <w:top w:w="65" w:type="dxa"/>
              <w:start w:w="75" w:type="dxa"/>
              <w:bottom w:w="65" w:type="dxa"/>
              <w:end w:w="75" w:type="dxa"/>
            </w:tcMar>
            <w:vAlign w:val="top"/>
          </w:tcPr>
          <w:p>
            <w:pPr>
              <w:spacing w:after="0"/>
            </w:pPr>
            <w:r>
              <w:rPr>
                <w:sz w:val="16"/>
              </w:rPr>
              <w:t>Fusion around 985 kya</w:t>
            </w:r>
          </w:p>
        </w:tc>
        <w:tc>
          <w:tcPr>
            <w:tcW w:type="dxa" w:w="5112"/>
            <w:tcMar>
              <w:top w:w="65" w:type="dxa"/>
              <w:start w:w="75" w:type="dxa"/>
              <w:bottom w:w="65" w:type="dxa"/>
              <w:end w:w="75" w:type="dxa"/>
            </w:tcMar>
            <w:vAlign w:val="top"/>
          </w:tcPr>
          <w:p>
            <w:pPr>
              <w:spacing w:after="0"/>
            </w:pPr>
            <w:r>
              <w:rPr>
                <w:sz w:val="16"/>
              </w:rPr>
              <w:t>One published estimate close to proposed date; strongly contested by other estimates.</w:t>
            </w:r>
          </w:p>
        </w:tc>
      </w:tr>
      <w:tr>
        <w:tc>
          <w:tcPr>
            <w:tcW w:type="dxa" w:w="792"/>
            <w:tcMar>
              <w:top w:w="65" w:type="dxa"/>
              <w:start w:w="75" w:type="dxa"/>
              <w:bottom w:w="65" w:type="dxa"/>
              <w:end w:w="75" w:type="dxa"/>
            </w:tcMar>
            <w:vAlign w:val="top"/>
          </w:tcPr>
          <w:p>
            <w:pPr>
              <w:spacing w:after="0"/>
            </w:pPr>
            <w:r>
              <w:rPr>
                <w:sz w:val="16"/>
              </w:rPr>
              <w:t>H6</w:t>
            </w:r>
          </w:p>
        </w:tc>
        <w:tc>
          <w:tcPr>
            <w:tcW w:type="dxa" w:w="4464"/>
            <w:tcMar>
              <w:top w:w="65" w:type="dxa"/>
              <w:start w:w="75" w:type="dxa"/>
              <w:bottom w:w="65" w:type="dxa"/>
              <w:end w:w="75" w:type="dxa"/>
            </w:tcMar>
            <w:vAlign w:val="top"/>
          </w:tcPr>
          <w:p>
            <w:pPr>
              <w:spacing w:after="0"/>
            </w:pPr>
            <w:r>
              <w:rPr>
                <w:sz w:val="16"/>
              </w:rPr>
              <w:t>Resonance caused fusion</w:t>
            </w:r>
          </w:p>
        </w:tc>
        <w:tc>
          <w:tcPr>
            <w:tcW w:type="dxa" w:w="5112"/>
            <w:tcMar>
              <w:top w:w="65" w:type="dxa"/>
              <w:start w:w="75" w:type="dxa"/>
              <w:bottom w:w="65" w:type="dxa"/>
              <w:end w:w="75" w:type="dxa"/>
            </w:tcMar>
            <w:vAlign w:val="top"/>
          </w:tcPr>
          <w:p>
            <w:pPr>
              <w:spacing w:after="0"/>
            </w:pPr>
            <w:r>
              <w:rPr>
                <w:sz w:val="16"/>
              </w:rPr>
              <w:t>NO EVIDENCE; mechanism required.</w:t>
            </w:r>
          </w:p>
        </w:tc>
      </w:tr>
      <w:tr>
        <w:tc>
          <w:tcPr>
            <w:tcW w:type="dxa" w:w="792"/>
            <w:tcMar>
              <w:top w:w="65" w:type="dxa"/>
              <w:start w:w="75" w:type="dxa"/>
              <w:bottom w:w="65" w:type="dxa"/>
              <w:end w:w="75" w:type="dxa"/>
            </w:tcMar>
            <w:vAlign w:val="top"/>
          </w:tcPr>
          <w:p>
            <w:pPr>
              <w:spacing w:after="0"/>
            </w:pPr>
            <w:r>
              <w:rPr>
                <w:sz w:val="16"/>
              </w:rPr>
              <w:t>H7</w:t>
            </w:r>
          </w:p>
        </w:tc>
        <w:tc>
          <w:tcPr>
            <w:tcW w:type="dxa" w:w="4464"/>
            <w:tcMar>
              <w:top w:w="65" w:type="dxa"/>
              <w:start w:w="75" w:type="dxa"/>
              <w:bottom w:w="65" w:type="dxa"/>
              <w:end w:w="75" w:type="dxa"/>
            </w:tcMar>
            <w:vAlign w:val="top"/>
          </w:tcPr>
          <w:p>
            <w:pPr>
              <w:spacing w:after="0"/>
            </w:pPr>
            <w:r>
              <w:rPr>
                <w:sz w:val="16"/>
              </w:rPr>
              <w:t>Prophecy is spiral recurrence rather than prediction</w:t>
            </w:r>
          </w:p>
        </w:tc>
        <w:tc>
          <w:tcPr>
            <w:tcW w:type="dxa" w:w="5112"/>
            <w:tcMar>
              <w:top w:w="65" w:type="dxa"/>
              <w:start w:w="75" w:type="dxa"/>
              <w:bottom w:w="65" w:type="dxa"/>
              <w:end w:w="75" w:type="dxa"/>
            </w:tcMar>
            <w:vAlign w:val="top"/>
          </w:tcPr>
          <w:p>
            <w:pPr>
              <w:spacing w:after="0"/>
            </w:pPr>
            <w:r>
              <w:rPr>
                <w:sz w:val="16"/>
              </w:rPr>
              <w:t>Coherent model; potentially formalizable.</w:t>
            </w:r>
          </w:p>
        </w:tc>
      </w:tr>
      <w:tr>
        <w:tc>
          <w:tcPr>
            <w:tcW w:type="dxa" w:w="792"/>
            <w:tcMar>
              <w:top w:w="65" w:type="dxa"/>
              <w:start w:w="75" w:type="dxa"/>
              <w:bottom w:w="65" w:type="dxa"/>
              <w:end w:w="75" w:type="dxa"/>
            </w:tcMar>
            <w:vAlign w:val="top"/>
          </w:tcPr>
          <w:p>
            <w:pPr>
              <w:spacing w:after="0"/>
            </w:pPr>
            <w:r>
              <w:rPr>
                <w:sz w:val="16"/>
              </w:rPr>
              <w:t>H8</w:t>
            </w:r>
          </w:p>
        </w:tc>
        <w:tc>
          <w:tcPr>
            <w:tcW w:type="dxa" w:w="4464"/>
            <w:tcMar>
              <w:top w:w="65" w:type="dxa"/>
              <w:start w:w="75" w:type="dxa"/>
              <w:bottom w:w="65" w:type="dxa"/>
              <w:end w:w="75" w:type="dxa"/>
            </w:tcMar>
            <w:vAlign w:val="top"/>
          </w:tcPr>
          <w:p>
            <w:pPr>
              <w:spacing w:after="0"/>
            </w:pPr>
            <w:r>
              <w:rPr>
                <w:sz w:val="16"/>
              </w:rPr>
              <w:t>Myth stores inherited biological memory</w:t>
            </w:r>
          </w:p>
        </w:tc>
        <w:tc>
          <w:tcPr>
            <w:tcW w:type="dxa" w:w="5112"/>
            <w:tcMar>
              <w:top w:w="65" w:type="dxa"/>
              <w:start w:w="75" w:type="dxa"/>
              <w:bottom w:w="65" w:type="dxa"/>
              <w:end w:w="75" w:type="dxa"/>
            </w:tcMar>
            <w:vAlign w:val="top"/>
          </w:tcPr>
          <w:p>
            <w:pPr>
              <w:spacing w:after="0"/>
            </w:pPr>
            <w:r>
              <w:rPr>
                <w:sz w:val="16"/>
              </w:rPr>
              <w:t>Literal genomic memory unsupported; inherited constraints + cultural memory + recurrent social geometry remain viable alternatives.</w:t>
            </w:r>
          </w:p>
        </w:tc>
      </w:tr>
    </w:tbl>
    <w:p>
      <w:pPr>
        <w:spacing w:after="0"/>
      </w:pPr>
    </w:p>
    <w:p>
      <w:pPr>
        <w:pStyle w:val="ArchitectureBlock"/>
        <w:pBdr>
          <w:left w:val="single" w:sz="8" w:space="6" w:color="8A8A8A"/>
        </w:pBdr>
      </w:pPr>
      <w:r>
        <w:t>Key boundary: temporal coincidence with one chromosome-2 estimate is a MARK, not a FINDING of engineering. The proper test is a convergence table built independently from the mythic target.</w:t>
      </w:r>
    </w:p>
    <w:p>
      <w:pPr>
        <w:pStyle w:val="Heading2"/>
      </w:pPr>
      <w:r>
        <w:t>5.2 Recurrent inherited constraint</w:t>
      </w:r>
    </w:p>
    <w:p>
      <w:pPr>
        <w:pStyle w:val="ArchitectureBlock"/>
        <w:pBdr>
          <w:left w:val="single" w:sz="8" w:space="6" w:color="8A8A8A"/>
        </w:pBdr>
      </w:pPr>
      <w:r>
        <w:t>Replace 'gene activation sequence' with RECURRENT INHERITED CONSTRAINT unless a molecular mechanism is supplied. Possible inherited contributors include developmental programs, threat responses, mating strategies, kin recognition, social dispositions, regulatory architecture, and behavioral biases; cultural traditions can then preserve and reactivate familiar relational patterns.</w:t>
      </w:r>
    </w:p>
    <w:p>
      <w:pPr>
        <w:pStyle w:val="Heading2"/>
      </w:pPr>
      <w:r>
        <w:t>5.3 Archaic admixture / disappearance into descendants</w:t>
      </w:r>
    </w:p>
    <w:p>
      <w:pPr>
        <w:pStyle w:val="ArchitectureBlock"/>
        <w:pBdr>
          <w:left w:val="single" w:sz="8" w:space="6" w:color="8A8A8A"/>
        </w:pBdr>
      </w:pPr>
      <w:r>
        <w:t>The evidence-backed evolutionary comparison is absorption by admixture, not engineered species conversion. Archaic lineages can disappear as named populations while ancestry persists in descendants. This provides a real-world mechanism that can be compared with mythic motifs of mixture, exceptional lineage, inherited power, boundary violation, and population reset.</w:t>
      </w:r>
    </w:p>
    <w:p>
      <w:pPr>
        <w:pStyle w:val="StatusLine"/>
      </w:pPr>
      <w:r>
        <w:rPr>
          <w:b/>
        </w:rPr>
        <w:t xml:space="preserve">BF13-HOM-001: </w:t>
      </w:r>
      <w:r>
        <w:t>The lineage that disappeared into its descendants.</w:t>
      </w:r>
    </w:p>
    <w:p>
      <w:pPr>
        <w:pStyle w:val="StatusLine"/>
      </w:pPr>
      <w:r>
        <w:rPr>
          <w:b/>
        </w:rPr>
        <w:t xml:space="preserve">BF13-NEPH-001: </w:t>
      </w:r>
      <w:r>
        <w:t>Admixture recoded as transgression — comparative model only; not 'Denisovans = Nephilim.'</w:t>
      </w:r>
    </w:p>
    <w:p>
      <w:pPr>
        <w:pStyle w:val="Heading1"/>
      </w:pPr>
      <w:r>
        <w:t>6. Babylonian Timekeeper Transmission</w:t>
      </w:r>
    </w:p>
    <w:p>
      <w:pPr>
        <w:pStyle w:val="Heading2"/>
      </w:pPr>
      <w:r>
        <w:t>6.1 Transmission skeleton</w:t>
      </w:r>
    </w:p>
    <w:p>
      <w:pPr>
        <w:pStyle w:val="EquationBlock"/>
        <w:shd w:fill="F2F2F2"/>
      </w:pPr>
      <w:r>
        <w:rPr>
          <w:rFonts w:ascii="Cascadia Mono" w:hAnsi="Cascadia Mono"/>
          <w:sz w:val="17"/>
        </w:rPr>
        <w:t>Babylonian stargazer/scribal elite -&gt; Judean elite contact in exile -&gt; Babylonian temporal architecture in Judean culture -&gt; Babylonian astronomical material in later Jewish literature</w:t>
      </w:r>
    </w:p>
    <w:p>
      <w:pPr>
        <w:pStyle w:val="Heading2"/>
      </w:pPr>
      <w:r>
        <w:t>6.2 Timekeeper ledger</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792"/>
            <w:shd w:fill="E7E7E7"/>
            <w:tcMar>
              <w:top w:w="65" w:type="dxa"/>
              <w:start w:w="75" w:type="dxa"/>
              <w:bottom w:w="65" w:type="dxa"/>
              <w:end w:w="75" w:type="dxa"/>
            </w:tcMar>
            <w:vAlign w:val="center"/>
          </w:tcPr>
          <w:p>
            <w:r>
              <w:rPr>
                <w:b/>
                <w:sz w:val="15"/>
              </w:rPr>
              <w:t>ID</w:t>
            </w:r>
          </w:p>
        </w:tc>
        <w:tc>
          <w:tcPr>
            <w:tcW w:type="dxa" w:w="7056"/>
            <w:shd w:fill="E7E7E7"/>
            <w:tcMar>
              <w:top w:w="65" w:type="dxa"/>
              <w:start w:w="75" w:type="dxa"/>
              <w:bottom w:w="65" w:type="dxa"/>
              <w:end w:w="75" w:type="dxa"/>
            </w:tcMar>
            <w:vAlign w:val="center"/>
          </w:tcPr>
          <w:p>
            <w:r>
              <w:rPr>
                <w:b/>
                <w:sz w:val="15"/>
              </w:rPr>
              <w:t>Raw finding</w:t>
            </w:r>
          </w:p>
        </w:tc>
        <w:tc>
          <w:tcPr>
            <w:tcW w:type="dxa" w:w="2520"/>
            <w:shd w:fill="E7E7E7"/>
            <w:tcMar>
              <w:top w:w="65" w:type="dxa"/>
              <w:start w:w="75" w:type="dxa"/>
              <w:bottom w:w="65" w:type="dxa"/>
              <w:end w:w="75" w:type="dxa"/>
            </w:tcMar>
            <w:vAlign w:val="center"/>
          </w:tcPr>
          <w:p>
            <w:r>
              <w:rPr>
                <w:b/>
                <w:sz w:val="15"/>
              </w:rPr>
              <w:t>Status</w:t>
            </w:r>
          </w:p>
        </w:tc>
      </w:tr>
      <w:tr>
        <w:tc>
          <w:tcPr>
            <w:tcW w:type="dxa" w:w="792"/>
            <w:tcMar>
              <w:top w:w="65" w:type="dxa"/>
              <w:start w:w="75" w:type="dxa"/>
              <w:bottom w:w="65" w:type="dxa"/>
              <w:end w:w="75" w:type="dxa"/>
            </w:tcMar>
            <w:vAlign w:val="top"/>
          </w:tcPr>
          <w:p>
            <w:pPr>
              <w:spacing w:after="0"/>
            </w:pPr>
            <w:r>
              <w:rPr>
                <w:sz w:val="15"/>
              </w:rPr>
              <w:t>BT-01</w:t>
            </w:r>
          </w:p>
        </w:tc>
        <w:tc>
          <w:tcPr>
            <w:tcW w:type="dxa" w:w="7056"/>
            <w:tcMar>
              <w:top w:w="65" w:type="dxa"/>
              <w:start w:w="75" w:type="dxa"/>
              <w:bottom w:w="65" w:type="dxa"/>
              <w:end w:w="75" w:type="dxa"/>
            </w:tcMar>
            <w:vAlign w:val="top"/>
          </w:tcPr>
          <w:p>
            <w:pPr>
              <w:spacing w:after="0"/>
            </w:pPr>
            <w:r>
              <w:rPr>
                <w:sz w:val="15"/>
              </w:rPr>
              <w:t>Specialized Mesopotamian scholarly class engaged celestial observation, omen interpretation, prediction, and calculation near political/religious authority.</w:t>
            </w:r>
          </w:p>
        </w:tc>
        <w:tc>
          <w:tcPr>
            <w:tcW w:type="dxa" w:w="2520"/>
            <w:tcMar>
              <w:top w:w="65" w:type="dxa"/>
              <w:start w:w="75" w:type="dxa"/>
              <w:bottom w:w="65" w:type="dxa"/>
              <w:end w:w="75" w:type="dxa"/>
            </w:tcMar>
            <w:vAlign w:val="top"/>
          </w:tcPr>
          <w:p>
            <w:pPr>
              <w:spacing w:after="0"/>
            </w:pPr>
            <w:r>
              <w:rPr>
                <w:sz w:val="15"/>
              </w:rPr>
              <w:t>STRONG</w:t>
            </w:r>
          </w:p>
        </w:tc>
      </w:tr>
      <w:tr>
        <w:tc>
          <w:tcPr>
            <w:tcW w:type="dxa" w:w="792"/>
            <w:tcMar>
              <w:top w:w="65" w:type="dxa"/>
              <w:start w:w="75" w:type="dxa"/>
              <w:bottom w:w="65" w:type="dxa"/>
              <w:end w:w="75" w:type="dxa"/>
            </w:tcMar>
            <w:vAlign w:val="top"/>
          </w:tcPr>
          <w:p>
            <w:pPr>
              <w:spacing w:after="0"/>
            </w:pPr>
            <w:r>
              <w:rPr>
                <w:sz w:val="15"/>
              </w:rPr>
              <w:t>BT-02</w:t>
            </w:r>
          </w:p>
        </w:tc>
        <w:tc>
          <w:tcPr>
            <w:tcW w:type="dxa" w:w="7056"/>
            <w:tcMar>
              <w:top w:w="65" w:type="dxa"/>
              <w:start w:w="75" w:type="dxa"/>
              <w:bottom w:w="65" w:type="dxa"/>
              <w:end w:w="75" w:type="dxa"/>
            </w:tcMar>
            <w:vAlign w:val="top"/>
          </w:tcPr>
          <w:p>
            <w:pPr>
              <w:spacing w:after="0"/>
            </w:pPr>
            <w:r>
              <w:rPr>
                <w:sz w:val="15"/>
              </w:rPr>
              <w:t>Parts of scholarship explicitly restricted/guarded to qualified initiates.</w:t>
            </w:r>
          </w:p>
        </w:tc>
        <w:tc>
          <w:tcPr>
            <w:tcW w:type="dxa" w:w="2520"/>
            <w:tcMar>
              <w:top w:w="65" w:type="dxa"/>
              <w:start w:w="75" w:type="dxa"/>
              <w:bottom w:w="65" w:type="dxa"/>
              <w:end w:w="75" w:type="dxa"/>
            </w:tcMar>
            <w:vAlign w:val="top"/>
          </w:tcPr>
          <w:p>
            <w:pPr>
              <w:spacing w:after="0"/>
            </w:pPr>
            <w:r>
              <w:rPr>
                <w:sz w:val="15"/>
              </w:rPr>
              <w:t>STRONG</w:t>
            </w:r>
          </w:p>
        </w:tc>
      </w:tr>
      <w:tr>
        <w:tc>
          <w:tcPr>
            <w:tcW w:type="dxa" w:w="792"/>
            <w:tcMar>
              <w:top w:w="65" w:type="dxa"/>
              <w:start w:w="75" w:type="dxa"/>
              <w:bottom w:w="65" w:type="dxa"/>
              <w:end w:w="75" w:type="dxa"/>
            </w:tcMar>
            <w:vAlign w:val="top"/>
          </w:tcPr>
          <w:p>
            <w:pPr>
              <w:spacing w:after="0"/>
            </w:pPr>
            <w:r>
              <w:rPr>
                <w:sz w:val="15"/>
              </w:rPr>
              <w:t>BT-03</w:t>
            </w:r>
          </w:p>
        </w:tc>
        <w:tc>
          <w:tcPr>
            <w:tcW w:type="dxa" w:w="7056"/>
            <w:tcMar>
              <w:top w:w="65" w:type="dxa"/>
              <w:start w:w="75" w:type="dxa"/>
              <w:bottom w:w="65" w:type="dxa"/>
              <w:end w:w="75" w:type="dxa"/>
            </w:tcMar>
            <w:vAlign w:val="top"/>
          </w:tcPr>
          <w:p>
            <w:pPr>
              <w:spacing w:after="0"/>
            </w:pPr>
            <w:r>
              <w:rPr>
                <w:sz w:val="15"/>
              </w:rPr>
              <w:t>Elite scholar-scribes portrayed themselves as custodians of knowledge from antediluvian sages; some ephemerides called 'highest wisdom.'</w:t>
            </w:r>
          </w:p>
        </w:tc>
        <w:tc>
          <w:tcPr>
            <w:tcW w:type="dxa" w:w="2520"/>
            <w:tcMar>
              <w:top w:w="65" w:type="dxa"/>
              <w:start w:w="75" w:type="dxa"/>
              <w:bottom w:w="65" w:type="dxa"/>
              <w:end w:w="75" w:type="dxa"/>
            </w:tcMar>
            <w:vAlign w:val="top"/>
          </w:tcPr>
          <w:p>
            <w:pPr>
              <w:spacing w:after="0"/>
            </w:pPr>
            <w:r>
              <w:rPr>
                <w:sz w:val="15"/>
              </w:rPr>
              <w:t>STRONG as institutional self-conception</w:t>
            </w:r>
          </w:p>
        </w:tc>
      </w:tr>
      <w:tr>
        <w:tc>
          <w:tcPr>
            <w:tcW w:type="dxa" w:w="792"/>
            <w:tcMar>
              <w:top w:w="65" w:type="dxa"/>
              <w:start w:w="75" w:type="dxa"/>
              <w:bottom w:w="65" w:type="dxa"/>
              <w:end w:w="75" w:type="dxa"/>
            </w:tcMar>
            <w:vAlign w:val="top"/>
          </w:tcPr>
          <w:p>
            <w:pPr>
              <w:spacing w:after="0"/>
            </w:pPr>
            <w:r>
              <w:rPr>
                <w:sz w:val="15"/>
              </w:rPr>
              <w:t>BT-04</w:t>
            </w:r>
          </w:p>
        </w:tc>
        <w:tc>
          <w:tcPr>
            <w:tcW w:type="dxa" w:w="7056"/>
            <w:tcMar>
              <w:top w:w="65" w:type="dxa"/>
              <w:start w:w="75" w:type="dxa"/>
              <w:bottom w:w="65" w:type="dxa"/>
              <w:end w:w="75" w:type="dxa"/>
            </w:tcMar>
            <w:vAlign w:val="top"/>
          </w:tcPr>
          <w:p>
            <w:pPr>
              <w:spacing w:after="0"/>
            </w:pPr>
            <w:r>
              <w:rPr>
                <w:sz w:val="15"/>
              </w:rPr>
              <w:t>Astronomical practice tracked visibility, dates, positions, and periodic recurrence.</w:t>
            </w:r>
          </w:p>
        </w:tc>
        <w:tc>
          <w:tcPr>
            <w:tcW w:type="dxa" w:w="2520"/>
            <w:tcMar>
              <w:top w:w="65" w:type="dxa"/>
              <w:start w:w="75" w:type="dxa"/>
              <w:bottom w:w="65" w:type="dxa"/>
              <w:end w:w="75" w:type="dxa"/>
            </w:tcMar>
            <w:vAlign w:val="top"/>
          </w:tcPr>
          <w:p>
            <w:pPr>
              <w:spacing w:after="0"/>
            </w:pPr>
            <w:r>
              <w:rPr>
                <w:sz w:val="15"/>
              </w:rPr>
              <w:t>STRONG Timekeeper match</w:t>
            </w:r>
          </w:p>
        </w:tc>
      </w:tr>
      <w:tr>
        <w:tc>
          <w:tcPr>
            <w:tcW w:type="dxa" w:w="792"/>
            <w:tcMar>
              <w:top w:w="65" w:type="dxa"/>
              <w:start w:w="75" w:type="dxa"/>
              <w:bottom w:w="65" w:type="dxa"/>
              <w:end w:w="75" w:type="dxa"/>
            </w:tcMar>
            <w:vAlign w:val="top"/>
          </w:tcPr>
          <w:p>
            <w:pPr>
              <w:spacing w:after="0"/>
            </w:pPr>
            <w:r>
              <w:rPr>
                <w:sz w:val="15"/>
              </w:rPr>
              <w:t>BT-05</w:t>
            </w:r>
          </w:p>
        </w:tc>
        <w:tc>
          <w:tcPr>
            <w:tcW w:type="dxa" w:w="7056"/>
            <w:tcMar>
              <w:top w:w="65" w:type="dxa"/>
              <w:start w:w="75" w:type="dxa"/>
              <w:bottom w:w="65" w:type="dxa"/>
              <w:end w:w="75" w:type="dxa"/>
            </w:tcMar>
            <w:vAlign w:val="top"/>
          </w:tcPr>
          <w:p>
            <w:pPr>
              <w:spacing w:after="0"/>
            </w:pPr>
            <w:r>
              <w:rPr>
                <w:sz w:val="15"/>
              </w:rPr>
              <w:t>Deportations included Judean royalty/elites/professionals; Judean scribal infrastructure persisted in Babylonian setting.</w:t>
            </w:r>
          </w:p>
        </w:tc>
        <w:tc>
          <w:tcPr>
            <w:tcW w:type="dxa" w:w="2520"/>
            <w:tcMar>
              <w:top w:w="65" w:type="dxa"/>
              <w:start w:w="75" w:type="dxa"/>
              <w:bottom w:w="65" w:type="dxa"/>
              <w:end w:w="75" w:type="dxa"/>
            </w:tcMar>
            <w:vAlign w:val="top"/>
          </w:tcPr>
          <w:p>
            <w:pPr>
              <w:spacing w:after="0"/>
            </w:pPr>
            <w:r>
              <w:rPr>
                <w:sz w:val="15"/>
              </w:rPr>
              <w:t>STRONG</w:t>
            </w:r>
          </w:p>
        </w:tc>
      </w:tr>
      <w:tr>
        <w:tc>
          <w:tcPr>
            <w:tcW w:type="dxa" w:w="792"/>
            <w:tcMar>
              <w:top w:w="65" w:type="dxa"/>
              <w:start w:w="75" w:type="dxa"/>
              <w:bottom w:w="65" w:type="dxa"/>
              <w:end w:w="75" w:type="dxa"/>
            </w:tcMar>
            <w:vAlign w:val="top"/>
          </w:tcPr>
          <w:p>
            <w:pPr>
              <w:spacing w:after="0"/>
            </w:pPr>
            <w:r>
              <w:rPr>
                <w:sz w:val="15"/>
              </w:rPr>
              <w:t>BT-06</w:t>
            </w:r>
          </w:p>
        </w:tc>
        <w:tc>
          <w:tcPr>
            <w:tcW w:type="dxa" w:w="7056"/>
            <w:tcMar>
              <w:top w:w="65" w:type="dxa"/>
              <w:start w:w="75" w:type="dxa"/>
              <w:bottom w:w="65" w:type="dxa"/>
              <w:end w:w="75" w:type="dxa"/>
            </w:tcMar>
            <w:vAlign w:val="top"/>
          </w:tcPr>
          <w:p>
            <w:pPr>
              <w:spacing w:after="0"/>
            </w:pPr>
            <w:r>
              <w:rPr>
                <w:sz w:val="15"/>
              </w:rPr>
              <w:t>Judeans integrated economically/socially; elite merchants interacted with temples/priestly families; intermarriage occurred.</w:t>
            </w:r>
          </w:p>
        </w:tc>
        <w:tc>
          <w:tcPr>
            <w:tcW w:type="dxa" w:w="2520"/>
            <w:tcMar>
              <w:top w:w="65" w:type="dxa"/>
              <w:start w:w="75" w:type="dxa"/>
              <w:bottom w:w="65" w:type="dxa"/>
              <w:end w:w="75" w:type="dxa"/>
            </w:tcMar>
            <w:vAlign w:val="top"/>
          </w:tcPr>
          <w:p>
            <w:pPr>
              <w:spacing w:after="0"/>
            </w:pPr>
            <w:r>
              <w:rPr>
                <w:sz w:val="15"/>
              </w:rPr>
              <w:t>STRONG but bounded</w:t>
            </w:r>
          </w:p>
        </w:tc>
      </w:tr>
      <w:tr>
        <w:tc>
          <w:tcPr>
            <w:tcW w:type="dxa" w:w="792"/>
            <w:tcMar>
              <w:top w:w="65" w:type="dxa"/>
              <w:start w:w="75" w:type="dxa"/>
              <w:bottom w:w="65" w:type="dxa"/>
              <w:end w:w="75" w:type="dxa"/>
            </w:tcMar>
            <w:vAlign w:val="top"/>
          </w:tcPr>
          <w:p>
            <w:pPr>
              <w:spacing w:after="0"/>
            </w:pPr>
            <w:r>
              <w:rPr>
                <w:sz w:val="15"/>
              </w:rPr>
              <w:t>BT-07</w:t>
            </w:r>
          </w:p>
        </w:tc>
        <w:tc>
          <w:tcPr>
            <w:tcW w:type="dxa" w:w="7056"/>
            <w:tcMar>
              <w:top w:w="65" w:type="dxa"/>
              <w:start w:w="75" w:type="dxa"/>
              <w:bottom w:w="65" w:type="dxa"/>
              <w:end w:w="75" w:type="dxa"/>
            </w:tcMar>
            <w:vAlign w:val="top"/>
          </w:tcPr>
          <w:p>
            <w:pPr>
              <w:spacing w:after="0"/>
            </w:pPr>
            <w:r>
              <w:rPr>
                <w:sz w:val="15"/>
              </w:rPr>
              <w:t>Babylonian conquest/contact altered civil time-reckoning; Babylonian month names entered later Jewish usage.</w:t>
            </w:r>
          </w:p>
        </w:tc>
        <w:tc>
          <w:tcPr>
            <w:tcW w:type="dxa" w:w="2520"/>
            <w:tcMar>
              <w:top w:w="65" w:type="dxa"/>
              <w:start w:w="75" w:type="dxa"/>
              <w:bottom w:w="65" w:type="dxa"/>
              <w:end w:w="75" w:type="dxa"/>
            </w:tcMar>
            <w:vAlign w:val="top"/>
          </w:tcPr>
          <w:p>
            <w:pPr>
              <w:spacing w:after="0"/>
            </w:pPr>
            <w:r>
              <w:rPr>
                <w:sz w:val="15"/>
              </w:rPr>
              <w:t>VERY STRONG transfer</w:t>
            </w:r>
          </w:p>
        </w:tc>
      </w:tr>
      <w:tr>
        <w:tc>
          <w:tcPr>
            <w:tcW w:type="dxa" w:w="792"/>
            <w:tcMar>
              <w:top w:w="65" w:type="dxa"/>
              <w:start w:w="75" w:type="dxa"/>
              <w:bottom w:w="65" w:type="dxa"/>
              <w:end w:w="75" w:type="dxa"/>
            </w:tcMar>
            <w:vAlign w:val="top"/>
          </w:tcPr>
          <w:p>
            <w:pPr>
              <w:spacing w:after="0"/>
            </w:pPr>
            <w:r>
              <w:rPr>
                <w:sz w:val="15"/>
              </w:rPr>
              <w:t>BT-08</w:t>
            </w:r>
          </w:p>
        </w:tc>
        <w:tc>
          <w:tcPr>
            <w:tcW w:type="dxa" w:w="7056"/>
            <w:tcMar>
              <w:top w:w="65" w:type="dxa"/>
              <w:start w:w="75" w:type="dxa"/>
              <w:bottom w:w="65" w:type="dxa"/>
              <w:end w:w="75" w:type="dxa"/>
            </w:tcMar>
            <w:vAlign w:val="top"/>
          </w:tcPr>
          <w:p>
            <w:pPr>
              <w:spacing w:after="0"/>
            </w:pPr>
            <w:r>
              <w:rPr>
                <w:sz w:val="15"/>
              </w:rPr>
              <w:t>Later 1 Enoch 72 appropriates/reinterprets/modifies Babylonian schematic astronomy.</w:t>
            </w:r>
          </w:p>
        </w:tc>
        <w:tc>
          <w:tcPr>
            <w:tcW w:type="dxa" w:w="2520"/>
            <w:tcMar>
              <w:top w:w="65" w:type="dxa"/>
              <w:start w:w="75" w:type="dxa"/>
              <w:bottom w:w="65" w:type="dxa"/>
              <w:end w:w="75" w:type="dxa"/>
            </w:tcMar>
            <w:vAlign w:val="top"/>
          </w:tcPr>
          <w:p>
            <w:pPr>
              <w:spacing w:after="0"/>
            </w:pPr>
            <w:r>
              <w:rPr>
                <w:sz w:val="15"/>
              </w:rPr>
              <w:t>VERY STRONG intellectual transmission</w:t>
            </w:r>
          </w:p>
        </w:tc>
      </w:tr>
      <w:tr>
        <w:tc>
          <w:tcPr>
            <w:tcW w:type="dxa" w:w="792"/>
            <w:tcMar>
              <w:top w:w="65" w:type="dxa"/>
              <w:start w:w="75" w:type="dxa"/>
              <w:bottom w:w="65" w:type="dxa"/>
              <w:end w:w="75" w:type="dxa"/>
            </w:tcMar>
            <w:vAlign w:val="top"/>
          </w:tcPr>
          <w:p>
            <w:pPr>
              <w:spacing w:after="0"/>
            </w:pPr>
            <w:r>
              <w:rPr>
                <w:sz w:val="15"/>
              </w:rPr>
              <w:t>BT-09</w:t>
            </w:r>
          </w:p>
        </w:tc>
        <w:tc>
          <w:tcPr>
            <w:tcW w:type="dxa" w:w="7056"/>
            <w:tcMar>
              <w:top w:w="65" w:type="dxa"/>
              <w:start w:w="75" w:type="dxa"/>
              <w:bottom w:w="65" w:type="dxa"/>
              <w:end w:w="75" w:type="dxa"/>
            </w:tcMar>
            <w:vAlign w:val="top"/>
          </w:tcPr>
          <w:p>
            <w:pPr>
              <w:spacing w:after="0"/>
            </w:pPr>
            <w:r>
              <w:rPr>
                <w:sz w:val="15"/>
              </w:rPr>
              <w:t>Enochic literature distinguishes illicit astral knowledge from authorized celestial knowledge.</w:t>
            </w:r>
          </w:p>
        </w:tc>
        <w:tc>
          <w:tcPr>
            <w:tcW w:type="dxa" w:w="2520"/>
            <w:tcMar>
              <w:top w:w="65" w:type="dxa"/>
              <w:start w:w="75" w:type="dxa"/>
              <w:bottom w:w="65" w:type="dxa"/>
              <w:end w:w="75" w:type="dxa"/>
            </w:tcMar>
            <w:vAlign w:val="top"/>
          </w:tcPr>
          <w:p>
            <w:pPr>
              <w:spacing w:after="0"/>
            </w:pPr>
            <w:r>
              <w:rPr>
                <w:sz w:val="15"/>
              </w:rPr>
              <w:t>STRONG jurisdictional pattern</w:t>
            </w:r>
          </w:p>
        </w:tc>
      </w:tr>
      <w:tr>
        <w:tc>
          <w:tcPr>
            <w:tcW w:type="dxa" w:w="792"/>
            <w:tcMar>
              <w:top w:w="65" w:type="dxa"/>
              <w:start w:w="75" w:type="dxa"/>
              <w:bottom w:w="65" w:type="dxa"/>
              <w:end w:w="75" w:type="dxa"/>
            </w:tcMar>
            <w:vAlign w:val="top"/>
          </w:tcPr>
          <w:p>
            <w:pPr>
              <w:spacing w:after="0"/>
            </w:pPr>
            <w:r>
              <w:rPr>
                <w:sz w:val="15"/>
              </w:rPr>
              <w:t>BT-10</w:t>
            </w:r>
          </w:p>
        </w:tc>
        <w:tc>
          <w:tcPr>
            <w:tcW w:type="dxa" w:w="7056"/>
            <w:tcMar>
              <w:top w:w="65" w:type="dxa"/>
              <w:start w:w="75" w:type="dxa"/>
              <w:bottom w:w="65" w:type="dxa"/>
              <w:end w:w="75" w:type="dxa"/>
            </w:tcMar>
            <w:vAlign w:val="top"/>
          </w:tcPr>
          <w:p>
            <w:pPr>
              <w:spacing w:after="0"/>
            </w:pPr>
            <w:r>
              <w:rPr>
                <w:sz w:val="15"/>
              </w:rPr>
              <w:t>Specific celestial-priestly group deliberately entered Judean community and preserved itself covertly.</w:t>
            </w:r>
          </w:p>
        </w:tc>
        <w:tc>
          <w:tcPr>
            <w:tcW w:type="dxa" w:w="2520"/>
            <w:tcMar>
              <w:top w:w="65" w:type="dxa"/>
              <w:start w:w="75" w:type="dxa"/>
              <w:bottom w:w="65" w:type="dxa"/>
              <w:end w:w="75" w:type="dxa"/>
            </w:tcMar>
            <w:vAlign w:val="top"/>
          </w:tcPr>
          <w:p>
            <w:pPr>
              <w:spacing w:after="0"/>
            </w:pPr>
            <w:r>
              <w:rPr>
                <w:sz w:val="15"/>
              </w:rPr>
              <w:t>OPEN; no direct receipt</w:t>
            </w:r>
          </w:p>
        </w:tc>
      </w:tr>
      <w:tr>
        <w:tc>
          <w:tcPr>
            <w:tcW w:type="dxa" w:w="792"/>
            <w:tcMar>
              <w:top w:w="65" w:type="dxa"/>
              <w:start w:w="75" w:type="dxa"/>
              <w:bottom w:w="65" w:type="dxa"/>
              <w:end w:w="75" w:type="dxa"/>
            </w:tcMar>
            <w:vAlign w:val="top"/>
          </w:tcPr>
          <w:p>
            <w:pPr>
              <w:spacing w:after="0"/>
            </w:pPr>
            <w:r>
              <w:rPr>
                <w:sz w:val="15"/>
              </w:rPr>
              <w:t>BT-11</w:t>
            </w:r>
          </w:p>
        </w:tc>
        <w:tc>
          <w:tcPr>
            <w:tcW w:type="dxa" w:w="7056"/>
            <w:tcMar>
              <w:top w:w="65" w:type="dxa"/>
              <w:start w:w="75" w:type="dxa"/>
              <w:bottom w:w="65" w:type="dxa"/>
              <w:end w:w="75" w:type="dxa"/>
            </w:tcMar>
            <w:vAlign w:val="top"/>
          </w:tcPr>
          <w:p>
            <w:pPr>
              <w:spacing w:after="0"/>
            </w:pPr>
            <w:r>
              <w:rPr>
                <w:sz w:val="15"/>
              </w:rPr>
              <w:t>Continuous bounded organization into modern elite networks.</w:t>
            </w:r>
          </w:p>
        </w:tc>
        <w:tc>
          <w:tcPr>
            <w:tcW w:type="dxa" w:w="2520"/>
            <w:tcMar>
              <w:top w:w="65" w:type="dxa"/>
              <w:start w:w="75" w:type="dxa"/>
              <w:bottom w:w="65" w:type="dxa"/>
              <w:end w:w="75" w:type="dxa"/>
            </w:tcMar>
            <w:vAlign w:val="top"/>
          </w:tcPr>
          <w:p>
            <w:pPr>
              <w:spacing w:after="0"/>
            </w:pPr>
            <w:r>
              <w:rPr>
                <w:sz w:val="15"/>
              </w:rPr>
              <w:t>OPEN / SPECULATIVE</w:t>
            </w:r>
          </w:p>
        </w:tc>
      </w:tr>
    </w:tbl>
    <w:p>
      <w:pPr>
        <w:spacing w:after="0"/>
      </w:pPr>
    </w:p>
    <w:p>
      <w:pPr>
        <w:pStyle w:val="Heading2"/>
      </w:pPr>
      <w:r>
        <w:t>6.3 Historical institutional bundle</w:t>
      </w:r>
    </w:p>
    <w:p>
      <w:pPr>
        <w:pStyle w:val="EquationBlock"/>
        <w:shd w:fill="F2F2F2"/>
      </w:pPr>
      <w:r>
        <w:rPr>
          <w:rFonts w:ascii="Cascadia Mono" w:hAnsi="Cascadia Mono"/>
          <w:sz w:val="17"/>
        </w:rPr>
        <w:t>watch sky + calculate recurrence + interpret signs + restrict knowledge + claim ancient provenance</w:t>
      </w:r>
    </w:p>
    <w:p>
      <w:pPr>
        <w:pStyle w:val="ArchitectureBlock"/>
        <w:pBdr>
          <w:left w:val="single" w:sz="8" w:space="6" w:color="8A8A8A"/>
        </w:pBdr>
      </w:pPr>
      <w:r>
        <w:t>The historically recoverable object is a hereditary/elite scholarly environment combining astral expertise, restricted knowledge, professional status, divine legitimacy, and claims of ancient provenance. Not every astronomical object belonged to the restricted antediluvian category; that distinction stays visible.</w:t>
      </w:r>
    </w:p>
    <w:p>
      <w:pPr>
        <w:pStyle w:val="Heading2"/>
      </w:pPr>
      <w:r>
        <w:t>6.4 Administration of time</w:t>
      </w:r>
    </w:p>
    <w:p>
      <w:pPr>
        <w:pStyle w:val="EquationBlock"/>
        <w:shd w:fill="F2F2F2"/>
      </w:pPr>
      <w:r>
        <w:rPr>
          <w:rFonts w:ascii="Cascadia Mono" w:hAnsi="Cascadia Mono"/>
          <w:sz w:val="17"/>
        </w:rPr>
        <w:t>royal calendar decision -&gt; temple notification -&gt; priestly roster modification -&gt; ritual obligation -&gt; separate economic accounting</w:t>
      </w:r>
    </w:p>
    <w:p>
      <w:pPr>
        <w:pStyle w:val="ArchitectureBlock"/>
        <w:pBdr>
          <w:left w:val="single" w:sz="8" w:space="6" w:color="8A8A8A"/>
        </w:pBdr>
      </w:pPr>
      <w:r>
        <w:t>Neo-Babylonian priestly labor could be allocated by recurring calendrical rotations. Intercalary months could require modified rosters, contracts, and accounting. This is direct administrative Timekeeper architecture: calendar custody becomes labor and economic obligation.</w:t>
      </w:r>
    </w:p>
    <w:p>
      <w:pPr>
        <w:pStyle w:val="Heading2"/>
      </w:pPr>
      <w:r>
        <w:t>6.5 Social bridge ecology: Sippar / Ebabbar / Borsippa</w:t>
      </w:r>
    </w:p>
    <w:p>
      <w:pPr>
        <w:pStyle w:val="ArchitectureBlock"/>
        <w:pBdr>
          <w:left w:val="single" w:sz="8" w:space="6" w:color="8A8A8A"/>
        </w:pBdr>
      </w:pPr>
      <w:r>
        <w:t>The strongest personnel model is brokerage/interface transmission rather than 'Judeans became Babylonian priests.' The urban cuneiform priest-scribal caste remained socially restricted, while Judean royal merchants, Aramaic/alphabetic scribes, court officials, mixed households, temple commerce, and imperial administration created contact surfaces around it.</w:t>
      </w:r>
    </w:p>
    <w:p>
      <w:pPr>
        <w:pStyle w:val="EquationBlock"/>
        <w:shd w:fill="F2F2F2"/>
      </w:pPr>
      <w:r>
        <w:rPr>
          <w:rFonts w:ascii="Cascadia Mono" w:hAnsi="Cascadia Mono"/>
          <w:sz w:val="17"/>
        </w:rPr>
        <w:t>Judean elite merchant household -&gt; Babylonian intermediary family -&gt; temple-scribal/priestly network</w:t>
      </w:r>
    </w:p>
    <w:p>
      <w:pPr>
        <w:spacing w:after="32"/>
        <w:ind w:left="317" w:hanging="173"/>
      </w:pPr>
      <w:r>
        <w:rPr>
          <w:b/>
        </w:rPr>
        <w:t xml:space="preserve">• </w:t>
      </w:r>
      <w:r>
        <w:t>Arih royal-merchant household in Sippar: direct commercial contact with Ebabbar; Kaššāya married Guzānu of a Babylonian family.</w:t>
      </w:r>
    </w:p>
    <w:p>
      <w:pPr>
        <w:spacing w:after="32"/>
        <w:ind w:left="317" w:hanging="173"/>
      </w:pPr>
      <w:r>
        <w:rPr>
          <w:b/>
        </w:rPr>
        <w:t xml:space="preserve">• </w:t>
      </w:r>
      <w:r>
        <w:t>The marriage/witness network overlaps the circle of Marduk-rēmanni, a merchant/temple insider/College Scribe/prebend holder with priestly-family marriage and governor access.</w:t>
      </w:r>
    </w:p>
    <w:p>
      <w:pPr>
        <w:spacing w:after="32"/>
        <w:ind w:left="317" w:hanging="173"/>
      </w:pPr>
      <w:r>
        <w:rPr>
          <w:b/>
        </w:rPr>
        <w:t xml:space="preserve">• </w:t>
      </w:r>
      <w:r>
        <w:t>Borsippa preserves a Judean scribal/administrative contact with a hereditary priestly family.</w:t>
      </w:r>
    </w:p>
    <w:p>
      <w:pPr>
        <w:spacing w:after="32"/>
        <w:ind w:left="317" w:hanging="173"/>
      </w:pPr>
      <w:r>
        <w:rPr>
          <w:b/>
        </w:rPr>
        <w:t xml:space="preserve">• </w:t>
      </w:r>
      <w:r>
        <w:t>Judeans appear as sēpiru, alphabetic/Aramaic scribes in imperial administration, while not being attested as members of the elite cuneiform scholarly caste.</w:t>
      </w:r>
    </w:p>
    <w:p>
      <w:pPr>
        <w:spacing w:after="32"/>
        <w:ind w:left="317" w:hanging="173"/>
      </w:pPr>
      <w:r>
        <w:rPr>
          <w:b/>
        </w:rPr>
        <w:t xml:space="preserve">• </w:t>
      </w:r>
      <w:r>
        <w:t>The architecture therefore favors interface transfer through merchants, administrators, scribes, mixed households, and temple-facing brokers.</w:t>
      </w:r>
    </w:p>
    <w:p>
      <w:pPr>
        <w:pStyle w:val="Heading2"/>
      </w:pPr>
      <w:r>
        <w:t>6.6 Provenance naturalization</w:t>
      </w:r>
    </w:p>
    <w:p>
      <w:pPr>
        <w:pStyle w:val="EquationBlock"/>
        <w:shd w:fill="F2F2F2"/>
      </w:pPr>
      <w:r>
        <w:rPr>
          <w:rFonts w:ascii="Cascadia Mono" w:hAnsi="Cascadia Mono"/>
          <w:sz w:val="17"/>
        </w:rPr>
        <w:t>foreign technical knowledge -&gt; local sacred categories -&gt; remote ancestral authority -&gt; indigenous transmission</w:t>
      </w:r>
    </w:p>
    <w:p>
      <w:pPr>
        <w:pStyle w:val="ArchitectureBlock"/>
        <w:pBdr>
          <w:left w:val="single" w:sz="8" w:space="6" w:color="8A8A8A"/>
        </w:pBdr>
      </w:pPr>
      <w:r>
        <w:t>Provenance naturalization is an analytic label in the source, not a claim of intentional concealment. Ordinary cultural adaptation can produce it. The key mechanism is that imported technical structure can become experienced as native sacred inheritance after being recoded through local ancestral authority.</w:t>
      </w:r>
    </w:p>
    <w:p>
      <w:pPr>
        <w:pStyle w:val="Heading1"/>
      </w:pPr>
      <w:r>
        <w:t>7. Enochic–Levitical Custodial Architecture</w:t>
      </w:r>
    </w:p>
    <w:p>
      <w:pPr>
        <w:pStyle w:val="Heading2"/>
      </w:pPr>
      <w:r>
        <w:t>7.1 Candidate object</w:t>
      </w:r>
    </w:p>
    <w:p>
      <w:pPr>
        <w:pStyle w:val="ArchitectureBlock"/>
        <w:pBdr>
          <w:left w:val="single" w:sz="8" w:space="6" w:color="8A8A8A"/>
        </w:pBdr>
      </w:pPr>
      <w:r>
        <w:t>Research handle: ENOCHIC–LEVITICAL CUSTODIAL NETWORK. The evidence supports an overlapping learned priest-scribal environment joining ancestral books, priestly instruction, astronomy/calendar, metrology, revelation, and intergenerational custody. Whether this was one bounded organization, several related circles, or a broader scribal culture remains OPEN.</w:t>
      </w:r>
    </w:p>
    <w:p>
      <w:pPr>
        <w:pStyle w:val="Heading2"/>
      </w:pPr>
      <w:r>
        <w:t>7.2 Authorized knowledge architecture</w:t>
      </w:r>
    </w:p>
    <w:p>
      <w:pPr>
        <w:pStyle w:val="EquationBlock"/>
        <w:shd w:fill="F2F2F2"/>
      </w:pPr>
      <w:r>
        <w:rPr>
          <w:rFonts w:ascii="Cascadia Mono" w:hAnsi="Cascadia Mono"/>
          <w:sz w:val="17"/>
        </w:rPr>
        <w:t>K + wrong custodian -&gt; forbidden knowledge</w:t>
      </w:r>
    </w:p>
    <w:p>
      <w:pPr>
        <w:pStyle w:val="EquationBlock"/>
        <w:shd w:fill="F2F2F2"/>
      </w:pPr>
      <w:r>
        <w:rPr>
          <w:rFonts w:ascii="Cascadia Mono" w:hAnsi="Cascadia Mono"/>
          <w:sz w:val="17"/>
        </w:rPr>
        <w:t>K + authorized custodian -&gt; sacred wisdom</w:t>
      </w:r>
    </w:p>
    <w:p>
      <w:pPr>
        <w:pStyle w:val="ArchitectureBlock"/>
        <w:pBdr>
          <w:left w:val="single" w:sz="8" w:space="6" w:color="8A8A8A"/>
        </w:pBdr>
      </w:pPr>
      <w:r>
        <w:t>The Watchers/Enoch contrast is not simply 'astronomy bad.' The architecture sorts knowledge by authorized source and transmitter. The jurisdictional question is who may know, reveal, interpret, and transmit celestial or technical knowledge.</w:t>
      </w:r>
    </w:p>
    <w:p>
      <w:pPr>
        <w:pStyle w:val="Heading2"/>
      </w:pPr>
      <w:r>
        <w:t>7.3 Internal chain of custody</w:t>
      </w:r>
    </w:p>
    <w:p>
      <w:pPr>
        <w:pStyle w:val="EquationBlock"/>
        <w:shd w:fill="F2F2F2"/>
      </w:pPr>
      <w:r>
        <w:rPr>
          <w:rFonts w:ascii="Cascadia Mono" w:hAnsi="Cascadia Mono"/>
          <w:sz w:val="17"/>
        </w:rPr>
        <w:t>heavenly authority -&gt; Enoch -&gt; book -&gt; son / next generation</w:t>
      </w:r>
    </w:p>
    <w:p>
      <w:pPr>
        <w:pStyle w:val="EquationBlock"/>
        <w:shd w:fill="F2F2F2"/>
      </w:pPr>
      <w:r>
        <w:rPr>
          <w:rFonts w:ascii="Cascadia Mono" w:hAnsi="Cascadia Mono"/>
          <w:sz w:val="17"/>
        </w:rPr>
        <w:t>Enoch -&gt; antediluvian custodians -&gt; Noah -&gt; ancestral books -&gt; Abraham -&gt; Isaac/Jacob -&gt; Levi -&gt; Levitical descendants</w:t>
      </w:r>
    </w:p>
    <w:p>
      <w:pPr>
        <w:pStyle w:val="ArchitectureBlock"/>
        <w:pBdr>
          <w:left w:val="single" w:sz="8" w:space="6" w:color="8A8A8A"/>
        </w:pBdr>
      </w:pPr>
      <w:r>
        <w:t>Jubilees constructs an explicit literary chain of inherited books; Aramaic Levi converts ancestral authority into practical priestly curriculum; Qahat and Amram continue father-to-descendant transmission. This is literary ideology of continuity, not independent proof that the chain operated from primordial times.</w:t>
      </w:r>
    </w:p>
    <w:p>
      <w:pPr>
        <w:pStyle w:val="Heading2"/>
      </w:pPr>
      <w:r>
        <w:t>7.4 Technical curriculum</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2088"/>
            <w:shd w:fill="E7E7E7"/>
            <w:tcMar>
              <w:top w:w="65" w:type="dxa"/>
              <w:start w:w="75" w:type="dxa"/>
              <w:bottom w:w="65" w:type="dxa"/>
              <w:end w:w="75" w:type="dxa"/>
            </w:tcMar>
            <w:vAlign w:val="center"/>
          </w:tcPr>
          <w:p>
            <w:r>
              <w:rPr>
                <w:b/>
                <w:sz w:val="15"/>
              </w:rPr>
              <w:t>Stream</w:t>
            </w:r>
          </w:p>
        </w:tc>
        <w:tc>
          <w:tcPr>
            <w:tcW w:type="dxa" w:w="4536"/>
            <w:shd w:fill="E7E7E7"/>
            <w:tcMar>
              <w:top w:w="65" w:type="dxa"/>
              <w:start w:w="75" w:type="dxa"/>
              <w:bottom w:w="65" w:type="dxa"/>
              <w:end w:w="75" w:type="dxa"/>
            </w:tcMar>
            <w:vAlign w:val="center"/>
          </w:tcPr>
          <w:p>
            <w:r>
              <w:rPr>
                <w:b/>
                <w:sz w:val="15"/>
              </w:rPr>
              <w:t>Technical content</w:t>
            </w:r>
          </w:p>
        </w:tc>
        <w:tc>
          <w:tcPr>
            <w:tcW w:type="dxa" w:w="3816"/>
            <w:shd w:fill="E7E7E7"/>
            <w:tcMar>
              <w:top w:w="65" w:type="dxa"/>
              <w:start w:w="75" w:type="dxa"/>
              <w:bottom w:w="65" w:type="dxa"/>
              <w:end w:w="75" w:type="dxa"/>
            </w:tcMar>
            <w:vAlign w:val="center"/>
          </w:tcPr>
          <w:p>
            <w:r>
              <w:rPr>
                <w:b/>
                <w:sz w:val="15"/>
              </w:rPr>
              <w:t>Custody grammar</w:t>
            </w:r>
          </w:p>
        </w:tc>
      </w:tr>
      <w:tr>
        <w:tc>
          <w:tcPr>
            <w:tcW w:type="dxa" w:w="2088"/>
            <w:tcMar>
              <w:top w:w="65" w:type="dxa"/>
              <w:start w:w="75" w:type="dxa"/>
              <w:bottom w:w="65" w:type="dxa"/>
              <w:end w:w="75" w:type="dxa"/>
            </w:tcMar>
            <w:vAlign w:val="top"/>
          </w:tcPr>
          <w:p>
            <w:pPr>
              <w:spacing w:after="0"/>
            </w:pPr>
            <w:r>
              <w:rPr>
                <w:sz w:val="15"/>
              </w:rPr>
              <w:t>Aramaic Levi</w:t>
            </w:r>
          </w:p>
        </w:tc>
        <w:tc>
          <w:tcPr>
            <w:tcW w:type="dxa" w:w="4536"/>
            <w:tcMar>
              <w:top w:w="65" w:type="dxa"/>
              <w:start w:w="75" w:type="dxa"/>
              <w:bottom w:w="65" w:type="dxa"/>
              <w:end w:w="75" w:type="dxa"/>
            </w:tcMar>
            <w:vAlign w:val="top"/>
          </w:tcPr>
          <w:p>
            <w:pPr>
              <w:spacing w:after="0"/>
            </w:pPr>
            <w:r>
              <w:rPr>
                <w:sz w:val="15"/>
              </w:rPr>
              <w:t>Purification, altar procedure, sacrifice, quantities, measurement/metrology</w:t>
            </w:r>
          </w:p>
        </w:tc>
        <w:tc>
          <w:tcPr>
            <w:tcW w:type="dxa" w:w="3816"/>
            <w:tcMar>
              <w:top w:w="65" w:type="dxa"/>
              <w:start w:w="75" w:type="dxa"/>
              <w:bottom w:w="65" w:type="dxa"/>
              <w:end w:w="75" w:type="dxa"/>
            </w:tcMar>
            <w:vAlign w:val="top"/>
          </w:tcPr>
          <w:p>
            <w:pPr>
              <w:spacing w:after="0"/>
            </w:pPr>
            <w:r>
              <w:rPr>
                <w:sz w:val="15"/>
              </w:rPr>
              <w:t>Authorized elder/teacher -&gt; priestly student -&gt; technical procedure</w:t>
            </w:r>
          </w:p>
        </w:tc>
      </w:tr>
      <w:tr>
        <w:tc>
          <w:tcPr>
            <w:tcW w:type="dxa" w:w="2088"/>
            <w:tcMar>
              <w:top w:w="65" w:type="dxa"/>
              <w:start w:w="75" w:type="dxa"/>
              <w:bottom w:w="65" w:type="dxa"/>
              <w:end w:w="75" w:type="dxa"/>
            </w:tcMar>
            <w:vAlign w:val="top"/>
          </w:tcPr>
          <w:p>
            <w:pPr>
              <w:spacing w:after="0"/>
            </w:pPr>
            <w:r>
              <w:rPr>
                <w:sz w:val="15"/>
              </w:rPr>
              <w:t>Astronomical Enoch</w:t>
            </w:r>
          </w:p>
        </w:tc>
        <w:tc>
          <w:tcPr>
            <w:tcW w:type="dxa" w:w="4536"/>
            <w:tcMar>
              <w:top w:w="65" w:type="dxa"/>
              <w:start w:w="75" w:type="dxa"/>
              <w:bottom w:w="65" w:type="dxa"/>
              <w:end w:w="75" w:type="dxa"/>
            </w:tcMar>
            <w:vAlign w:val="top"/>
          </w:tcPr>
          <w:p>
            <w:pPr>
              <w:spacing w:after="0"/>
            </w:pPr>
            <w:r>
              <w:rPr>
                <w:sz w:val="15"/>
              </w:rPr>
              <w:t>Celestial calculation, daylight/lunar schemes, calendar knowledge</w:t>
            </w:r>
          </w:p>
        </w:tc>
        <w:tc>
          <w:tcPr>
            <w:tcW w:type="dxa" w:w="3816"/>
            <w:tcMar>
              <w:top w:w="65" w:type="dxa"/>
              <w:start w:w="75" w:type="dxa"/>
              <w:bottom w:w="65" w:type="dxa"/>
              <w:end w:w="75" w:type="dxa"/>
            </w:tcMar>
            <w:vAlign w:val="top"/>
          </w:tcPr>
          <w:p>
            <w:pPr>
              <w:spacing w:after="0"/>
            </w:pPr>
            <w:r>
              <w:rPr>
                <w:sz w:val="15"/>
              </w:rPr>
              <w:t>Heavenly/ancestral authority -&gt; scribe -&gt; written transmission</w:t>
            </w:r>
          </w:p>
        </w:tc>
      </w:tr>
      <w:tr>
        <w:tc>
          <w:tcPr>
            <w:tcW w:type="dxa" w:w="2088"/>
            <w:tcMar>
              <w:top w:w="65" w:type="dxa"/>
              <w:start w:w="75" w:type="dxa"/>
              <w:bottom w:w="65" w:type="dxa"/>
              <w:end w:w="75" w:type="dxa"/>
            </w:tcMar>
            <w:vAlign w:val="top"/>
          </w:tcPr>
          <w:p>
            <w:pPr>
              <w:spacing w:after="0"/>
            </w:pPr>
            <w:r>
              <w:rPr>
                <w:sz w:val="15"/>
              </w:rPr>
              <w:t>Qahat / Amram</w:t>
            </w:r>
          </w:p>
        </w:tc>
        <w:tc>
          <w:tcPr>
            <w:tcW w:type="dxa" w:w="4536"/>
            <w:tcMar>
              <w:top w:w="65" w:type="dxa"/>
              <w:start w:w="75" w:type="dxa"/>
              <w:bottom w:w="65" w:type="dxa"/>
              <w:end w:w="75" w:type="dxa"/>
            </w:tcMar>
            <w:vAlign w:val="top"/>
          </w:tcPr>
          <w:p>
            <w:pPr>
              <w:spacing w:after="0"/>
            </w:pPr>
            <w:r>
              <w:rPr>
                <w:sz w:val="15"/>
              </w:rPr>
              <w:t>Priestly inheritance, genealogy, wisdom, father-to-child instruction</w:t>
            </w:r>
          </w:p>
        </w:tc>
        <w:tc>
          <w:tcPr>
            <w:tcW w:type="dxa" w:w="3816"/>
            <w:tcMar>
              <w:top w:w="65" w:type="dxa"/>
              <w:start w:w="75" w:type="dxa"/>
              <w:bottom w:w="65" w:type="dxa"/>
              <w:end w:w="75" w:type="dxa"/>
            </w:tcMar>
            <w:vAlign w:val="top"/>
          </w:tcPr>
          <w:p>
            <w:pPr>
              <w:spacing w:after="0"/>
            </w:pPr>
            <w:r>
              <w:rPr>
                <w:sz w:val="15"/>
              </w:rPr>
              <w:t>Lineage -&gt; books/tradition -&gt; successor</w:t>
            </w:r>
          </w:p>
        </w:tc>
      </w:tr>
      <w:tr>
        <w:tc>
          <w:tcPr>
            <w:tcW w:type="dxa" w:w="2088"/>
            <w:tcMar>
              <w:top w:w="65" w:type="dxa"/>
              <w:start w:w="75" w:type="dxa"/>
              <w:bottom w:w="65" w:type="dxa"/>
              <w:end w:w="75" w:type="dxa"/>
            </w:tcMar>
            <w:vAlign w:val="top"/>
          </w:tcPr>
          <w:p>
            <w:pPr>
              <w:spacing w:after="0"/>
            </w:pPr>
            <w:r>
              <w:rPr>
                <w:sz w:val="15"/>
              </w:rPr>
              <w:t>Qumran calendar texts</w:t>
            </w:r>
          </w:p>
        </w:tc>
        <w:tc>
          <w:tcPr>
            <w:tcW w:type="dxa" w:w="4536"/>
            <w:tcMar>
              <w:top w:w="65" w:type="dxa"/>
              <w:start w:w="75" w:type="dxa"/>
              <w:bottom w:w="65" w:type="dxa"/>
              <w:end w:w="75" w:type="dxa"/>
            </w:tcMar>
            <w:vAlign w:val="top"/>
          </w:tcPr>
          <w:p>
            <w:pPr>
              <w:spacing w:after="0"/>
            </w:pPr>
            <w:r>
              <w:rPr>
                <w:sz w:val="15"/>
              </w:rPr>
              <w:t>364-day system, priestly courses, festivals, long cycles</w:t>
            </w:r>
          </w:p>
        </w:tc>
        <w:tc>
          <w:tcPr>
            <w:tcW w:type="dxa" w:w="3816"/>
            <w:tcMar>
              <w:top w:w="65" w:type="dxa"/>
              <w:start w:w="75" w:type="dxa"/>
              <w:bottom w:w="65" w:type="dxa"/>
              <w:end w:w="75" w:type="dxa"/>
            </w:tcMar>
            <w:vAlign w:val="top"/>
          </w:tcPr>
          <w:p>
            <w:pPr>
              <w:spacing w:after="0"/>
            </w:pPr>
            <w:r>
              <w:rPr>
                <w:sz w:val="15"/>
              </w:rPr>
              <w:t>Calculation -&gt; schedule -&gt; ritual labor / community validity</w:t>
            </w:r>
          </w:p>
        </w:tc>
      </w:tr>
    </w:tbl>
    <w:p>
      <w:pPr>
        <w:spacing w:after="0"/>
      </w:pPr>
    </w:p>
    <w:p>
      <w:pPr>
        <w:pStyle w:val="Heading2"/>
      </w:pPr>
      <w:r>
        <w:t>7.5 Material scribal bridges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1728"/>
            <w:shd w:fill="E7E7E7"/>
            <w:tcMar>
              <w:top w:w="65" w:type="dxa"/>
              <w:start w:w="75" w:type="dxa"/>
              <w:bottom w:w="65" w:type="dxa"/>
              <w:end w:w="75" w:type="dxa"/>
            </w:tcMar>
            <w:vAlign w:val="center"/>
          </w:tcPr>
          <w:p>
            <w:r>
              <w:rPr>
                <w:b/>
                <w:sz w:val="15"/>
              </w:rPr>
              <w:t>Object</w:t>
            </w:r>
          </w:p>
        </w:tc>
        <w:tc>
          <w:tcPr>
            <w:tcW w:type="dxa" w:w="4824"/>
            <w:shd w:fill="E7E7E7"/>
            <w:tcMar>
              <w:top w:w="65" w:type="dxa"/>
              <w:start w:w="75" w:type="dxa"/>
              <w:bottom w:w="65" w:type="dxa"/>
              <w:end w:w="75" w:type="dxa"/>
            </w:tcMar>
            <w:vAlign w:val="center"/>
          </w:tcPr>
          <w:p>
            <w:r>
              <w:rPr>
                <w:b/>
                <w:sz w:val="15"/>
              </w:rPr>
              <w:t>Material connection</w:t>
            </w:r>
          </w:p>
        </w:tc>
        <w:tc>
          <w:tcPr>
            <w:tcW w:type="dxa" w:w="3888"/>
            <w:shd w:fill="E7E7E7"/>
            <w:tcMar>
              <w:top w:w="65" w:type="dxa"/>
              <w:start w:w="75" w:type="dxa"/>
              <w:bottom w:w="65" w:type="dxa"/>
              <w:end w:w="75" w:type="dxa"/>
            </w:tcMar>
            <w:vAlign w:val="center"/>
          </w:tcPr>
          <w:p>
            <w:r>
              <w:rPr>
                <w:b/>
                <w:sz w:val="15"/>
              </w:rPr>
              <w:t>Status / boundary</w:t>
            </w:r>
          </w:p>
        </w:tc>
      </w:tr>
      <w:tr>
        <w:tc>
          <w:tcPr>
            <w:tcW w:type="dxa" w:w="1728"/>
            <w:tcMar>
              <w:top w:w="65" w:type="dxa"/>
              <w:start w:w="75" w:type="dxa"/>
              <w:bottom w:w="65" w:type="dxa"/>
              <w:end w:w="75" w:type="dxa"/>
            </w:tcMar>
            <w:vAlign w:val="top"/>
          </w:tcPr>
          <w:p>
            <w:pPr>
              <w:spacing w:after="0"/>
            </w:pPr>
            <w:r>
              <w:rPr>
                <w:sz w:val="15"/>
              </w:rPr>
              <w:t>Hand A</w:t>
            </w:r>
          </w:p>
        </w:tc>
        <w:tc>
          <w:tcPr>
            <w:tcW w:type="dxa" w:w="4824"/>
            <w:tcMar>
              <w:top w:w="65" w:type="dxa"/>
              <w:start w:w="75" w:type="dxa"/>
              <w:bottom w:w="65" w:type="dxa"/>
              <w:end w:w="75" w:type="dxa"/>
            </w:tcMar>
            <w:vAlign w:val="top"/>
          </w:tcPr>
          <w:p>
            <w:pPr>
              <w:spacing w:after="0"/>
            </w:pPr>
            <w:r>
              <w:rPr>
                <w:sz w:val="15"/>
              </w:rPr>
              <w:t>4Q207 Enoch &lt;-&gt; 4Q214a–b Aramaic Levi; 4Q541 may belong to same hand</w:t>
            </w:r>
          </w:p>
        </w:tc>
        <w:tc>
          <w:tcPr>
            <w:tcW w:type="dxa" w:w="3888"/>
            <w:tcMar>
              <w:top w:w="65" w:type="dxa"/>
              <w:start w:w="75" w:type="dxa"/>
              <w:bottom w:w="65" w:type="dxa"/>
              <w:end w:w="75" w:type="dxa"/>
            </w:tcMar>
            <w:vAlign w:val="top"/>
          </w:tcPr>
          <w:p>
            <w:pPr>
              <w:spacing w:after="0"/>
            </w:pPr>
            <w:r>
              <w:rPr>
                <w:sz w:val="15"/>
              </w:rPr>
              <w:t>High for Enoch&lt;-&gt;Levi; 4Q541 possible</w:t>
            </w:r>
          </w:p>
        </w:tc>
      </w:tr>
      <w:tr>
        <w:tc>
          <w:tcPr>
            <w:tcW w:type="dxa" w:w="1728"/>
            <w:tcMar>
              <w:top w:w="65" w:type="dxa"/>
              <w:start w:w="75" w:type="dxa"/>
              <w:bottom w:w="65" w:type="dxa"/>
              <w:end w:w="75" w:type="dxa"/>
            </w:tcMar>
            <w:vAlign w:val="top"/>
          </w:tcPr>
          <w:p>
            <w:pPr>
              <w:spacing w:after="0"/>
            </w:pPr>
            <w:r>
              <w:rPr>
                <w:sz w:val="15"/>
              </w:rPr>
              <w:t>Hand B</w:t>
            </w:r>
          </w:p>
        </w:tc>
        <w:tc>
          <w:tcPr>
            <w:tcW w:type="dxa" w:w="4824"/>
            <w:tcMar>
              <w:top w:w="65" w:type="dxa"/>
              <w:start w:w="75" w:type="dxa"/>
              <w:bottom w:w="65" w:type="dxa"/>
              <w:end w:w="75" w:type="dxa"/>
            </w:tcMar>
            <w:vAlign w:val="top"/>
          </w:tcPr>
          <w:p>
            <w:pPr>
              <w:spacing w:after="0"/>
            </w:pPr>
            <w:r>
              <w:rPr>
                <w:sz w:val="15"/>
              </w:rPr>
              <w:t>4Q542 Qahat &lt;-&gt; 4Q547 Visions of Amram</w:t>
            </w:r>
          </w:p>
        </w:tc>
        <w:tc>
          <w:tcPr>
            <w:tcW w:type="dxa" w:w="3888"/>
            <w:tcMar>
              <w:top w:w="65" w:type="dxa"/>
              <w:start w:w="75" w:type="dxa"/>
              <w:bottom w:w="65" w:type="dxa"/>
              <w:end w:w="75" w:type="dxa"/>
            </w:tcMar>
            <w:vAlign w:val="top"/>
          </w:tcPr>
          <w:p>
            <w:pPr>
              <w:spacing w:after="0"/>
            </w:pPr>
            <w:r>
              <w:rPr>
                <w:sz w:val="15"/>
              </w:rPr>
              <w:t>Very high; same scribe, probably same scroll</w:t>
            </w:r>
          </w:p>
        </w:tc>
      </w:tr>
      <w:tr>
        <w:tc>
          <w:tcPr>
            <w:tcW w:type="dxa" w:w="1728"/>
            <w:tcMar>
              <w:top w:w="65" w:type="dxa"/>
              <w:start w:w="75" w:type="dxa"/>
              <w:bottom w:w="65" w:type="dxa"/>
              <w:end w:w="75" w:type="dxa"/>
            </w:tcMar>
            <w:vAlign w:val="top"/>
          </w:tcPr>
          <w:p>
            <w:pPr>
              <w:spacing w:after="0"/>
            </w:pPr>
            <w:r>
              <w:rPr>
                <w:sz w:val="15"/>
              </w:rPr>
              <w:t>Hand B? extension</w:t>
            </w:r>
          </w:p>
        </w:tc>
        <w:tc>
          <w:tcPr>
            <w:tcW w:type="dxa" w:w="4824"/>
            <w:tcMar>
              <w:top w:w="65" w:type="dxa"/>
              <w:start w:w="75" w:type="dxa"/>
              <w:bottom w:w="65" w:type="dxa"/>
              <w:end w:w="75" w:type="dxa"/>
            </w:tcMar>
            <w:vAlign w:val="top"/>
          </w:tcPr>
          <w:p>
            <w:pPr>
              <w:spacing w:after="0"/>
            </w:pPr>
            <w:r>
              <w:rPr>
                <w:sz w:val="15"/>
              </w:rPr>
              <w:t>4Q542 Qahat &lt;-&gt; 4Q53 Samuel &lt;-&gt; 1QS scribe</w:t>
            </w:r>
          </w:p>
        </w:tc>
        <w:tc>
          <w:tcPr>
            <w:tcW w:type="dxa" w:w="3888"/>
            <w:tcMar>
              <w:top w:w="65" w:type="dxa"/>
              <w:start w:w="75" w:type="dxa"/>
              <w:bottom w:w="65" w:type="dxa"/>
              <w:end w:w="75" w:type="dxa"/>
            </w:tcMar>
            <w:vAlign w:val="top"/>
          </w:tcPr>
          <w:p>
            <w:pPr>
              <w:spacing w:after="0"/>
            </w:pPr>
            <w:r>
              <w:rPr>
                <w:sz w:val="15"/>
              </w:rPr>
              <w:t>Serious historical proposal; not confirmed</w:t>
            </w:r>
          </w:p>
        </w:tc>
      </w:tr>
      <w:tr>
        <w:tc>
          <w:tcPr>
            <w:tcW w:type="dxa" w:w="1728"/>
            <w:tcMar>
              <w:top w:w="65" w:type="dxa"/>
              <w:start w:w="75" w:type="dxa"/>
              <w:bottom w:w="65" w:type="dxa"/>
              <w:end w:w="75" w:type="dxa"/>
            </w:tcMar>
            <w:vAlign w:val="top"/>
          </w:tcPr>
          <w:p>
            <w:pPr>
              <w:spacing w:after="0"/>
            </w:pPr>
            <w:r>
              <w:rPr>
                <w:sz w:val="15"/>
              </w:rPr>
              <w:t>Hand C / physical manuscript</w:t>
            </w:r>
          </w:p>
        </w:tc>
        <w:tc>
          <w:tcPr>
            <w:tcW w:type="dxa" w:w="4824"/>
            <w:tcMar>
              <w:top w:w="65" w:type="dxa"/>
              <w:start w:w="75" w:type="dxa"/>
              <w:bottom w:w="65" w:type="dxa"/>
              <w:end w:w="75" w:type="dxa"/>
            </w:tcMar>
            <w:vAlign w:val="top"/>
          </w:tcPr>
          <w:p>
            <w:pPr>
              <w:spacing w:after="0"/>
            </w:pPr>
            <w:r>
              <w:rPr>
                <w:sz w:val="15"/>
              </w:rPr>
              <w:t>4Q259 Community Rule &lt;-&gt; 4Q319 Otot calendrical material</w:t>
            </w:r>
          </w:p>
        </w:tc>
        <w:tc>
          <w:tcPr>
            <w:tcW w:type="dxa" w:w="3888"/>
            <w:tcMar>
              <w:top w:w="65" w:type="dxa"/>
              <w:start w:w="75" w:type="dxa"/>
              <w:bottom w:w="65" w:type="dxa"/>
              <w:end w:w="75" w:type="dxa"/>
            </w:tcMar>
            <w:vAlign w:val="top"/>
          </w:tcPr>
          <w:p>
            <w:pPr>
              <w:spacing w:after="0"/>
            </w:pPr>
            <w:r>
              <w:rPr>
                <w:sz w:val="15"/>
              </w:rPr>
              <w:t>Extremely strong; physically same manuscript</w:t>
            </w:r>
          </w:p>
        </w:tc>
      </w:tr>
      <w:tr>
        <w:tc>
          <w:tcPr>
            <w:tcW w:type="dxa" w:w="1728"/>
            <w:tcMar>
              <w:top w:w="65" w:type="dxa"/>
              <w:start w:w="75" w:type="dxa"/>
              <w:bottom w:w="65" w:type="dxa"/>
              <w:end w:w="75" w:type="dxa"/>
            </w:tcMar>
            <w:vAlign w:val="top"/>
          </w:tcPr>
          <w:p>
            <w:pPr>
              <w:spacing w:after="0"/>
            </w:pPr>
            <w:r>
              <w:rPr>
                <w:sz w:val="15"/>
              </w:rPr>
              <w:t>Hand D</w:t>
            </w:r>
          </w:p>
        </w:tc>
        <w:tc>
          <w:tcPr>
            <w:tcW w:type="dxa" w:w="4824"/>
            <w:tcMar>
              <w:top w:w="65" w:type="dxa"/>
              <w:start w:w="75" w:type="dxa"/>
              <w:bottom w:w="65" w:type="dxa"/>
              <w:end w:w="75" w:type="dxa"/>
            </w:tcMar>
            <w:vAlign w:val="top"/>
          </w:tcPr>
          <w:p>
            <w:pPr>
              <w:spacing w:after="0"/>
            </w:pPr>
            <w:r>
              <w:rPr>
                <w:sz w:val="15"/>
              </w:rPr>
              <w:t>4Q203 Book of Giants &lt;-&gt; 4Q204 Enoch</w:t>
            </w:r>
          </w:p>
        </w:tc>
        <w:tc>
          <w:tcPr>
            <w:tcW w:type="dxa" w:w="3888"/>
            <w:tcMar>
              <w:top w:w="65" w:type="dxa"/>
              <w:start w:w="75" w:type="dxa"/>
              <w:bottom w:w="65" w:type="dxa"/>
              <w:end w:w="75" w:type="dxa"/>
            </w:tcMar>
            <w:vAlign w:val="top"/>
          </w:tcPr>
          <w:p>
            <w:pPr>
              <w:spacing w:after="0"/>
            </w:pPr>
            <w:r>
              <w:rPr>
                <w:sz w:val="15"/>
              </w:rPr>
              <w:t>Same-hand link strong; same-scroll claim disputed</w:t>
            </w:r>
          </w:p>
        </w:tc>
      </w:tr>
    </w:tbl>
    <w:p>
      <w:pPr>
        <w:spacing w:after="0"/>
      </w:pPr>
    </w:p>
    <w:p>
      <w:pPr>
        <w:pStyle w:val="StatusLine"/>
      </w:pPr>
      <w:r>
        <w:rPr>
          <w:b/>
        </w:rPr>
        <w:t xml:space="preserve">ELB-01: </w:t>
      </w:r>
      <w:r>
        <w:t>Enoch–Levi material scribal bridge: strong manuscript-level finding; same copyist does not establish same original author, patron, composition date, or organization.</w:t>
      </w:r>
    </w:p>
    <w:p>
      <w:pPr>
        <w:pStyle w:val="StatusLine"/>
      </w:pPr>
      <w:r>
        <w:rPr>
          <w:b/>
        </w:rPr>
        <w:t xml:space="preserve">ELB-02: </w:t>
      </w:r>
      <w:r>
        <w:t>Levi succession manuscript bridge: Qahat and Amram materially transmitted by the same scribe / probably same scroll.</w:t>
      </w:r>
    </w:p>
    <w:p>
      <w:pPr>
        <w:pStyle w:val="StatusLine"/>
      </w:pPr>
      <w:r>
        <w:rPr>
          <w:b/>
        </w:rPr>
        <w:t xml:space="preserve">ELB-03: </w:t>
      </w:r>
      <w:r>
        <w:t>Astronomical Enoch / Levi linguistic cluster: compatible with shared register/environment; not same author or organization.</w:t>
      </w:r>
    </w:p>
    <w:p>
      <w:pPr>
        <w:pStyle w:val="StatusLine"/>
      </w:pPr>
      <w:r>
        <w:rPr>
          <w:b/>
        </w:rPr>
        <w:t xml:space="preserve">ELB-04: </w:t>
      </w:r>
      <w:r>
        <w:t>Active Timekeeper tradition: Astronomical Enoch shows technical revision rather than passive copying.</w:t>
      </w:r>
    </w:p>
    <w:p>
      <w:pPr>
        <w:pStyle w:val="Heading2"/>
      </w:pPr>
      <w:r>
        <w:t>7.6 Governance and Timekeeper physically joined</w:t>
      </w:r>
    </w:p>
    <w:p>
      <w:pPr>
        <w:pStyle w:val="EquationBlock"/>
        <w:shd w:fill="F2F2F2"/>
      </w:pPr>
      <w:r>
        <w:rPr>
          <w:rFonts w:ascii="Cascadia Mono" w:hAnsi="Cascadia Mono"/>
          <w:sz w:val="17"/>
        </w:rPr>
        <w:t>COMMUNITY GOVERNANCE RULE -&gt; CALENDRICAL / PRIESTLY-TIME COMPUTATION</w:t>
      </w:r>
    </w:p>
    <w:p>
      <w:pPr>
        <w:pStyle w:val="ArchitectureBlock"/>
        <w:pBdr>
          <w:left w:val="single" w:sz="8" w:space="6" w:color="8A8A8A"/>
        </w:pBdr>
      </w:pPr>
      <w:r>
        <w:t>4Q259/4Q319 is a particularly hard architectural witness because a Community Rule manuscript physically continues into long calendrical/priestly-course computation. The governance desk and Timekeeper desk are therefore not merely thematically adjacent in the surviving manuscript ecology.</w:t>
      </w:r>
    </w:p>
    <w:p>
      <w:pPr>
        <w:pStyle w:val="Heading2"/>
      </w:pPr>
      <w:r>
        <w:t>7.7 What the evidence does not yet establish</w:t>
      </w:r>
    </w:p>
    <w:p>
      <w:pPr>
        <w:spacing w:after="32"/>
        <w:ind w:left="317" w:hanging="173"/>
      </w:pPr>
      <w:r>
        <w:rPr>
          <w:b/>
        </w:rPr>
        <w:t xml:space="preserve">• </w:t>
      </w:r>
      <w:r>
        <w:t>No named third-century author/teacher/patron for the core Astronomical Enoch / Watchers production has been securely recovered.</w:t>
      </w:r>
    </w:p>
    <w:p>
      <w:pPr>
        <w:spacing w:after="32"/>
        <w:ind w:left="317" w:hanging="173"/>
      </w:pPr>
      <w:r>
        <w:rPr>
          <w:b/>
        </w:rPr>
        <w:t xml:space="preserve">• </w:t>
      </w:r>
      <w:r>
        <w:t>No direct receipt ties Oniad or Hakkoz household identity to the anonymous Enochic technical authors.</w:t>
      </w:r>
    </w:p>
    <w:p>
      <w:pPr>
        <w:spacing w:after="32"/>
        <w:ind w:left="317" w:hanging="173"/>
      </w:pPr>
      <w:r>
        <w:rPr>
          <w:b/>
        </w:rPr>
        <w:t xml:space="preserve">• </w:t>
      </w:r>
      <w:r>
        <w:t>Shared copyists do not prove common original authorship or a single secret organization.</w:t>
      </w:r>
    </w:p>
    <w:p>
      <w:pPr>
        <w:spacing w:after="32"/>
        <w:ind w:left="317" w:hanging="173"/>
      </w:pPr>
      <w:r>
        <w:rPr>
          <w:b/>
        </w:rPr>
        <w:t xml:space="preserve">• </w:t>
      </w:r>
      <w:r>
        <w:t>A discrete closed early 'Enochian sect' is not securely reconstructable; multiple circles or a shared elite scribal ecology remain live.</w:t>
      </w:r>
    </w:p>
    <w:p>
      <w:pPr>
        <w:pStyle w:val="Heading1"/>
      </w:pPr>
      <w:r>
        <w:t>8. Jerusalem Custodial Ecosystem</w:t>
      </w:r>
    </w:p>
    <w:p>
      <w:pPr>
        <w:pStyle w:val="Heading2"/>
      </w:pPr>
      <w:r>
        <w:t>8.1 Four-office model</w:t>
      </w:r>
    </w:p>
    <w:p>
      <w:pPr>
        <w:pStyle w:val="EquationBlock"/>
        <w:shd w:fill="F2F2F2"/>
      </w:pPr>
      <w:r>
        <w:rPr>
          <w:rFonts w:ascii="Cascadia Mono" w:hAnsi="Cascadia Mono"/>
          <w:sz w:val="17"/>
        </w:rPr>
        <w:t>C = H  UNION  A  UNION  S  UNION  B</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792"/>
            <w:shd w:fill="E7E7E7"/>
            <w:tcMar>
              <w:top w:w="65" w:type="dxa"/>
              <w:start w:w="75" w:type="dxa"/>
              <w:bottom w:w="65" w:type="dxa"/>
              <w:end w:w="75" w:type="dxa"/>
            </w:tcMar>
            <w:vAlign w:val="center"/>
          </w:tcPr>
          <w:p>
            <w:r>
              <w:rPr>
                <w:b/>
                <w:sz w:val="16"/>
              </w:rPr>
              <w:t>Symbol</w:t>
            </w:r>
          </w:p>
        </w:tc>
        <w:tc>
          <w:tcPr>
            <w:tcW w:type="dxa" w:w="3528"/>
            <w:shd w:fill="E7E7E7"/>
            <w:tcMar>
              <w:top w:w="65" w:type="dxa"/>
              <w:start w:w="75" w:type="dxa"/>
              <w:bottom w:w="65" w:type="dxa"/>
              <w:end w:w="75" w:type="dxa"/>
            </w:tcMar>
            <w:vAlign w:val="center"/>
          </w:tcPr>
          <w:p>
            <w:r>
              <w:rPr>
                <w:b/>
                <w:sz w:val="16"/>
              </w:rPr>
              <w:t>Module</w:t>
            </w:r>
          </w:p>
        </w:tc>
        <w:tc>
          <w:tcPr>
            <w:tcW w:type="dxa" w:w="5976"/>
            <w:shd w:fill="E7E7E7"/>
            <w:tcMar>
              <w:top w:w="65" w:type="dxa"/>
              <w:start w:w="75" w:type="dxa"/>
              <w:bottom w:w="65" w:type="dxa"/>
              <w:end w:w="75" w:type="dxa"/>
            </w:tcMar>
            <w:vAlign w:val="center"/>
          </w:tcPr>
          <w:p>
            <w:r>
              <w:rPr>
                <w:b/>
                <w:sz w:val="16"/>
              </w:rPr>
              <w:t>Primary function</w:t>
            </w:r>
          </w:p>
        </w:tc>
      </w:tr>
      <w:tr>
        <w:tc>
          <w:tcPr>
            <w:tcW w:type="dxa" w:w="792"/>
            <w:tcMar>
              <w:top w:w="65" w:type="dxa"/>
              <w:start w:w="75" w:type="dxa"/>
              <w:bottom w:w="65" w:type="dxa"/>
              <w:end w:w="75" w:type="dxa"/>
            </w:tcMar>
            <w:vAlign w:val="top"/>
          </w:tcPr>
          <w:p>
            <w:pPr>
              <w:spacing w:after="0"/>
            </w:pPr>
            <w:r>
              <w:rPr>
                <w:sz w:val="16"/>
              </w:rPr>
              <w:t>H</w:t>
            </w:r>
          </w:p>
        </w:tc>
        <w:tc>
          <w:tcPr>
            <w:tcW w:type="dxa" w:w="3528"/>
            <w:tcMar>
              <w:top w:w="65" w:type="dxa"/>
              <w:start w:w="75" w:type="dxa"/>
              <w:bottom w:w="65" w:type="dxa"/>
              <w:end w:w="75" w:type="dxa"/>
            </w:tcMar>
            <w:vAlign w:val="top"/>
          </w:tcPr>
          <w:p>
            <w:pPr>
              <w:spacing w:after="0"/>
            </w:pPr>
            <w:r>
              <w:rPr>
                <w:sz w:val="16"/>
              </w:rPr>
              <w:t>Hereditary high-priestly custodians</w:t>
            </w:r>
          </w:p>
        </w:tc>
        <w:tc>
          <w:tcPr>
            <w:tcW w:type="dxa" w:w="5976"/>
            <w:tcMar>
              <w:top w:w="65" w:type="dxa"/>
              <w:start w:w="75" w:type="dxa"/>
              <w:bottom w:w="65" w:type="dxa"/>
              <w:end w:w="75" w:type="dxa"/>
            </w:tcMar>
            <w:vAlign w:val="top"/>
          </w:tcPr>
          <w:p>
            <w:pPr>
              <w:spacing w:after="0"/>
            </w:pPr>
            <w:r>
              <w:rPr>
                <w:sz w:val="16"/>
              </w:rPr>
              <w:t>Ritual legitimacy, succession, high-priestly apex</w:t>
            </w:r>
          </w:p>
        </w:tc>
      </w:tr>
      <w:tr>
        <w:tc>
          <w:tcPr>
            <w:tcW w:type="dxa" w:w="792"/>
            <w:tcMar>
              <w:top w:w="65" w:type="dxa"/>
              <w:start w:w="75" w:type="dxa"/>
              <w:bottom w:w="65" w:type="dxa"/>
              <w:end w:w="75" w:type="dxa"/>
            </w:tcMar>
            <w:vAlign w:val="top"/>
          </w:tcPr>
          <w:p>
            <w:pPr>
              <w:spacing w:after="0"/>
            </w:pPr>
            <w:r>
              <w:rPr>
                <w:sz w:val="16"/>
              </w:rPr>
              <w:t>A</w:t>
            </w:r>
          </w:p>
        </w:tc>
        <w:tc>
          <w:tcPr>
            <w:tcW w:type="dxa" w:w="3528"/>
            <w:tcMar>
              <w:top w:w="65" w:type="dxa"/>
              <w:start w:w="75" w:type="dxa"/>
              <w:bottom w:w="65" w:type="dxa"/>
              <w:end w:w="75" w:type="dxa"/>
            </w:tcMar>
            <w:vAlign w:val="top"/>
          </w:tcPr>
          <w:p>
            <w:pPr>
              <w:spacing w:after="0"/>
            </w:pPr>
            <w:r>
              <w:rPr>
                <w:sz w:val="16"/>
              </w:rPr>
              <w:t>Temple administration / finance</w:t>
            </w:r>
          </w:p>
        </w:tc>
        <w:tc>
          <w:tcPr>
            <w:tcW w:type="dxa" w:w="5976"/>
            <w:tcMar>
              <w:top w:w="65" w:type="dxa"/>
              <w:start w:w="75" w:type="dxa"/>
              <w:bottom w:w="65" w:type="dxa"/>
              <w:end w:w="75" w:type="dxa"/>
            </w:tcMar>
            <w:vAlign w:val="top"/>
          </w:tcPr>
          <w:p>
            <w:pPr>
              <w:spacing w:after="0"/>
            </w:pPr>
            <w:r>
              <w:rPr>
                <w:sz w:val="16"/>
              </w:rPr>
              <w:t>Treasury, assets, market/administrative jurisdiction, records</w:t>
            </w:r>
          </w:p>
        </w:tc>
      </w:tr>
      <w:tr>
        <w:tc>
          <w:tcPr>
            <w:tcW w:type="dxa" w:w="792"/>
            <w:tcMar>
              <w:top w:w="65" w:type="dxa"/>
              <w:start w:w="75" w:type="dxa"/>
              <w:bottom w:w="65" w:type="dxa"/>
              <w:end w:w="75" w:type="dxa"/>
            </w:tcMar>
            <w:vAlign w:val="top"/>
          </w:tcPr>
          <w:p>
            <w:pPr>
              <w:spacing w:after="0"/>
            </w:pPr>
            <w:r>
              <w:rPr>
                <w:sz w:val="16"/>
              </w:rPr>
              <w:t>S</w:t>
            </w:r>
          </w:p>
        </w:tc>
        <w:tc>
          <w:tcPr>
            <w:tcW w:type="dxa" w:w="3528"/>
            <w:tcMar>
              <w:top w:w="65" w:type="dxa"/>
              <w:start w:w="75" w:type="dxa"/>
              <w:bottom w:w="65" w:type="dxa"/>
              <w:end w:w="75" w:type="dxa"/>
            </w:tcMar>
            <w:vAlign w:val="top"/>
          </w:tcPr>
          <w:p>
            <w:pPr>
              <w:spacing w:after="0"/>
            </w:pPr>
            <w:r>
              <w:rPr>
                <w:sz w:val="16"/>
              </w:rPr>
              <w:t>Elite scribal / technical specialists</w:t>
            </w:r>
          </w:p>
        </w:tc>
        <w:tc>
          <w:tcPr>
            <w:tcW w:type="dxa" w:w="5976"/>
            <w:tcMar>
              <w:top w:w="65" w:type="dxa"/>
              <w:start w:w="75" w:type="dxa"/>
              <w:bottom w:w="65" w:type="dxa"/>
              <w:end w:w="75" w:type="dxa"/>
            </w:tcMar>
            <w:vAlign w:val="top"/>
          </w:tcPr>
          <w:p>
            <w:pPr>
              <w:spacing w:after="0"/>
            </w:pPr>
            <w:r>
              <w:rPr>
                <w:sz w:val="16"/>
              </w:rPr>
              <w:t>Books, astronomy, calendar, metrology, legal/ritual interpretation</w:t>
            </w:r>
          </w:p>
        </w:tc>
      </w:tr>
      <w:tr>
        <w:tc>
          <w:tcPr>
            <w:tcW w:type="dxa" w:w="792"/>
            <w:tcMar>
              <w:top w:w="65" w:type="dxa"/>
              <w:start w:w="75" w:type="dxa"/>
              <w:bottom w:w="65" w:type="dxa"/>
              <w:end w:w="75" w:type="dxa"/>
            </w:tcMar>
            <w:vAlign w:val="top"/>
          </w:tcPr>
          <w:p>
            <w:pPr>
              <w:spacing w:after="0"/>
            </w:pPr>
            <w:r>
              <w:rPr>
                <w:sz w:val="16"/>
              </w:rPr>
              <w:t>B</w:t>
            </w:r>
          </w:p>
        </w:tc>
        <w:tc>
          <w:tcPr>
            <w:tcW w:type="dxa" w:w="3528"/>
            <w:tcMar>
              <w:top w:w="65" w:type="dxa"/>
              <w:start w:w="75" w:type="dxa"/>
              <w:bottom w:w="65" w:type="dxa"/>
              <w:end w:w="75" w:type="dxa"/>
            </w:tcMar>
            <w:vAlign w:val="top"/>
          </w:tcPr>
          <w:p>
            <w:pPr>
              <w:spacing w:after="0"/>
            </w:pPr>
            <w:r>
              <w:rPr>
                <w:sz w:val="16"/>
              </w:rPr>
              <w:t>Imperial / financial brokers</w:t>
            </w:r>
          </w:p>
        </w:tc>
        <w:tc>
          <w:tcPr>
            <w:tcW w:type="dxa" w:w="5976"/>
            <w:tcMar>
              <w:top w:w="65" w:type="dxa"/>
              <w:start w:w="75" w:type="dxa"/>
              <w:bottom w:w="65" w:type="dxa"/>
              <w:end w:w="75" w:type="dxa"/>
            </w:tcMar>
            <w:vAlign w:val="top"/>
          </w:tcPr>
          <w:p>
            <w:pPr>
              <w:spacing w:after="0"/>
            </w:pPr>
            <w:r>
              <w:rPr>
                <w:sz w:val="16"/>
              </w:rPr>
              <w:t>Court access, taxation, foreign administration, diplomacy, finance</w:t>
            </w:r>
          </w:p>
        </w:tc>
      </w:tr>
    </w:tbl>
    <w:p>
      <w:pPr>
        <w:spacing w:after="0"/>
      </w:pPr>
    </w:p>
    <w:p>
      <w:pPr>
        <w:pStyle w:val="ArchitectureBlock"/>
        <w:pBdr>
          <w:left w:val="single" w:sz="8" w:space="6" w:color="8A8A8A"/>
        </w:pBdr>
      </w:pPr>
      <w:r>
        <w:t>Evidence favors an overlapping, competitive elite ecosystem over a single omnipotent centralized organization. The system can be highly coordinated at interfaces while houses compete for office, money, legitimacy, and imperial patronage.</w:t>
      </w:r>
    </w:p>
    <w:p>
      <w:pPr>
        <w:pStyle w:val="Heading2"/>
      </w:pPr>
      <w:r>
        <w:t>8.2 The four shops</w:t>
      </w:r>
    </w:p>
    <w:tbl>
      <w:tblPr>
        <w:tblStyle w:val="TableGrid"/>
        <w:tblW w:type="auto" w:w="0"/>
        <w:jc w:val="center"/>
        <w:tblLayout w:type="autofit"/>
        <w:tblLook w:firstColumn="1" w:firstRow="1" w:lastColumn="0" w:lastRow="0" w:noHBand="0" w:noVBand="1" w:val="04A0"/>
      </w:tblPr>
      <w:tblGrid>
        <w:gridCol w:w="5083"/>
        <w:gridCol w:w="5083"/>
      </w:tblGrid>
      <w:tr>
        <w:tc>
          <w:tcPr>
            <w:tcW w:type="dxa" w:w="2232"/>
            <w:shd w:fill="E7E7E7"/>
            <w:tcMar>
              <w:top w:w="65" w:type="dxa"/>
              <w:start w:w="75" w:type="dxa"/>
              <w:bottom w:w="65" w:type="dxa"/>
              <w:end w:w="75" w:type="dxa"/>
            </w:tcMar>
            <w:vAlign w:val="center"/>
          </w:tcPr>
          <w:p>
            <w:r>
              <w:rPr>
                <w:b/>
                <w:sz w:val="16"/>
              </w:rPr>
              <w:t>Shop / house</w:t>
            </w:r>
          </w:p>
        </w:tc>
        <w:tc>
          <w:tcPr>
            <w:tcW w:type="dxa" w:w="7992"/>
            <w:shd w:fill="E7E7E7"/>
            <w:tcMar>
              <w:top w:w="65" w:type="dxa"/>
              <w:start w:w="75" w:type="dxa"/>
              <w:bottom w:w="65" w:type="dxa"/>
              <w:end w:w="75" w:type="dxa"/>
            </w:tcMar>
            <w:vAlign w:val="center"/>
          </w:tcPr>
          <w:p>
            <w:r>
              <w:rPr>
                <w:b/>
                <w:sz w:val="16"/>
              </w:rPr>
              <w:t>Architecture</w:t>
            </w:r>
          </w:p>
        </w:tc>
      </w:tr>
      <w:tr>
        <w:tc>
          <w:tcPr>
            <w:tcW w:type="dxa" w:w="2232"/>
            <w:tcMar>
              <w:top w:w="65" w:type="dxa"/>
              <w:start w:w="75" w:type="dxa"/>
              <w:bottom w:w="65" w:type="dxa"/>
              <w:end w:w="75" w:type="dxa"/>
            </w:tcMar>
            <w:vAlign w:val="top"/>
          </w:tcPr>
          <w:p>
            <w:pPr>
              <w:spacing w:after="0"/>
            </w:pPr>
            <w:r>
              <w:rPr>
                <w:sz w:val="16"/>
              </w:rPr>
              <w:t>Oniads</w:t>
            </w:r>
          </w:p>
        </w:tc>
        <w:tc>
          <w:tcPr>
            <w:tcW w:type="dxa" w:w="7992"/>
            <w:tcMar>
              <w:top w:w="65" w:type="dxa"/>
              <w:start w:w="75" w:type="dxa"/>
              <w:bottom w:w="65" w:type="dxa"/>
              <w:end w:w="75" w:type="dxa"/>
            </w:tcMar>
            <w:vAlign w:val="top"/>
          </w:tcPr>
          <w:p>
            <w:pPr>
              <w:spacing w:after="0"/>
            </w:pPr>
            <w:r>
              <w:rPr>
                <w:sz w:val="16"/>
              </w:rPr>
              <w:t>Ritual legitimacy + hereditary high-priestly succession.</w:t>
            </w:r>
          </w:p>
        </w:tc>
      </w:tr>
      <w:tr>
        <w:tc>
          <w:tcPr>
            <w:tcW w:type="dxa" w:w="2232"/>
            <w:tcMar>
              <w:top w:w="65" w:type="dxa"/>
              <w:start w:w="75" w:type="dxa"/>
              <w:bottom w:w="65" w:type="dxa"/>
              <w:end w:w="75" w:type="dxa"/>
            </w:tcMar>
            <w:vAlign w:val="top"/>
          </w:tcPr>
          <w:p>
            <w:pPr>
              <w:spacing w:after="0"/>
            </w:pPr>
            <w:r>
              <w:rPr>
                <w:sz w:val="16"/>
              </w:rPr>
              <w:t>Hakkoz / Accos</w:t>
            </w:r>
          </w:p>
        </w:tc>
        <w:tc>
          <w:tcPr>
            <w:tcW w:type="dxa" w:w="7992"/>
            <w:tcMar>
              <w:top w:w="65" w:type="dxa"/>
              <w:start w:w="75" w:type="dxa"/>
              <w:bottom w:w="65" w:type="dxa"/>
              <w:end w:w="75" w:type="dxa"/>
            </w:tcMar>
            <w:vAlign w:val="top"/>
          </w:tcPr>
          <w:p>
            <w:pPr>
              <w:spacing w:after="0"/>
            </w:pPr>
            <w:r>
              <w:rPr>
                <w:sz w:val="16"/>
              </w:rPr>
              <w:t>Secondary priesthood + Temple custody/administration + royal mediation + later literary/diplomatic production.</w:t>
            </w:r>
          </w:p>
        </w:tc>
      </w:tr>
      <w:tr>
        <w:tc>
          <w:tcPr>
            <w:tcW w:type="dxa" w:w="2232"/>
            <w:tcMar>
              <w:top w:w="65" w:type="dxa"/>
              <w:start w:w="75" w:type="dxa"/>
              <w:bottom w:w="65" w:type="dxa"/>
              <w:end w:w="75" w:type="dxa"/>
            </w:tcMar>
            <w:vAlign w:val="top"/>
          </w:tcPr>
          <w:p>
            <w:pPr>
              <w:spacing w:after="0"/>
            </w:pPr>
            <w:r>
              <w:rPr>
                <w:sz w:val="16"/>
              </w:rPr>
              <w:t>Tobiads</w:t>
            </w:r>
          </w:p>
        </w:tc>
        <w:tc>
          <w:tcPr>
            <w:tcW w:type="dxa" w:w="7992"/>
            <w:tcMar>
              <w:top w:w="65" w:type="dxa"/>
              <w:start w:w="75" w:type="dxa"/>
              <w:bottom w:w="65" w:type="dxa"/>
              <w:end w:w="75" w:type="dxa"/>
            </w:tcMar>
            <w:vAlign w:val="top"/>
          </w:tcPr>
          <w:p>
            <w:pPr>
              <w:spacing w:after="0"/>
            </w:pPr>
            <w:r>
              <w:rPr>
                <w:sz w:val="16"/>
              </w:rPr>
              <w:t>Finance + taxation + court brokerage + aristocratic intermarriage / external imperial access.</w:t>
            </w:r>
          </w:p>
        </w:tc>
      </w:tr>
      <w:tr>
        <w:tc>
          <w:tcPr>
            <w:tcW w:type="dxa" w:w="2232"/>
            <w:tcMar>
              <w:top w:w="65" w:type="dxa"/>
              <w:start w:w="75" w:type="dxa"/>
              <w:bottom w:w="65" w:type="dxa"/>
              <w:end w:w="75" w:type="dxa"/>
            </w:tcMar>
            <w:vAlign w:val="top"/>
          </w:tcPr>
          <w:p>
            <w:pPr>
              <w:spacing w:after="0"/>
            </w:pPr>
            <w:r>
              <w:rPr>
                <w:sz w:val="16"/>
              </w:rPr>
              <w:t>S (scribal labor pool)</w:t>
            </w:r>
          </w:p>
        </w:tc>
        <w:tc>
          <w:tcPr>
            <w:tcW w:type="dxa" w:w="7992"/>
            <w:tcMar>
              <w:top w:w="65" w:type="dxa"/>
              <w:start w:w="75" w:type="dxa"/>
              <w:bottom w:w="65" w:type="dxa"/>
              <w:end w:w="75" w:type="dxa"/>
            </w:tcMar>
            <w:vAlign w:val="top"/>
          </w:tcPr>
          <w:p>
            <w:pPr>
              <w:spacing w:after="0"/>
            </w:pPr>
            <w:r>
              <w:rPr>
                <w:sz w:val="16"/>
              </w:rPr>
              <w:t>Priestly-heavy literate labor + Temple/royal administrative mobility + technical knowledge production.</w:t>
            </w:r>
          </w:p>
        </w:tc>
      </w:tr>
    </w:tbl>
    <w:p>
      <w:pPr>
        <w:spacing w:after="0"/>
      </w:pPr>
    </w:p>
    <w:p>
      <w:pPr>
        <w:pStyle w:val="Heading2"/>
      </w:pPr>
      <w:r>
        <w:t>8.3 Simon II convergence window</w:t>
      </w:r>
    </w:p>
    <w:p>
      <w:pPr>
        <w:pStyle w:val="EquationBlock"/>
        <w:shd w:fill="F2F2F2"/>
      </w:pPr>
      <w:r>
        <w:rPr>
          <w:rFonts w:ascii="Cascadia Mono" w:hAnsi="Cascadia Mono"/>
          <w:sz w:val="17"/>
        </w:rPr>
        <w:t>Oniad house &lt;-&gt; Temple scribal/educational infrastructure &lt;-&gt; technical priestly + astronomical literature</w:t>
      </w:r>
    </w:p>
    <w:p>
      <w:pPr>
        <w:pStyle w:val="EquationBlock"/>
        <w:shd w:fill="F2F2F2"/>
      </w:pPr>
      <w:r>
        <w:rPr>
          <w:rFonts w:ascii="Cascadia Mono" w:hAnsi="Cascadia Mono"/>
          <w:sz w:val="17"/>
        </w:rPr>
        <w:t>Tobiad brokers &lt;-&gt; Ptolemaic court/finance &lt;-&gt; Jerusalem aristocracy</w:t>
      </w:r>
    </w:p>
    <w:p>
      <w:pPr>
        <w:pStyle w:val="EquationBlock"/>
        <w:shd w:fill="F2F2F2"/>
      </w:pPr>
      <w:r>
        <w:rPr>
          <w:rFonts w:ascii="Cascadia Mono" w:hAnsi="Cascadia Mono"/>
          <w:sz w:val="17"/>
        </w:rPr>
        <w:t>Oniad household ? anonymous Enochic/Levi scribes</w:t>
      </w:r>
    </w:p>
    <w:p>
      <w:pPr>
        <w:pStyle w:val="ArchitectureBlock"/>
        <w:pBdr>
          <w:left w:val="single" w:sz="8" w:space="6" w:color="8A8A8A"/>
        </w:pBdr>
      </w:pPr>
      <w:r>
        <w:t>The dense window around Simon II places hereditary high priesthood, elite scribal pedagogy, early Enochic/Levitical technical literature, Temple education/archive functions, and Ptolemaic/Tobiad brokerage in the same broad Jerusalem ecology. The unresolved edge is patronage/training/personnel between the named establishment and anonymous technical scribes.</w:t>
      </w:r>
    </w:p>
    <w:p>
      <w:pPr>
        <w:pStyle w:val="Heading2"/>
      </w:pPr>
      <w:r>
        <w:t>8.4 Hakkoz longitudinal vector</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096"/>
            <w:shd w:fill="E7E7E7"/>
            <w:tcMar>
              <w:top w:w="65" w:type="dxa"/>
              <w:start w:w="75" w:type="dxa"/>
              <w:bottom w:w="65" w:type="dxa"/>
              <w:end w:w="75" w:type="dxa"/>
            </w:tcMar>
            <w:vAlign w:val="center"/>
          </w:tcPr>
          <w:p>
            <w:r>
              <w:rPr>
                <w:b/>
                <w:sz w:val="15"/>
              </w:rPr>
              <w:t>Period / person</w:t>
            </w:r>
          </w:p>
        </w:tc>
        <w:tc>
          <w:tcPr>
            <w:tcW w:type="dxa" w:w="4968"/>
            <w:shd w:fill="E7E7E7"/>
            <w:tcMar>
              <w:top w:w="65" w:type="dxa"/>
              <w:start w:w="75" w:type="dxa"/>
              <w:bottom w:w="65" w:type="dxa"/>
              <w:end w:w="75" w:type="dxa"/>
            </w:tcMar>
            <w:vAlign w:val="center"/>
          </w:tcPr>
          <w:p>
            <w:r>
              <w:rPr>
                <w:b/>
                <w:sz w:val="15"/>
              </w:rPr>
              <w:t>House function</w:t>
            </w:r>
          </w:p>
        </w:tc>
        <w:tc>
          <w:tcPr>
            <w:tcW w:type="dxa" w:w="2232"/>
            <w:shd w:fill="E7E7E7"/>
            <w:tcMar>
              <w:top w:w="65" w:type="dxa"/>
              <w:start w:w="75" w:type="dxa"/>
              <w:bottom w:w="65" w:type="dxa"/>
              <w:end w:w="75" w:type="dxa"/>
            </w:tcMar>
            <w:vAlign w:val="center"/>
          </w:tcPr>
          <w:p>
            <w:r>
              <w:rPr>
                <w:b/>
                <w:sz w:val="15"/>
              </w:rPr>
              <w:t>Boundary</w:t>
            </w:r>
          </w:p>
        </w:tc>
      </w:tr>
      <w:tr>
        <w:tc>
          <w:tcPr>
            <w:tcW w:type="dxa" w:w="3096"/>
            <w:tcMar>
              <w:top w:w="65" w:type="dxa"/>
              <w:start w:w="75" w:type="dxa"/>
              <w:bottom w:w="65" w:type="dxa"/>
              <w:end w:w="75" w:type="dxa"/>
            </w:tcMar>
            <w:vAlign w:val="top"/>
          </w:tcPr>
          <w:p>
            <w:pPr>
              <w:spacing w:after="0"/>
            </w:pPr>
            <w:r>
              <w:rPr>
                <w:sz w:val="15"/>
              </w:rPr>
              <w:t>Persian: Meremoth son of Uriah son of Hakkoz</w:t>
            </w:r>
          </w:p>
        </w:tc>
        <w:tc>
          <w:tcPr>
            <w:tcW w:type="dxa" w:w="4968"/>
            <w:tcMar>
              <w:top w:w="65" w:type="dxa"/>
              <w:start w:w="75" w:type="dxa"/>
              <w:bottom w:w="65" w:type="dxa"/>
              <w:end w:w="75" w:type="dxa"/>
            </w:tcMar>
            <w:vAlign w:val="top"/>
          </w:tcPr>
          <w:p>
            <w:pPr>
              <w:spacing w:after="0"/>
            </w:pPr>
            <w:r>
              <w:rPr>
                <w:sz w:val="15"/>
              </w:rPr>
              <w:t>Priest + Temple silver/gold/sacred-vessel custody; administrative/public-works proximity</w:t>
            </w:r>
          </w:p>
        </w:tc>
        <w:tc>
          <w:tcPr>
            <w:tcW w:type="dxa" w:w="2232"/>
            <w:tcMar>
              <w:top w:w="65" w:type="dxa"/>
              <w:start w:w="75" w:type="dxa"/>
              <w:bottom w:w="65" w:type="dxa"/>
              <w:end w:w="75" w:type="dxa"/>
            </w:tcMar>
            <w:vAlign w:val="top"/>
          </w:tcPr>
          <w:p>
            <w:pPr>
              <w:spacing w:after="0"/>
            </w:pPr>
            <w:r>
              <w:rPr>
                <w:sz w:val="15"/>
              </w:rPr>
              <w:t>Not called a scribe</w:t>
            </w:r>
          </w:p>
        </w:tc>
      </w:tr>
      <w:tr>
        <w:tc>
          <w:tcPr>
            <w:tcW w:type="dxa" w:w="3096"/>
            <w:tcMar>
              <w:top w:w="65" w:type="dxa"/>
              <w:start w:w="75" w:type="dxa"/>
              <w:bottom w:w="65" w:type="dxa"/>
              <w:end w:w="75" w:type="dxa"/>
            </w:tcMar>
            <w:vAlign w:val="top"/>
          </w:tcPr>
          <w:p>
            <w:pPr>
              <w:spacing w:after="0"/>
            </w:pPr>
            <w:r>
              <w:rPr>
                <w:sz w:val="15"/>
              </w:rPr>
              <w:t>Seleucid transition: John/Johanan of Hakkoz</w:t>
            </w:r>
          </w:p>
        </w:tc>
        <w:tc>
          <w:tcPr>
            <w:tcW w:type="dxa" w:w="4968"/>
            <w:tcMar>
              <w:top w:w="65" w:type="dxa"/>
              <w:start w:w="75" w:type="dxa"/>
              <w:bottom w:w="65" w:type="dxa"/>
              <w:end w:w="75" w:type="dxa"/>
            </w:tcMar>
            <w:vAlign w:val="top"/>
          </w:tcPr>
          <w:p>
            <w:pPr>
              <w:spacing w:after="0"/>
            </w:pPr>
            <w:r>
              <w:rPr>
                <w:sz w:val="15"/>
              </w:rPr>
              <w:t>Priestly-house identity + royal mediation / privileges</w:t>
            </w:r>
          </w:p>
        </w:tc>
        <w:tc>
          <w:tcPr>
            <w:tcW w:type="dxa" w:w="2232"/>
            <w:tcMar>
              <w:top w:w="65" w:type="dxa"/>
              <w:start w:w="75" w:type="dxa"/>
              <w:bottom w:w="65" w:type="dxa"/>
              <w:end w:w="75" w:type="dxa"/>
            </w:tcMar>
            <w:vAlign w:val="top"/>
          </w:tcPr>
          <w:p>
            <w:pPr>
              <w:spacing w:after="0"/>
            </w:pPr>
            <w:r>
              <w:rPr>
                <w:sz w:val="15"/>
              </w:rPr>
              <w:t>No direct Enochic tie</w:t>
            </w:r>
          </w:p>
        </w:tc>
      </w:tr>
      <w:tr>
        <w:tc>
          <w:tcPr>
            <w:tcW w:type="dxa" w:w="3096"/>
            <w:tcMar>
              <w:top w:w="65" w:type="dxa"/>
              <w:start w:w="75" w:type="dxa"/>
              <w:bottom w:w="65" w:type="dxa"/>
              <w:end w:w="75" w:type="dxa"/>
            </w:tcMar>
            <w:vAlign w:val="top"/>
          </w:tcPr>
          <w:p>
            <w:pPr>
              <w:spacing w:after="0"/>
            </w:pPr>
            <w:r>
              <w:rPr>
                <w:sz w:val="15"/>
              </w:rPr>
              <w:t>Maccabean: Eupolemus son of John</w:t>
            </w:r>
          </w:p>
        </w:tc>
        <w:tc>
          <w:tcPr>
            <w:tcW w:type="dxa" w:w="4968"/>
            <w:tcMar>
              <w:top w:w="65" w:type="dxa"/>
              <w:start w:w="75" w:type="dxa"/>
              <w:bottom w:w="65" w:type="dxa"/>
              <w:end w:w="75" w:type="dxa"/>
            </w:tcMar>
            <w:vAlign w:val="top"/>
          </w:tcPr>
          <w:p>
            <w:pPr>
              <w:spacing w:after="0"/>
            </w:pPr>
            <w:r>
              <w:rPr>
                <w:sz w:val="15"/>
              </w:rPr>
              <w:t>Diplomacy + probable historiography + multilingual elite production</w:t>
            </w:r>
          </w:p>
        </w:tc>
        <w:tc>
          <w:tcPr>
            <w:tcW w:type="dxa" w:w="2232"/>
            <w:tcMar>
              <w:top w:w="65" w:type="dxa"/>
              <w:start w:w="75" w:type="dxa"/>
              <w:bottom w:w="65" w:type="dxa"/>
              <w:end w:w="75" w:type="dxa"/>
            </w:tcMar>
            <w:vAlign w:val="top"/>
          </w:tcPr>
          <w:p>
            <w:pPr>
              <w:spacing w:after="0"/>
            </w:pPr>
            <w:r>
              <w:rPr>
                <w:sz w:val="15"/>
              </w:rPr>
              <w:t>Historian identification/reconstruction should remain qualified</w:t>
            </w:r>
          </w:p>
        </w:tc>
      </w:tr>
    </w:tbl>
    <w:p>
      <w:pPr>
        <w:spacing w:after="0"/>
      </w:pPr>
    </w:p>
    <w:p>
      <w:pPr>
        <w:pStyle w:val="EquationBlock"/>
        <w:shd w:fill="F2F2F2"/>
      </w:pPr>
      <w:r>
        <w:rPr>
          <w:rFonts w:ascii="Cascadia Mono" w:hAnsi="Cascadia Mono"/>
          <w:sz w:val="17"/>
        </w:rPr>
        <w:t>K(t) = (P, $, A) -&gt; (P, B) -&gt; (P, B, L)</w:t>
      </w:r>
    </w:p>
    <w:p>
      <w:pPr>
        <w:pStyle w:val="ArchitectureBlock"/>
        <w:pBdr>
          <w:left w:val="single" w:sz="8" w:space="6" w:color="8A8A8A"/>
        </w:pBdr>
      </w:pPr>
      <w:r>
        <w:t>Different individuals, generations, and imperial regimes; the interface phenotype recurs. Hakkoz therefore becomes a demonstrated multiplex priestly house, not proof of the Timekeeper school itself.</w:t>
      </w:r>
    </w:p>
    <w:p>
      <w:pPr>
        <w:pStyle w:val="EquationBlock"/>
        <w:shd w:fill="F2F2F2"/>
      </w:pPr>
      <w:r>
        <w:rPr>
          <w:rFonts w:ascii="Cascadia Mono" w:hAnsi="Cascadia Mono"/>
          <w:sz w:val="17"/>
        </w:rPr>
        <w:t>K  INTERSECT  S = {priestly environment, institutional custody, elite literacy/administrative competence, intergenerational transmission}</w:t>
      </w:r>
    </w:p>
    <w:p>
      <w:pPr>
        <w:pStyle w:val="ArchitectureBlock"/>
        <w:pBdr>
          <w:left w:val="single" w:sz="8" w:space="6" w:color="8A8A8A"/>
        </w:pBdr>
      </w:pPr>
      <w:r>
        <w:t>The missing cell is one named body carrying both Hakkoz house identity and the technical-scribal labor.</w:t>
      </w:r>
    </w:p>
    <w:p>
      <w:pPr>
        <w:pStyle w:val="Heading2"/>
      </w:pPr>
      <w:r>
        <w:t>8.5 Genealogy as credentialing infrastructure</w:t>
      </w:r>
    </w:p>
    <w:p>
      <w:pPr>
        <w:pStyle w:val="EquationBlock"/>
        <w:shd w:fill="F2F2F2"/>
      </w:pPr>
      <w:r>
        <w:rPr>
          <w:rFonts w:ascii="Cascadia Mono" w:hAnsi="Cascadia Mono"/>
          <w:sz w:val="17"/>
        </w:rPr>
        <w:t>claimed priestly descent -&gt; genealogical verification problem -&gt; recognized priestly operation -&gt; Temple asset custody</w:t>
      </w:r>
    </w:p>
    <w:p>
      <w:pPr>
        <w:pStyle w:val="ArchitectureBlock"/>
        <w:pBdr>
          <w:left w:val="single" w:sz="8" w:space="6" w:color="8A8A8A"/>
        </w:pBdr>
      </w:pPr>
      <w:r>
        <w:t>The Hakkoz return tradition preserves a credential problem: priestly privileges depend on recoverable genealogy/archives. The right to occupy the priestly function is therefore partly an information-management problem.</w:t>
      </w:r>
    </w:p>
    <w:p>
      <w:pPr>
        <w:pStyle w:val="Heading2"/>
      </w:pPr>
      <w:r>
        <w:t>8.6 Named bridge register</w:t>
      </w:r>
    </w:p>
    <w:tbl>
      <w:tblPr>
        <w:tblStyle w:val="TableGrid"/>
        <w:tblW w:type="auto" w:w="0"/>
        <w:jc w:val="center"/>
        <w:tblLayout w:type="autofit"/>
        <w:tblLook w:firstColumn="1" w:firstRow="1" w:lastColumn="0" w:lastRow="0" w:noHBand="0" w:noVBand="1" w:val="04A0"/>
      </w:tblPr>
      <w:tblGrid>
        <w:gridCol w:w="5083"/>
        <w:gridCol w:w="5083"/>
      </w:tblGrid>
      <w:tr>
        <w:tc>
          <w:tcPr>
            <w:tcW w:type="dxa" w:w="2592"/>
            <w:shd w:fill="E7E7E7"/>
            <w:tcMar>
              <w:top w:w="65" w:type="dxa"/>
              <w:start w:w="75" w:type="dxa"/>
              <w:bottom w:w="65" w:type="dxa"/>
              <w:end w:w="75" w:type="dxa"/>
            </w:tcMar>
            <w:vAlign w:val="center"/>
          </w:tcPr>
          <w:p>
            <w:r>
              <w:rPr>
                <w:b/>
                <w:sz w:val="16"/>
              </w:rPr>
              <w:t>Node / house</w:t>
            </w:r>
          </w:p>
        </w:tc>
        <w:tc>
          <w:tcPr>
            <w:tcW w:type="dxa" w:w="7632"/>
            <w:shd w:fill="E7E7E7"/>
            <w:tcMar>
              <w:top w:w="65" w:type="dxa"/>
              <w:start w:w="75" w:type="dxa"/>
              <w:bottom w:w="65" w:type="dxa"/>
              <w:end w:w="75" w:type="dxa"/>
            </w:tcMar>
            <w:vAlign w:val="center"/>
          </w:tcPr>
          <w:p>
            <w:r>
              <w:rPr>
                <w:b/>
                <w:sz w:val="16"/>
              </w:rPr>
              <w:t>Primary geometry</w:t>
            </w:r>
          </w:p>
        </w:tc>
      </w:tr>
      <w:tr>
        <w:tc>
          <w:tcPr>
            <w:tcW w:type="dxa" w:w="2592"/>
            <w:tcMar>
              <w:top w:w="65" w:type="dxa"/>
              <w:start w:w="75" w:type="dxa"/>
              <w:bottom w:w="65" w:type="dxa"/>
              <w:end w:w="75" w:type="dxa"/>
            </w:tcMar>
            <w:vAlign w:val="top"/>
          </w:tcPr>
          <w:p>
            <w:pPr>
              <w:spacing w:after="0"/>
            </w:pPr>
            <w:r>
              <w:rPr>
                <w:sz w:val="16"/>
              </w:rPr>
              <w:t>Oniads</w:t>
            </w:r>
          </w:p>
        </w:tc>
        <w:tc>
          <w:tcPr>
            <w:tcW w:type="dxa" w:w="7632"/>
            <w:tcMar>
              <w:top w:w="65" w:type="dxa"/>
              <w:start w:w="75" w:type="dxa"/>
              <w:bottom w:w="65" w:type="dxa"/>
              <w:end w:w="75" w:type="dxa"/>
            </w:tcMar>
            <w:vAlign w:val="top"/>
          </w:tcPr>
          <w:p>
            <w:pPr>
              <w:spacing w:after="0"/>
            </w:pPr>
            <w:r>
              <w:rPr>
                <w:sz w:val="16"/>
              </w:rPr>
              <w:t>Hereditary custody; Temple legitimacy; succession.</w:t>
            </w:r>
          </w:p>
        </w:tc>
      </w:tr>
      <w:tr>
        <w:tc>
          <w:tcPr>
            <w:tcW w:type="dxa" w:w="2592"/>
            <w:tcMar>
              <w:top w:w="65" w:type="dxa"/>
              <w:start w:w="75" w:type="dxa"/>
              <w:bottom w:w="65" w:type="dxa"/>
              <w:end w:w="75" w:type="dxa"/>
            </w:tcMar>
            <w:vAlign w:val="top"/>
          </w:tcPr>
          <w:p>
            <w:pPr>
              <w:spacing w:after="0"/>
            </w:pPr>
            <w:r>
              <w:rPr>
                <w:sz w:val="16"/>
              </w:rPr>
              <w:t>Hakkoz / Accos</w:t>
            </w:r>
          </w:p>
        </w:tc>
        <w:tc>
          <w:tcPr>
            <w:tcW w:type="dxa" w:w="7632"/>
            <w:tcMar>
              <w:top w:w="65" w:type="dxa"/>
              <w:start w:w="75" w:type="dxa"/>
              <w:bottom w:w="65" w:type="dxa"/>
              <w:end w:w="75" w:type="dxa"/>
            </w:tcMar>
            <w:vAlign w:val="top"/>
          </w:tcPr>
          <w:p>
            <w:pPr>
              <w:spacing w:after="0"/>
            </w:pPr>
            <w:r>
              <w:rPr>
                <w:sz w:val="16"/>
              </w:rPr>
              <w:t>Priesthood; administration/custody; royal mediation; diplomacy; literary/intellectual production.</w:t>
            </w:r>
          </w:p>
        </w:tc>
      </w:tr>
      <w:tr>
        <w:tc>
          <w:tcPr>
            <w:tcW w:type="dxa" w:w="2592"/>
            <w:tcMar>
              <w:top w:w="65" w:type="dxa"/>
              <w:start w:w="75" w:type="dxa"/>
              <w:bottom w:w="65" w:type="dxa"/>
              <w:end w:w="75" w:type="dxa"/>
            </w:tcMar>
            <w:vAlign w:val="top"/>
          </w:tcPr>
          <w:p>
            <w:pPr>
              <w:spacing w:after="0"/>
            </w:pPr>
            <w:r>
              <w:rPr>
                <w:sz w:val="16"/>
              </w:rPr>
              <w:t>Tobiads</w:t>
            </w:r>
          </w:p>
        </w:tc>
        <w:tc>
          <w:tcPr>
            <w:tcW w:type="dxa" w:w="7632"/>
            <w:tcMar>
              <w:top w:w="65" w:type="dxa"/>
              <w:start w:w="75" w:type="dxa"/>
              <w:bottom w:w="65" w:type="dxa"/>
              <w:end w:w="75" w:type="dxa"/>
            </w:tcMar>
            <w:vAlign w:val="top"/>
          </w:tcPr>
          <w:p>
            <w:pPr>
              <w:spacing w:after="0"/>
            </w:pPr>
            <w:r>
              <w:rPr>
                <w:sz w:val="16"/>
              </w:rPr>
              <w:t>Aristocratic kinship; finance; taxation; Ptolemaic court brokerage.</w:t>
            </w:r>
          </w:p>
        </w:tc>
      </w:tr>
      <w:tr>
        <w:tc>
          <w:tcPr>
            <w:tcW w:type="dxa" w:w="2592"/>
            <w:tcMar>
              <w:top w:w="65" w:type="dxa"/>
              <w:start w:w="75" w:type="dxa"/>
              <w:bottom w:w="65" w:type="dxa"/>
              <w:end w:w="75" w:type="dxa"/>
            </w:tcMar>
            <w:vAlign w:val="top"/>
          </w:tcPr>
          <w:p>
            <w:pPr>
              <w:spacing w:after="0"/>
            </w:pPr>
            <w:r>
              <w:rPr>
                <w:sz w:val="16"/>
              </w:rPr>
              <w:t>Simon / Menelaus faction</w:t>
            </w:r>
          </w:p>
        </w:tc>
        <w:tc>
          <w:tcPr>
            <w:tcW w:type="dxa" w:w="7632"/>
            <w:tcMar>
              <w:top w:w="65" w:type="dxa"/>
              <w:start w:w="75" w:type="dxa"/>
              <w:bottom w:w="65" w:type="dxa"/>
              <w:end w:w="75" w:type="dxa"/>
            </w:tcMar>
            <w:vAlign w:val="top"/>
          </w:tcPr>
          <w:p>
            <w:pPr>
              <w:spacing w:after="0"/>
            </w:pPr>
            <w:r>
              <w:rPr>
                <w:sz w:val="16"/>
              </w:rPr>
              <w:t>Temple administration/finance; imperial access; high-priestly displacement.</w:t>
            </w:r>
          </w:p>
        </w:tc>
      </w:tr>
      <w:tr>
        <w:tc>
          <w:tcPr>
            <w:tcW w:type="dxa" w:w="2592"/>
            <w:tcMar>
              <w:top w:w="65" w:type="dxa"/>
              <w:start w:w="75" w:type="dxa"/>
              <w:bottom w:w="65" w:type="dxa"/>
              <w:end w:w="75" w:type="dxa"/>
            </w:tcMar>
            <w:vAlign w:val="top"/>
          </w:tcPr>
          <w:p>
            <w:pPr>
              <w:spacing w:after="0"/>
            </w:pPr>
            <w:r>
              <w:rPr>
                <w:sz w:val="16"/>
              </w:rPr>
              <w:t>Ben Sira</w:t>
            </w:r>
          </w:p>
        </w:tc>
        <w:tc>
          <w:tcPr>
            <w:tcW w:type="dxa" w:w="7632"/>
            <w:tcMar>
              <w:top w:w="65" w:type="dxa"/>
              <w:start w:w="75" w:type="dxa"/>
              <w:bottom w:w="65" w:type="dxa"/>
              <w:end w:w="75" w:type="dxa"/>
            </w:tcMar>
            <w:vAlign w:val="top"/>
          </w:tcPr>
          <w:p>
            <w:pPr>
              <w:spacing w:after="0"/>
            </w:pPr>
            <w:r>
              <w:rPr>
                <w:sz w:val="16"/>
              </w:rPr>
              <w:t>Named establishment intellectual; priestly/high-priestly proximity; elite pedagogy.</w:t>
            </w:r>
          </w:p>
        </w:tc>
      </w:tr>
      <w:tr>
        <w:tc>
          <w:tcPr>
            <w:tcW w:type="dxa" w:w="2592"/>
            <w:tcMar>
              <w:top w:w="65" w:type="dxa"/>
              <w:start w:w="75" w:type="dxa"/>
              <w:bottom w:w="65" w:type="dxa"/>
              <w:end w:w="75" w:type="dxa"/>
            </w:tcMar>
            <w:vAlign w:val="top"/>
          </w:tcPr>
          <w:p>
            <w:pPr>
              <w:spacing w:after="0"/>
            </w:pPr>
            <w:r>
              <w:rPr>
                <w:sz w:val="16"/>
              </w:rPr>
              <w:t>Anonymous technical scribes</w:t>
            </w:r>
          </w:p>
        </w:tc>
        <w:tc>
          <w:tcPr>
            <w:tcW w:type="dxa" w:w="7632"/>
            <w:tcMar>
              <w:top w:w="65" w:type="dxa"/>
              <w:start w:w="75" w:type="dxa"/>
              <w:bottom w:w="65" w:type="dxa"/>
              <w:end w:w="75" w:type="dxa"/>
            </w:tcMar>
            <w:vAlign w:val="top"/>
          </w:tcPr>
          <w:p>
            <w:pPr>
              <w:spacing w:after="0"/>
            </w:pPr>
            <w:r>
              <w:rPr>
                <w:sz w:val="16"/>
              </w:rPr>
              <w:t>Astronomy; ritual measurement; ancestral transmission; calendar.</w:t>
            </w:r>
          </w:p>
        </w:tc>
      </w:tr>
      <w:tr>
        <w:tc>
          <w:tcPr>
            <w:tcW w:type="dxa" w:w="2592"/>
            <w:tcMar>
              <w:top w:w="65" w:type="dxa"/>
              <w:start w:w="75" w:type="dxa"/>
              <w:bottom w:w="65" w:type="dxa"/>
              <w:end w:w="75" w:type="dxa"/>
            </w:tcMar>
            <w:vAlign w:val="top"/>
          </w:tcPr>
          <w:p>
            <w:pPr>
              <w:spacing w:after="0"/>
            </w:pPr>
            <w:r>
              <w:rPr>
                <w:sz w:val="16"/>
              </w:rPr>
              <w:t>Jehoiarib / Hasmoneans</w:t>
            </w:r>
          </w:p>
        </w:tc>
        <w:tc>
          <w:tcPr>
            <w:tcW w:type="dxa" w:w="7632"/>
            <w:tcMar>
              <w:top w:w="65" w:type="dxa"/>
              <w:start w:w="75" w:type="dxa"/>
              <w:bottom w:w="65" w:type="dxa"/>
              <w:end w:w="75" w:type="dxa"/>
            </w:tcMar>
            <w:vAlign w:val="top"/>
          </w:tcPr>
          <w:p>
            <w:pPr>
              <w:spacing w:after="0"/>
            </w:pPr>
            <w:r>
              <w:rPr>
                <w:sz w:val="16"/>
              </w:rPr>
              <w:t>Secondary priestly house -&gt; military-political rupture -&gt; custodial apex.</w:t>
            </w:r>
          </w:p>
        </w:tc>
      </w:tr>
      <w:tr>
        <w:tc>
          <w:tcPr>
            <w:tcW w:type="dxa" w:w="2592"/>
            <w:tcMar>
              <w:top w:w="65" w:type="dxa"/>
              <w:start w:w="75" w:type="dxa"/>
              <w:bottom w:w="65" w:type="dxa"/>
              <w:end w:w="75" w:type="dxa"/>
            </w:tcMar>
            <w:vAlign w:val="top"/>
          </w:tcPr>
          <w:p>
            <w:pPr>
              <w:spacing w:after="0"/>
            </w:pPr>
            <w:r>
              <w:rPr>
                <w:sz w:val="16"/>
              </w:rPr>
              <w:t>Temple scribes as a class</w:t>
            </w:r>
          </w:p>
        </w:tc>
        <w:tc>
          <w:tcPr>
            <w:tcW w:type="dxa" w:w="7632"/>
            <w:tcMar>
              <w:top w:w="65" w:type="dxa"/>
              <w:start w:w="75" w:type="dxa"/>
              <w:bottom w:w="65" w:type="dxa"/>
              <w:end w:w="75" w:type="dxa"/>
            </w:tcMar>
            <w:vAlign w:val="top"/>
          </w:tcPr>
          <w:p>
            <w:pPr>
              <w:spacing w:after="0"/>
            </w:pPr>
            <w:r>
              <w:rPr>
                <w:sz w:val="16"/>
              </w:rPr>
              <w:t>Official/recognized scribal labor category; bridge between archive, administration, law, and priestly infrastructure.</w:t>
            </w:r>
          </w:p>
        </w:tc>
      </w:tr>
    </w:tbl>
    <w:p>
      <w:pPr>
        <w:spacing w:after="0"/>
      </w:pPr>
    </w:p>
    <w:p>
      <w:pPr>
        <w:pStyle w:val="Heading1"/>
      </w:pPr>
      <w:r>
        <w:t>9. Rupture, Office Mutation, and Portable Custody</w:t>
      </w:r>
    </w:p>
    <w:p>
      <w:pPr>
        <w:pStyle w:val="Heading2"/>
      </w:pPr>
      <w:r>
        <w:t>9.1 Onias III -&gt; Jason -&gt; Menelaus</w:t>
      </w:r>
    </w:p>
    <w:p>
      <w:pPr>
        <w:pStyle w:val="EquationBlock"/>
        <w:shd w:fill="F2F2F2"/>
      </w:pPr>
      <w:r>
        <w:rPr>
          <w:rFonts w:ascii="Cascadia Mono" w:hAnsi="Cascadia Mono"/>
          <w:sz w:val="17"/>
        </w:rPr>
        <w:t>Q1: dynastic succession -&gt; HIGH PRIEST</w:t>
      </w:r>
    </w:p>
    <w:p>
      <w:pPr>
        <w:pStyle w:val="EquationBlock"/>
        <w:shd w:fill="F2F2F2"/>
      </w:pPr>
      <w:r>
        <w:rPr>
          <w:rFonts w:ascii="Cascadia Mono" w:hAnsi="Cascadia Mono"/>
          <w:sz w:val="17"/>
        </w:rPr>
        <w:t>Q2: imperial access + fiscal promise -&gt; HIGH PRIEST</w:t>
      </w:r>
    </w:p>
    <w:p>
      <w:pPr>
        <w:pStyle w:val="ArchitectureBlock"/>
        <w:pBdr>
          <w:left w:val="single" w:sz="8" w:space="6" w:color="8A8A8A"/>
        </w:pBdr>
      </w:pPr>
      <w:r>
        <w:t>The downstream office label remains 'high priest' while the upstream admission rule changes. This is a Hidden Quotient event: identical output category, different source path.</w:t>
      </w:r>
    </w:p>
    <w:p>
      <w:pPr>
        <w:pStyle w:val="EquationBlock"/>
        <w:shd w:fill="F2F2F2"/>
      </w:pPr>
      <w:r>
        <w:rPr>
          <w:rFonts w:ascii="Cascadia Mono" w:hAnsi="Cascadia Mono"/>
          <w:sz w:val="17"/>
        </w:rPr>
        <w:t>Q(Oniad hereditary successor) = Q(royally purchased/authorized successor) = HIGH PRIEST</w:t>
      </w:r>
    </w:p>
    <w:p>
      <w:pPr>
        <w:pStyle w:val="ArchitectureBlock"/>
        <w:pBdr>
          <w:left w:val="single" w:sz="8" w:space="6" w:color="8A8A8A"/>
        </w:pBdr>
      </w:pPr>
      <w:r>
        <w:t>Jason's displacement of Onias III and Menelaus's displacement of Jason expose a transition from hereditary legitimacy toward imperially mediated competitive allocation. The Simon/Menelaus branch is especially useful because Temple administration, finance, imperial contact, and office acquisition appear across one factional family reconstruction.</w:t>
      </w:r>
    </w:p>
    <w:p>
      <w:pPr>
        <w:pStyle w:val="Heading2"/>
      </w:pPr>
      <w:r>
        <w:t>9.2 Rupture reveals separate sockets</w:t>
      </w:r>
    </w:p>
    <w:p>
      <w:pPr>
        <w:pStyle w:val="EquationBlock"/>
        <w:shd w:fill="F2F2F2"/>
      </w:pPr>
      <w:r>
        <w:rPr>
          <w:rFonts w:ascii="Cascadia Mono" w:hAnsi="Cascadia Mono"/>
          <w:sz w:val="17"/>
        </w:rPr>
        <w:t>high priest != Temple administrator != imperial governor != royal financial executor</w:t>
      </w:r>
    </w:p>
    <w:p>
      <w:pPr>
        <w:pStyle w:val="ArchitectureBlock"/>
        <w:pBdr>
          <w:left w:val="single" w:sz="8" w:space="6" w:color="8A8A8A"/>
        </w:pBdr>
      </w:pPr>
      <w:r>
        <w:t>The Onias III / Simon / Heliodorus episode exposes the distributed institutional stack under stress: high-priestly custody, Temple administration/treasury, imperial access, and royal intervention are separate but coupled functions.</w:t>
      </w:r>
    </w:p>
    <w:p>
      <w:pPr>
        <w:pStyle w:val="Heading2"/>
      </w:pPr>
      <w:r>
        <w:t>9.3 Temple custody -&gt; textual custody</w:t>
      </w:r>
    </w:p>
    <w:p>
      <w:pPr>
        <w:pStyle w:val="EquationBlock"/>
        <w:shd w:fill="F2F2F2"/>
      </w:pPr>
      <w:r>
        <w:rPr>
          <w:rFonts w:ascii="Cascadia Mono" w:hAnsi="Cascadia Mono"/>
          <w:sz w:val="17"/>
        </w:rPr>
        <w:t>S0: Temple-centered priestly-scribal technical estate</w:t>
        <w:br/>
        <w:t xml:space="preserve">  -&gt; C: Oniad collapse + Antiochene crisis + scribal/Hasidean bottleneck</w:t>
        <w:br/>
        <w:t xml:space="preserve">  -&gt; S1: factionalized priestly-scribal opposition</w:t>
        <w:br/>
        <w:t xml:space="preserve">  -&gt; Z: Zadokite legitimacy + inherited Enochic calendar</w:t>
        <w:br/>
        <w:t xml:space="preserve">  -&gt; S2: textualized / portable custodial community</w:t>
      </w:r>
    </w:p>
    <w:p>
      <w:pPr>
        <w:pStyle w:val="EquationBlock"/>
        <w:shd w:fill="F2F2F2"/>
      </w:pPr>
      <w:r>
        <w:rPr>
          <w:rFonts w:ascii="Cascadia Mono" w:hAnsi="Cascadia Mono"/>
          <w:sz w:val="17"/>
        </w:rPr>
        <w:t>TEMPLE CUSTODY -&gt; TEXTUAL CUSTODY</w:t>
      </w:r>
    </w:p>
    <w:p>
      <w:pPr>
        <w:pStyle w:val="ArchitectureBlock"/>
        <w:pBdr>
          <w:left w:val="single" w:sz="8" w:space="6" w:color="8A8A8A"/>
        </w:pBdr>
      </w:pPr>
      <w:r>
        <w:t>When the high-priestly chair becomes unreliable, legitimacy can migrate into a portable rule-set: genealogy claim + calendar + rulebook + authorized interpretation + community. The text becomes a portable Temple; the calendar a portable clock; genealogy a portable credential; the rule a portable administration.</w:t>
      </w:r>
    </w:p>
    <w:p>
      <w:pPr>
        <w:pStyle w:val="Heading2"/>
      </w:pPr>
      <w:r>
        <w:t>9.4 Calendar as validity operating system</w:t>
      </w:r>
    </w:p>
    <w:p>
      <w:pPr>
        <w:pStyle w:val="EquationBlock"/>
        <w:shd w:fill="F2F2F2"/>
      </w:pPr>
      <w:r>
        <w:rPr>
          <w:rFonts w:ascii="Cascadia Mono" w:hAnsi="Cascadia Mono"/>
          <w:sz w:val="17"/>
        </w:rPr>
        <w:t>calendar = schedule + priestly roster + ritual order + cosmic model</w:t>
      </w:r>
    </w:p>
    <w:p>
      <w:pPr>
        <w:pStyle w:val="ArchitectureBlock"/>
        <w:pBdr>
          <w:left w:val="single" w:sz="8" w:space="6" w:color="8A8A8A"/>
        </w:pBdr>
      </w:pPr>
      <w:r>
        <w:t>A separate sacred schedule creates a separate valid-state system even without constant explicit polemic. The Timekeeper is not merely counting; the clock can adjudicate which priesthood, ritual order, and community practice counts as valid.</w:t>
      </w:r>
    </w:p>
    <w:p>
      <w:pPr>
        <w:pStyle w:val="Heading2"/>
      </w:pPr>
      <w:r>
        <w:t>9.5 Teacher of Righteousness / Wicked Priest dual architecture</w:t>
      </w:r>
    </w:p>
    <w:p>
      <w:pPr>
        <w:pStyle w:val="EquationBlock"/>
        <w:shd w:fill="F2F2F2"/>
      </w:pPr>
      <w:r>
        <w:rPr>
          <w:rFonts w:ascii="Cascadia Mono" w:hAnsi="Cascadia Mono"/>
          <w:sz w:val="17"/>
        </w:rPr>
        <w:t>T = (text, interpretation, calendar/law, community)</w:t>
      </w:r>
    </w:p>
    <w:p>
      <w:pPr>
        <w:pStyle w:val="EquationBlock"/>
        <w:shd w:fill="F2F2F2"/>
      </w:pPr>
      <w:r>
        <w:rPr>
          <w:rFonts w:ascii="Cascadia Mono" w:hAnsi="Cascadia Mono"/>
          <w:sz w:val="17"/>
        </w:rPr>
        <w:t>W = (office, Temple, state, force)</w:t>
      </w:r>
    </w:p>
    <w:p>
      <w:pPr>
        <w:pStyle w:val="EquationBlock"/>
        <w:shd w:fill="F2F2F2"/>
      </w:pPr>
      <w:r>
        <w:rPr>
          <w:rFonts w:ascii="Cascadia Mono" w:hAnsi="Cascadia Mono"/>
          <w:sz w:val="17"/>
        </w:rPr>
        <w:t>F(T) = valid priestly order ; F(W) = valid priestly order</w:t>
      </w:r>
    </w:p>
    <w:p>
      <w:pPr>
        <w:pStyle w:val="ArchitectureBlock"/>
        <w:pBdr>
          <w:left w:val="single" w:sz="8" w:space="6" w:color="8A8A8A"/>
        </w:pBdr>
      </w:pPr>
      <w:r>
        <w:t>The pair can be modeled as two routes to the same claimed output. The Teacher-side system grounds legitimacy in priestly/interpretive authority, correct rule-set, calendar, and covenant community. The Jerusalem/Wicked-Priest side grounds legitimacy in recognized office, Temple control, and state power.</w:t>
      </w:r>
    </w:p>
    <w:p>
      <w:pPr>
        <w:pStyle w:val="EquationBlock"/>
        <w:shd w:fill="F2F2F2"/>
      </w:pPr>
      <w:r>
        <w:rPr>
          <w:rFonts w:ascii="Cascadia Mono" w:hAnsi="Cascadia Mono"/>
          <w:sz w:val="17"/>
        </w:rPr>
        <w:t>Q_J: political appointment / control of Temple -&gt; high priest</w:t>
      </w:r>
    </w:p>
    <w:p>
      <w:pPr>
        <w:pStyle w:val="EquationBlock"/>
        <w:shd w:fill="F2F2F2"/>
      </w:pPr>
      <w:r>
        <w:rPr>
          <w:rFonts w:ascii="Cascadia Mono" w:hAnsi="Cascadia Mono"/>
          <w:sz w:val="17"/>
        </w:rPr>
        <w:t>Q_S: Zadokite legitimacy + correct rule-set -&gt; valid priesthood</w:t>
      </w:r>
    </w:p>
    <w:p>
      <w:pPr>
        <w:pStyle w:val="ArchitectureBlock"/>
        <w:pBdr>
          <w:left w:val="single" w:sz="8" w:space="6" w:color="8A8A8A"/>
        </w:pBdr>
      </w:pPr>
      <w:r>
        <w:t>If 'Wicked Priest' refers to multiple Hasmonean rulers in the proposed multi-occupant reading, the label itself becomes an ancient quotient: different occupants collapsed into one perceived structural function.</w:t>
      </w:r>
    </w:p>
    <w:p>
      <w:pPr>
        <w:pStyle w:val="Heading2"/>
      </w:pPr>
      <w:r>
        <w:t>9.6 Operating-system fork</w:t>
      </w:r>
    </w:p>
    <w:tbl>
      <w:tblPr>
        <w:tblStyle w:val="TableGrid"/>
        <w:tblW w:type="auto" w:w="0"/>
        <w:jc w:val="center"/>
        <w:tblLayout w:type="autofit"/>
        <w:tblLook w:firstColumn="1" w:firstRow="1" w:lastColumn="0" w:lastRow="0" w:noHBand="0" w:noVBand="1" w:val="04A0"/>
      </w:tblPr>
      <w:tblGrid>
        <w:gridCol w:w="5083"/>
        <w:gridCol w:w="5083"/>
      </w:tblGrid>
      <w:tr>
        <w:tc>
          <w:tcPr>
            <w:tcW w:type="dxa" w:w="5112"/>
            <w:shd w:fill="E7E7E7"/>
            <w:tcMar>
              <w:top w:w="65" w:type="dxa"/>
              <w:start w:w="75" w:type="dxa"/>
              <w:bottom w:w="65" w:type="dxa"/>
              <w:end w:w="75" w:type="dxa"/>
            </w:tcMar>
            <w:vAlign w:val="center"/>
          </w:tcPr>
          <w:p>
            <w:r>
              <w:rPr>
                <w:b/>
                <w:sz w:val="16"/>
              </w:rPr>
              <w:t>Jerusalem / chair route</w:t>
            </w:r>
          </w:p>
        </w:tc>
        <w:tc>
          <w:tcPr>
            <w:tcW w:type="dxa" w:w="5112"/>
            <w:shd w:fill="E7E7E7"/>
            <w:tcMar>
              <w:top w:w="65" w:type="dxa"/>
              <w:start w:w="75" w:type="dxa"/>
              <w:bottom w:w="65" w:type="dxa"/>
              <w:end w:w="75" w:type="dxa"/>
            </w:tcMar>
            <w:vAlign w:val="center"/>
          </w:tcPr>
          <w:p>
            <w:r>
              <w:rPr>
                <w:b/>
                <w:sz w:val="16"/>
              </w:rPr>
              <w:t>Teacher / rule-set route</w:t>
            </w:r>
          </w:p>
        </w:tc>
      </w:tr>
      <w:tr>
        <w:tc>
          <w:tcPr>
            <w:tcW w:type="dxa" w:w="5112"/>
            <w:tcMar>
              <w:top w:w="65" w:type="dxa"/>
              <w:start w:w="75" w:type="dxa"/>
              <w:bottom w:w="65" w:type="dxa"/>
              <w:end w:w="75" w:type="dxa"/>
            </w:tcMar>
            <w:vAlign w:val="top"/>
          </w:tcPr>
          <w:p>
            <w:pPr>
              <w:spacing w:after="0"/>
            </w:pPr>
            <w:r>
              <w:rPr>
                <w:sz w:val="16"/>
              </w:rPr>
              <w:t>Recognized governing priesthood</w:t>
            </w:r>
          </w:p>
        </w:tc>
        <w:tc>
          <w:tcPr>
            <w:tcW w:type="dxa" w:w="5112"/>
            <w:tcMar>
              <w:top w:w="65" w:type="dxa"/>
              <w:start w:w="75" w:type="dxa"/>
              <w:bottom w:w="65" w:type="dxa"/>
              <w:end w:w="75" w:type="dxa"/>
            </w:tcMar>
            <w:vAlign w:val="top"/>
          </w:tcPr>
          <w:p>
            <w:pPr>
              <w:spacing w:after="0"/>
            </w:pPr>
            <w:r>
              <w:rPr>
                <w:sz w:val="16"/>
              </w:rPr>
              <w:t>Correct specification / interpretation</w:t>
            </w:r>
          </w:p>
        </w:tc>
      </w:tr>
      <w:tr>
        <w:tc>
          <w:tcPr>
            <w:tcW w:type="dxa" w:w="5112"/>
            <w:tcMar>
              <w:top w:w="65" w:type="dxa"/>
              <w:start w:w="75" w:type="dxa"/>
              <w:bottom w:w="65" w:type="dxa"/>
              <w:end w:w="75" w:type="dxa"/>
            </w:tcMar>
            <w:vAlign w:val="top"/>
          </w:tcPr>
          <w:p>
            <w:pPr>
              <w:spacing w:after="0"/>
            </w:pPr>
            <w:r>
              <w:rPr>
                <w:sz w:val="16"/>
              </w:rPr>
              <w:t>Physical Temple center</w:t>
            </w:r>
          </w:p>
        </w:tc>
        <w:tc>
          <w:tcPr>
            <w:tcW w:type="dxa" w:w="5112"/>
            <w:tcMar>
              <w:top w:w="65" w:type="dxa"/>
              <w:start w:w="75" w:type="dxa"/>
              <w:bottom w:w="65" w:type="dxa"/>
              <w:end w:w="75" w:type="dxa"/>
            </w:tcMar>
            <w:vAlign w:val="top"/>
          </w:tcPr>
          <w:p>
            <w:pPr>
              <w:spacing w:after="0"/>
            </w:pPr>
            <w:r>
              <w:rPr>
                <w:sz w:val="16"/>
              </w:rPr>
              <w:t>Portable textual community</w:t>
            </w:r>
          </w:p>
        </w:tc>
      </w:tr>
      <w:tr>
        <w:tc>
          <w:tcPr>
            <w:tcW w:type="dxa" w:w="5112"/>
            <w:tcMar>
              <w:top w:w="65" w:type="dxa"/>
              <w:start w:w="75" w:type="dxa"/>
              <w:bottom w:w="65" w:type="dxa"/>
              <w:end w:w="75" w:type="dxa"/>
            </w:tcMar>
            <w:vAlign w:val="top"/>
          </w:tcPr>
          <w:p>
            <w:pPr>
              <w:spacing w:after="0"/>
            </w:pPr>
            <w:r>
              <w:rPr>
                <w:sz w:val="16"/>
              </w:rPr>
              <w:t>Political appointment / control</w:t>
            </w:r>
          </w:p>
        </w:tc>
        <w:tc>
          <w:tcPr>
            <w:tcW w:type="dxa" w:w="5112"/>
            <w:tcMar>
              <w:top w:w="65" w:type="dxa"/>
              <w:start w:w="75" w:type="dxa"/>
              <w:bottom w:w="65" w:type="dxa"/>
              <w:end w:w="75" w:type="dxa"/>
            </w:tcMar>
            <w:vAlign w:val="top"/>
          </w:tcPr>
          <w:p>
            <w:pPr>
              <w:spacing w:after="0"/>
            </w:pPr>
            <w:r>
              <w:rPr>
                <w:sz w:val="16"/>
              </w:rPr>
              <w:t>Zadokite credential + correct law</w:t>
            </w:r>
          </w:p>
        </w:tc>
      </w:tr>
      <w:tr>
        <w:tc>
          <w:tcPr>
            <w:tcW w:type="dxa" w:w="5112"/>
            <w:tcMar>
              <w:top w:w="65" w:type="dxa"/>
              <w:start w:w="75" w:type="dxa"/>
              <w:bottom w:w="65" w:type="dxa"/>
              <w:end w:w="75" w:type="dxa"/>
            </w:tcMar>
            <w:vAlign w:val="top"/>
          </w:tcPr>
          <w:p>
            <w:pPr>
              <w:spacing w:after="0"/>
            </w:pPr>
            <w:r>
              <w:rPr>
                <w:sz w:val="16"/>
              </w:rPr>
              <w:t>Official calendar/practice</w:t>
            </w:r>
          </w:p>
        </w:tc>
        <w:tc>
          <w:tcPr>
            <w:tcW w:type="dxa" w:w="5112"/>
            <w:tcMar>
              <w:top w:w="65" w:type="dxa"/>
              <w:start w:w="75" w:type="dxa"/>
              <w:bottom w:w="65" w:type="dxa"/>
              <w:end w:w="75" w:type="dxa"/>
            </w:tcMar>
            <w:vAlign w:val="top"/>
          </w:tcPr>
          <w:p>
            <w:pPr>
              <w:spacing w:after="0"/>
            </w:pPr>
            <w:r>
              <w:rPr>
                <w:sz w:val="16"/>
              </w:rPr>
              <w:t>Inherited/correct calendar</w:t>
            </w:r>
          </w:p>
        </w:tc>
      </w:tr>
      <w:tr>
        <w:tc>
          <w:tcPr>
            <w:tcW w:type="dxa" w:w="5112"/>
            <w:tcMar>
              <w:top w:w="65" w:type="dxa"/>
              <w:start w:w="75" w:type="dxa"/>
              <w:bottom w:w="65" w:type="dxa"/>
              <w:end w:w="75" w:type="dxa"/>
            </w:tcMar>
            <w:vAlign w:val="top"/>
          </w:tcPr>
          <w:p>
            <w:pPr>
              <w:spacing w:after="0"/>
            </w:pPr>
            <w:r>
              <w:rPr>
                <w:sz w:val="16"/>
              </w:rPr>
              <w:t>Coercive state capacity</w:t>
            </w:r>
          </w:p>
        </w:tc>
        <w:tc>
          <w:tcPr>
            <w:tcW w:type="dxa" w:w="5112"/>
            <w:tcMar>
              <w:top w:w="65" w:type="dxa"/>
              <w:start w:w="75" w:type="dxa"/>
              <w:bottom w:w="65" w:type="dxa"/>
              <w:end w:w="75" w:type="dxa"/>
            </w:tcMar>
            <w:vAlign w:val="top"/>
          </w:tcPr>
          <w:p>
            <w:pPr>
              <w:spacing w:after="0"/>
            </w:pPr>
            <w:r>
              <w:rPr>
                <w:sz w:val="16"/>
              </w:rPr>
              <w:t>Interpretive and covenant authority</w:t>
            </w:r>
          </w:p>
        </w:tc>
      </w:tr>
    </w:tbl>
    <w:p>
      <w:pPr>
        <w:spacing w:after="0"/>
      </w:pPr>
    </w:p>
    <w:p>
      <w:pPr>
        <w:pStyle w:val="ArchitectureBlock"/>
        <w:pBdr>
          <w:left w:val="single" w:sz="8" w:space="6" w:color="8A8A8A"/>
        </w:pBdr>
      </w:pPr>
      <w:r>
        <w:t>This is not a simple permanent Qumran-versus-Hasmonean binary; surviving library evidence permits shifting alliances and inherited material across factions.</w:t>
      </w:r>
    </w:p>
    <w:p>
      <w:pPr>
        <w:pStyle w:val="Heading1"/>
      </w:pPr>
      <w:r>
        <w:t>10. Modern Production Architecture of Power</w:t>
      </w:r>
    </w:p>
    <w:p>
      <w:pPr>
        <w:pStyle w:val="Heading2"/>
      </w:pPr>
      <w:r>
        <w:t>10.1 Three hub species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2160"/>
            <w:shd w:fill="E7E7E7"/>
            <w:tcMar>
              <w:top w:w="65" w:type="dxa"/>
              <w:start w:w="75" w:type="dxa"/>
              <w:bottom w:w="65" w:type="dxa"/>
              <w:end w:w="75" w:type="dxa"/>
            </w:tcMar>
            <w:vAlign w:val="center"/>
          </w:tcPr>
          <w:p>
            <w:r>
              <w:rPr>
                <w:b/>
                <w:sz w:val="15"/>
              </w:rPr>
              <w:t>Hub type</w:t>
            </w:r>
          </w:p>
        </w:tc>
        <w:tc>
          <w:tcPr>
            <w:tcW w:type="dxa" w:w="4752"/>
            <w:shd w:fill="E7E7E7"/>
            <w:tcMar>
              <w:top w:w="65" w:type="dxa"/>
              <w:start w:w="75" w:type="dxa"/>
              <w:bottom w:w="65" w:type="dxa"/>
              <w:end w:w="75" w:type="dxa"/>
            </w:tcMar>
            <w:vAlign w:val="center"/>
          </w:tcPr>
          <w:p>
            <w:r>
              <w:rPr>
                <w:b/>
                <w:sz w:val="15"/>
              </w:rPr>
              <w:t>Definition</w:t>
            </w:r>
          </w:p>
        </w:tc>
        <w:tc>
          <w:tcPr>
            <w:tcW w:type="dxa" w:w="3312"/>
            <w:shd w:fill="E7E7E7"/>
            <w:tcMar>
              <w:top w:w="65" w:type="dxa"/>
              <w:start w:w="75" w:type="dxa"/>
              <w:bottom w:w="65" w:type="dxa"/>
              <w:end w:w="75" w:type="dxa"/>
            </w:tcMar>
            <w:vAlign w:val="center"/>
          </w:tcPr>
          <w:p>
            <w:r>
              <w:rPr>
                <w:b/>
                <w:sz w:val="15"/>
              </w:rPr>
              <w:t>Illustrative corpus node</w:t>
            </w:r>
          </w:p>
        </w:tc>
      </w:tr>
      <w:tr>
        <w:tc>
          <w:tcPr>
            <w:tcW w:type="dxa" w:w="2160"/>
            <w:tcMar>
              <w:top w:w="65" w:type="dxa"/>
              <w:start w:w="75" w:type="dxa"/>
              <w:bottom w:w="65" w:type="dxa"/>
              <w:end w:w="75" w:type="dxa"/>
            </w:tcMar>
            <w:vAlign w:val="top"/>
          </w:tcPr>
          <w:p>
            <w:pPr>
              <w:spacing w:after="0"/>
            </w:pPr>
            <w:r>
              <w:rPr>
                <w:sz w:val="15"/>
              </w:rPr>
              <w:t>Infrastructural hub</w:t>
            </w:r>
          </w:p>
        </w:tc>
        <w:tc>
          <w:tcPr>
            <w:tcW w:type="dxa" w:w="4752"/>
            <w:tcMar>
              <w:top w:w="65" w:type="dxa"/>
              <w:start w:w="75" w:type="dxa"/>
              <w:bottom w:w="65" w:type="dxa"/>
              <w:end w:w="75" w:type="dxa"/>
            </w:tcMar>
            <w:vAlign w:val="top"/>
          </w:tcPr>
          <w:p>
            <w:pPr>
              <w:spacing w:after="0"/>
            </w:pPr>
            <w:r>
              <w:rPr>
                <w:sz w:val="15"/>
              </w:rPr>
              <w:t>Many routes physically/technically depend on one substrate.</w:t>
            </w:r>
          </w:p>
        </w:tc>
        <w:tc>
          <w:tcPr>
            <w:tcW w:type="dxa" w:w="3312"/>
            <w:tcMar>
              <w:top w:w="65" w:type="dxa"/>
              <w:start w:w="75" w:type="dxa"/>
              <w:bottom w:w="65" w:type="dxa"/>
              <w:end w:w="75" w:type="dxa"/>
            </w:tcMar>
            <w:vAlign w:val="top"/>
          </w:tcPr>
          <w:p>
            <w:pPr>
              <w:spacing w:after="0"/>
            </w:pPr>
            <w:r>
              <w:rPr>
                <w:sz w:val="15"/>
              </w:rPr>
              <w:t>Palantir across multiple federal environments.</w:t>
            </w:r>
          </w:p>
        </w:tc>
      </w:tr>
      <w:tr>
        <w:tc>
          <w:tcPr>
            <w:tcW w:type="dxa" w:w="2160"/>
            <w:tcMar>
              <w:top w:w="65" w:type="dxa"/>
              <w:start w:w="75" w:type="dxa"/>
              <w:bottom w:w="65" w:type="dxa"/>
              <w:end w:w="75" w:type="dxa"/>
            </w:tcMar>
            <w:vAlign w:val="top"/>
          </w:tcPr>
          <w:p>
            <w:pPr>
              <w:spacing w:after="0"/>
            </w:pPr>
            <w:r>
              <w:rPr>
                <w:sz w:val="15"/>
              </w:rPr>
              <w:t>Conversion hub</w:t>
            </w:r>
          </w:p>
        </w:tc>
        <w:tc>
          <w:tcPr>
            <w:tcW w:type="dxa" w:w="4752"/>
            <w:tcMar>
              <w:top w:w="65" w:type="dxa"/>
              <w:start w:w="75" w:type="dxa"/>
              <w:bottom w:w="65" w:type="dxa"/>
              <w:end w:w="75" w:type="dxa"/>
            </w:tcMar>
            <w:vAlign w:val="top"/>
          </w:tcPr>
          <w:p>
            <w:pPr>
              <w:spacing w:after="0"/>
            </w:pPr>
            <w:r>
              <w:rPr>
                <w:sz w:val="15"/>
              </w:rPr>
              <w:t>Turns one kind of power into another: meaning -&gt; administration, money -&gt; policy, narrative -&gt; mobilization.</w:t>
            </w:r>
          </w:p>
        </w:tc>
        <w:tc>
          <w:tcPr>
            <w:tcW w:type="dxa" w:w="3312"/>
            <w:tcMar>
              <w:top w:w="65" w:type="dxa"/>
              <w:start w:w="75" w:type="dxa"/>
              <w:bottom w:w="65" w:type="dxa"/>
              <w:end w:w="75" w:type="dxa"/>
            </w:tcMar>
            <w:vAlign w:val="top"/>
          </w:tcPr>
          <w:p>
            <w:pPr>
              <w:spacing w:after="0"/>
            </w:pPr>
            <w:r>
              <w:rPr>
                <w:sz w:val="15"/>
              </w:rPr>
              <w:t>Faith Office/DPC/DOJ; Bannon/War Room-type route.</w:t>
            </w:r>
          </w:p>
        </w:tc>
      </w:tr>
      <w:tr>
        <w:tc>
          <w:tcPr>
            <w:tcW w:type="dxa" w:w="2160"/>
            <w:tcMar>
              <w:top w:w="65" w:type="dxa"/>
              <w:start w:w="75" w:type="dxa"/>
              <w:bottom w:w="65" w:type="dxa"/>
              <w:end w:w="75" w:type="dxa"/>
            </w:tcMar>
            <w:vAlign w:val="top"/>
          </w:tcPr>
          <w:p>
            <w:pPr>
              <w:spacing w:after="0"/>
            </w:pPr>
            <w:r>
              <w:rPr>
                <w:sz w:val="15"/>
              </w:rPr>
              <w:t>Reproduction hub</w:t>
            </w:r>
          </w:p>
        </w:tc>
        <w:tc>
          <w:tcPr>
            <w:tcW w:type="dxa" w:w="4752"/>
            <w:tcMar>
              <w:top w:w="65" w:type="dxa"/>
              <w:start w:w="75" w:type="dxa"/>
              <w:bottom w:w="65" w:type="dxa"/>
              <w:end w:w="75" w:type="dxa"/>
            </w:tcMar>
            <w:vAlign w:val="top"/>
          </w:tcPr>
          <w:p>
            <w:pPr>
              <w:spacing w:after="0"/>
            </w:pPr>
            <w:r>
              <w:rPr>
                <w:sz w:val="15"/>
              </w:rPr>
              <w:t>Determines who or what occupies the system next.</w:t>
            </w:r>
          </w:p>
        </w:tc>
        <w:tc>
          <w:tcPr>
            <w:tcW w:type="dxa" w:w="3312"/>
            <w:tcMar>
              <w:top w:w="65" w:type="dxa"/>
              <w:start w:w="75" w:type="dxa"/>
              <w:bottom w:w="65" w:type="dxa"/>
              <w:end w:w="75" w:type="dxa"/>
            </w:tcMar>
            <w:vAlign w:val="top"/>
          </w:tcPr>
          <w:p>
            <w:pPr>
              <w:spacing w:after="0"/>
            </w:pPr>
            <w:r>
              <w:rPr>
                <w:sz w:val="15"/>
              </w:rPr>
              <w:t>Legal/judicial credentialing networks.</w:t>
            </w:r>
          </w:p>
        </w:tc>
      </w:tr>
    </w:tbl>
    <w:p>
      <w:pPr>
        <w:spacing w:after="0"/>
      </w:pPr>
    </w:p>
    <w:p>
      <w:pPr>
        <w:pStyle w:val="Heading2"/>
      </w:pPr>
      <w:r>
        <w:t>10.2 Tech / state convergence</w:t>
      </w:r>
    </w:p>
    <w:p>
      <w:pPr>
        <w:pStyle w:val="EquationBlock"/>
        <w:shd w:fill="F2F2F2"/>
      </w:pPr>
      <w:r>
        <w:rPr>
          <w:rFonts w:ascii="Cascadia Mono" w:hAnsi="Cascadia Mono"/>
          <w:sz w:val="17"/>
        </w:rPr>
        <w:t>many sovereign functions -&gt; one technical substrate</w:t>
      </w:r>
    </w:p>
    <w:p>
      <w:pPr>
        <w:pStyle w:val="ArchitectureBlock"/>
        <w:pBdr>
          <w:left w:val="single" w:sz="8" w:space="6" w:color="8A8A8A"/>
        </w:pBdr>
      </w:pPr>
      <w:r>
        <w:t>Shared infrastructure creates a convergence surface. The question is not whether the vendor secretly commands every agency, but whether common data models, interfaces, personnel, procurement logic, switching costs, and incumbent dependencies create shared reachable state across otherwise separate missions.</w:t>
      </w:r>
    </w:p>
    <w:p>
      <w:pPr>
        <w:pStyle w:val="EquationBlock"/>
        <w:shd w:fill="F2F2F2"/>
      </w:pPr>
      <w:r>
        <w:rPr>
          <w:rFonts w:ascii="Cascadia Mono" w:hAnsi="Cascadia Mono"/>
          <w:sz w:val="17"/>
        </w:rPr>
        <w:t>vendor -&gt; state authority -&gt; vendor</w:t>
      </w:r>
    </w:p>
    <w:p>
      <w:pPr>
        <w:pStyle w:val="ArchitectureBlock"/>
        <w:pBdr>
          <w:left w:val="single" w:sz="8" w:space="6" w:color="8A8A8A"/>
        </w:pBdr>
      </w:pPr>
      <w:r>
        <w:t>Revolving-door career loops can carry institutional memory even when a procurement-corruption edge is not established.</w:t>
      </w:r>
    </w:p>
    <w:p>
      <w:pPr>
        <w:pStyle w:val="Heading2"/>
      </w:pPr>
      <w:r>
        <w:t>10.3 Religious interpretation -&gt; state action</w:t>
      </w:r>
    </w:p>
    <w:p>
      <w:pPr>
        <w:pStyle w:val="EquationBlock"/>
        <w:shd w:fill="F2F2F2"/>
      </w:pPr>
      <w:r>
        <w:rPr>
          <w:rFonts w:ascii="Cascadia Mono" w:hAnsi="Cascadia Mono"/>
          <w:sz w:val="17"/>
        </w:rPr>
        <w:t>constituency meaning -&gt; authorized interpretation -&gt; administrative rule</w:t>
      </w:r>
    </w:p>
    <w:p>
      <w:pPr>
        <w:pStyle w:val="ArchitectureBlock"/>
        <w:pBdr>
          <w:left w:val="single" w:sz="8" w:space="6" w:color="8A8A8A"/>
        </w:pBdr>
      </w:pPr>
      <w:r>
        <w:t>This is a conversion chain rather than merely a network. The high-value search target is the private/external subgraph that repeatedly feeds the interpretation node before the administrative option set hardens.</w:t>
      </w:r>
    </w:p>
    <w:p>
      <w:pPr>
        <w:pStyle w:val="Heading2"/>
      </w:pPr>
      <w:r>
        <w:t>10.4 Judicial reproduction</w:t>
      </w:r>
    </w:p>
    <w:p>
      <w:pPr>
        <w:pStyle w:val="EquationBlock"/>
        <w:shd w:fill="F2F2F2"/>
      </w:pPr>
      <w:r>
        <w:rPr>
          <w:rFonts w:ascii="Cascadia Mono" w:hAnsi="Cascadia Mono"/>
          <w:sz w:val="17"/>
        </w:rPr>
        <w:t>outside legal network -&gt; candidate selection -&gt; presidential nomination -&gt; Senate gate -&gt; life-tenured adjudicator</w:t>
      </w:r>
    </w:p>
    <w:p>
      <w:pPr>
        <w:pStyle w:val="EquationBlock"/>
        <w:shd w:fill="F2F2F2"/>
      </w:pPr>
      <w:r>
        <w:rPr>
          <w:rFonts w:ascii="Cascadia Mono" w:hAnsi="Cascadia Mono"/>
          <w:sz w:val="17"/>
        </w:rPr>
        <w:t>credentialing -&gt; adjudicator -&gt; rules governing future credentialing/power</w:t>
      </w:r>
    </w:p>
    <w:p>
      <w:pPr>
        <w:pStyle w:val="ArchitectureBlock"/>
        <w:pBdr>
          <w:left w:val="single" w:sz="8" w:space="6" w:color="8A8A8A"/>
        </w:pBdr>
      </w:pPr>
      <w:r>
        <w:t>Credentialing networks are structurally durable because they can survive individual administrations and write future high-authority vertices into the graph.</w:t>
      </w:r>
    </w:p>
    <w:p>
      <w:pPr>
        <w:pStyle w:val="Heading2"/>
      </w:pPr>
      <w:r>
        <w:t>10.5 Money / policy conversion</w:t>
      </w:r>
    </w:p>
    <w:p>
      <w:pPr>
        <w:pStyle w:val="ArchitectureBlock"/>
        <w:pBdr>
          <w:left w:val="single" w:sz="8" w:space="6" w:color="8A8A8A"/>
        </w:pBdr>
      </w:pPr>
      <w:r>
        <w:t>Keep distinct network motifs separate. One actor may occupy both personal financial exposure and government-policy authority; a family/business network may instead share an apex with an executive policy domain. Structural overlap is not equivalent to a direct legal or causal conversion.</w:t>
      </w:r>
    </w:p>
    <w:p>
      <w:pPr>
        <w:pStyle w:val="EquationBlock"/>
        <w:shd w:fill="F2F2F2"/>
      </w:pPr>
      <w:r>
        <w:rPr>
          <w:rFonts w:ascii="Cascadia Mono" w:hAnsi="Cascadia Mono"/>
          <w:sz w:val="17"/>
        </w:rPr>
        <w:t>individual overlap: v  IN  MoneyExposure  INTERSECT  AdministrativeAuthority</w:t>
      </w:r>
    </w:p>
    <w:p>
      <w:pPr>
        <w:pStyle w:val="EquationBlock"/>
        <w:shd w:fill="F2F2F2"/>
      </w:pPr>
      <w:r>
        <w:rPr>
          <w:rFonts w:ascii="Cascadia Mono" w:hAnsi="Cascadia Mono"/>
          <w:sz w:val="17"/>
        </w:rPr>
        <w:t>cluster overlap: C_business  INTERSECT  C_state != empty</w:t>
      </w:r>
    </w:p>
    <w:p>
      <w:pPr>
        <w:pStyle w:val="Heading2"/>
      </w:pPr>
      <w:r>
        <w:t>10.6 Narrative -&gt; political action</w:t>
      </w:r>
    </w:p>
    <w:p>
      <w:pPr>
        <w:pStyle w:val="EquationBlock"/>
        <w:shd w:fill="F2F2F2"/>
      </w:pPr>
      <w:r>
        <w:rPr>
          <w:rFonts w:ascii="Cascadia Mono" w:hAnsi="Cascadia Mono"/>
          <w:sz w:val="17"/>
        </w:rPr>
        <w:t>narrative source -&gt; amplification -&gt; mobilization/backchannels -&gt; legislative environment -&gt; institutional action</w:t>
      </w:r>
    </w:p>
    <w:p>
      <w:pPr>
        <w:pStyle w:val="ArchitectureBlock"/>
        <w:pBdr>
          <w:left w:val="single" w:sz="8" w:space="6" w:color="8A8A8A"/>
        </w:pBdr>
      </w:pPr>
      <w:r>
        <w:t>The useful quantity is not how often a narrative repeats, but how efficiently it crosses the membrane from speech into allocation, meetings, amendments, scheduling, enforcement attention, donor mobilization, contracts, or appointments.</w:t>
      </w:r>
    </w:p>
    <w:p>
      <w:pPr>
        <w:pStyle w:val="Heading2"/>
      </w:pPr>
      <w:r>
        <w:t>10.7 Invisible Exception / Invisible Touch as modern controls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1800"/>
            <w:shd w:fill="E7E7E7"/>
            <w:tcMar>
              <w:top w:w="65" w:type="dxa"/>
              <w:start w:w="75" w:type="dxa"/>
              <w:bottom w:w="65" w:type="dxa"/>
              <w:end w:w="75" w:type="dxa"/>
            </w:tcMar>
            <w:vAlign w:val="center"/>
          </w:tcPr>
          <w:p>
            <w:r>
              <w:rPr>
                <w:b/>
                <w:sz w:val="15"/>
              </w:rPr>
              <w:t>Pattern</w:t>
            </w:r>
          </w:p>
        </w:tc>
        <w:tc>
          <w:tcPr>
            <w:tcW w:type="dxa" w:w="3024"/>
            <w:shd w:fill="E7E7E7"/>
            <w:tcMar>
              <w:top w:w="65" w:type="dxa"/>
              <w:start w:w="75" w:type="dxa"/>
              <w:bottom w:w="65" w:type="dxa"/>
              <w:end w:w="75" w:type="dxa"/>
            </w:tcMar>
            <w:vAlign w:val="center"/>
          </w:tcPr>
          <w:p>
            <w:r>
              <w:rPr>
                <w:b/>
                <w:sz w:val="15"/>
              </w:rPr>
              <w:t>Visible</w:t>
            </w:r>
          </w:p>
        </w:tc>
        <w:tc>
          <w:tcPr>
            <w:tcW w:type="dxa" w:w="3024"/>
            <w:shd w:fill="E7E7E7"/>
            <w:tcMar>
              <w:top w:w="65" w:type="dxa"/>
              <w:start w:w="75" w:type="dxa"/>
              <w:bottom w:w="65" w:type="dxa"/>
              <w:end w:w="75" w:type="dxa"/>
            </w:tcMar>
            <w:vAlign w:val="center"/>
          </w:tcPr>
          <w:p>
            <w:r>
              <w:rPr>
                <w:b/>
                <w:sz w:val="15"/>
              </w:rPr>
              <w:t>Missing</w:t>
            </w:r>
          </w:p>
        </w:tc>
        <w:tc>
          <w:tcPr>
            <w:tcW w:type="dxa" w:w="2880"/>
            <w:shd w:fill="E7E7E7"/>
            <w:tcMar>
              <w:top w:w="65" w:type="dxa"/>
              <w:start w:w="75" w:type="dxa"/>
              <w:bottom w:w="65" w:type="dxa"/>
              <w:end w:w="75" w:type="dxa"/>
            </w:tcMar>
            <w:vAlign w:val="center"/>
          </w:tcPr>
          <w:p>
            <w:r>
              <w:rPr>
                <w:b/>
                <w:sz w:val="15"/>
              </w:rPr>
              <w:t>Interpretive rule</w:t>
            </w:r>
          </w:p>
        </w:tc>
      </w:tr>
      <w:tr>
        <w:tc>
          <w:tcPr>
            <w:tcW w:type="dxa" w:w="1800"/>
            <w:tcMar>
              <w:top w:w="65" w:type="dxa"/>
              <w:start w:w="75" w:type="dxa"/>
              <w:bottom w:w="65" w:type="dxa"/>
              <w:end w:w="75" w:type="dxa"/>
            </w:tcMar>
            <w:vAlign w:val="top"/>
          </w:tcPr>
          <w:p>
            <w:pPr>
              <w:spacing w:after="0"/>
            </w:pPr>
            <w:r>
              <w:rPr>
                <w:sz w:val="15"/>
              </w:rPr>
              <w:t>Invisible Exception</w:t>
            </w:r>
          </w:p>
        </w:tc>
        <w:tc>
          <w:tcPr>
            <w:tcW w:type="dxa" w:w="3024"/>
            <w:tcMar>
              <w:top w:w="65" w:type="dxa"/>
              <w:start w:w="75" w:type="dxa"/>
              <w:bottom w:w="65" w:type="dxa"/>
              <w:end w:w="75" w:type="dxa"/>
            </w:tcMar>
            <w:vAlign w:val="top"/>
          </w:tcPr>
          <w:p>
            <w:pPr>
              <w:spacing w:after="0"/>
            </w:pPr>
            <w:r>
              <w:rPr>
                <w:sz w:val="15"/>
              </w:rPr>
              <w:t>Action + rule + relevant facts</w:t>
            </w:r>
          </w:p>
        </w:tc>
        <w:tc>
          <w:tcPr>
            <w:tcW w:type="dxa" w:w="3024"/>
            <w:tcMar>
              <w:top w:w="65" w:type="dxa"/>
              <w:start w:w="75" w:type="dxa"/>
              <w:bottom w:w="65" w:type="dxa"/>
              <w:end w:w="75" w:type="dxa"/>
            </w:tcMar>
            <w:vAlign w:val="top"/>
          </w:tcPr>
          <w:p>
            <w:pPr>
              <w:spacing w:after="0"/>
            </w:pPr>
            <w:r>
              <w:rPr>
                <w:sz w:val="15"/>
              </w:rPr>
              <w:t>Authorizing reasoning / clearance route</w:t>
            </w:r>
          </w:p>
        </w:tc>
        <w:tc>
          <w:tcPr>
            <w:tcW w:type="dxa" w:w="2880"/>
            <w:tcMar>
              <w:top w:w="65" w:type="dxa"/>
              <w:start w:w="75" w:type="dxa"/>
              <w:bottom w:w="65" w:type="dxa"/>
              <w:end w:w="75" w:type="dxa"/>
            </w:tcMar>
            <w:vAlign w:val="top"/>
          </w:tcPr>
          <w:p>
            <w:pPr>
              <w:spacing w:after="0"/>
            </w:pPr>
            <w:r>
              <w:rPr>
                <w:sz w:val="15"/>
              </w:rPr>
              <w:t>Do not call misconduct solely from missing public rationale; investigate custody of adjudication.</w:t>
            </w:r>
          </w:p>
        </w:tc>
      </w:tr>
      <w:tr>
        <w:tc>
          <w:tcPr>
            <w:tcW w:type="dxa" w:w="1800"/>
            <w:tcMar>
              <w:top w:w="65" w:type="dxa"/>
              <w:start w:w="75" w:type="dxa"/>
              <w:bottom w:w="65" w:type="dxa"/>
              <w:end w:w="75" w:type="dxa"/>
            </w:tcMar>
            <w:vAlign w:val="top"/>
          </w:tcPr>
          <w:p>
            <w:pPr>
              <w:spacing w:after="0"/>
            </w:pPr>
            <w:r>
              <w:rPr>
                <w:sz w:val="15"/>
              </w:rPr>
              <w:t>Invisible Touch</w:t>
            </w:r>
          </w:p>
        </w:tc>
        <w:tc>
          <w:tcPr>
            <w:tcW w:type="dxa" w:w="3024"/>
            <w:tcMar>
              <w:top w:w="65" w:type="dxa"/>
              <w:start w:w="75" w:type="dxa"/>
              <w:bottom w:w="65" w:type="dxa"/>
              <w:end w:w="75" w:type="dxa"/>
            </w:tcMar>
            <w:vAlign w:val="top"/>
          </w:tcPr>
          <w:p>
            <w:pPr>
              <w:spacing w:after="0"/>
            </w:pPr>
            <w:r>
              <w:rPr>
                <w:sz w:val="15"/>
              </w:rPr>
              <w:t>Exposure/relationship + institutional substrate</w:t>
            </w:r>
          </w:p>
        </w:tc>
        <w:tc>
          <w:tcPr>
            <w:tcW w:type="dxa" w:w="3024"/>
            <w:tcMar>
              <w:top w:w="65" w:type="dxa"/>
              <w:start w:w="75" w:type="dxa"/>
              <w:bottom w:w="65" w:type="dxa"/>
              <w:end w:w="75" w:type="dxa"/>
            </w:tcMar>
            <w:vAlign w:val="top"/>
          </w:tcPr>
          <w:p>
            <w:pPr>
              <w:spacing w:after="0"/>
            </w:pPr>
            <w:r>
              <w:rPr>
                <w:sz w:val="15"/>
              </w:rPr>
              <w:t>Actor participation</w:t>
            </w:r>
          </w:p>
        </w:tc>
        <w:tc>
          <w:tcPr>
            <w:tcW w:type="dxa" w:w="2880"/>
            <w:tcMar>
              <w:top w:w="65" w:type="dxa"/>
              <w:start w:w="75" w:type="dxa"/>
              <w:bottom w:w="65" w:type="dxa"/>
              <w:end w:w="75" w:type="dxa"/>
            </w:tcMar>
            <w:vAlign w:val="top"/>
          </w:tcPr>
          <w:p>
            <w:pPr>
              <w:spacing w:after="0"/>
            </w:pPr>
            <w:r>
              <w:rPr>
                <w:sz w:val="15"/>
              </w:rPr>
              <w:t>Do not infer agency from adjacency.</w:t>
            </w:r>
          </w:p>
        </w:tc>
      </w:tr>
    </w:tbl>
    <w:p>
      <w:pPr>
        <w:spacing w:after="0"/>
      </w:pPr>
    </w:p>
    <w:p>
      <w:pPr>
        <w:pStyle w:val="Heading1"/>
      </w:pPr>
      <w:r>
        <w:t>11. Network Geometry and Quantitative Targets</w:t>
      </w:r>
    </w:p>
    <w:p>
      <w:pPr>
        <w:pStyle w:val="Heading2"/>
      </w:pPr>
      <w:r>
        <w:t>11.1 Core graph measures</w:t>
      </w:r>
    </w:p>
    <w:tbl>
      <w:tblPr>
        <w:tblStyle w:val="TableGrid"/>
        <w:tblW w:type="auto" w:w="0"/>
        <w:jc w:val="center"/>
        <w:tblLayout w:type="autofit"/>
        <w:tblLook w:firstColumn="1" w:firstRow="1" w:lastColumn="0" w:lastRow="0" w:noHBand="0" w:noVBand="1" w:val="04A0"/>
      </w:tblPr>
      <w:tblGrid>
        <w:gridCol w:w="5083"/>
        <w:gridCol w:w="5083"/>
      </w:tblGrid>
      <w:tr>
        <w:tc>
          <w:tcPr>
            <w:tcW w:type="dxa" w:w="2376"/>
            <w:shd w:fill="E7E7E7"/>
            <w:tcMar>
              <w:top w:w="65" w:type="dxa"/>
              <w:start w:w="75" w:type="dxa"/>
              <w:bottom w:w="65" w:type="dxa"/>
              <w:end w:w="75" w:type="dxa"/>
            </w:tcMar>
            <w:vAlign w:val="center"/>
          </w:tcPr>
          <w:p>
            <w:r>
              <w:rPr>
                <w:b/>
                <w:sz w:val="16"/>
              </w:rPr>
              <w:t>Measure</w:t>
            </w:r>
          </w:p>
        </w:tc>
        <w:tc>
          <w:tcPr>
            <w:tcW w:type="dxa" w:w="7848"/>
            <w:shd w:fill="E7E7E7"/>
            <w:tcMar>
              <w:top w:w="65" w:type="dxa"/>
              <w:start w:w="75" w:type="dxa"/>
              <w:bottom w:w="65" w:type="dxa"/>
              <w:end w:w="75" w:type="dxa"/>
            </w:tcMar>
            <w:vAlign w:val="center"/>
          </w:tcPr>
          <w:p>
            <w:r>
              <w:rPr>
                <w:b/>
                <w:sz w:val="16"/>
              </w:rPr>
              <w:t>Question</w:t>
            </w:r>
          </w:p>
        </w:tc>
      </w:tr>
      <w:tr>
        <w:tc>
          <w:tcPr>
            <w:tcW w:type="dxa" w:w="2376"/>
            <w:tcMar>
              <w:top w:w="65" w:type="dxa"/>
              <w:start w:w="75" w:type="dxa"/>
              <w:bottom w:w="65" w:type="dxa"/>
              <w:end w:w="75" w:type="dxa"/>
            </w:tcMar>
            <w:vAlign w:val="top"/>
          </w:tcPr>
          <w:p>
            <w:pPr>
              <w:spacing w:after="0"/>
            </w:pPr>
            <w:r>
              <w:rPr>
                <w:sz w:val="16"/>
              </w:rPr>
              <w:t>Degree centrality</w:t>
            </w:r>
          </w:p>
        </w:tc>
        <w:tc>
          <w:tcPr>
            <w:tcW w:type="dxa" w:w="7848"/>
            <w:tcMar>
              <w:top w:w="65" w:type="dxa"/>
              <w:start w:w="75" w:type="dxa"/>
              <w:bottom w:w="65" w:type="dxa"/>
              <w:end w:w="75" w:type="dxa"/>
            </w:tcMar>
            <w:vAlign w:val="top"/>
          </w:tcPr>
          <w:p>
            <w:pPr>
              <w:spacing w:after="0"/>
            </w:pPr>
            <w:r>
              <w:rPr>
                <w:sz w:val="16"/>
              </w:rPr>
              <w:t>Which node directly touches the most observed nodes?</w:t>
            </w:r>
          </w:p>
        </w:tc>
      </w:tr>
      <w:tr>
        <w:tc>
          <w:tcPr>
            <w:tcW w:type="dxa" w:w="2376"/>
            <w:tcMar>
              <w:top w:w="65" w:type="dxa"/>
              <w:start w:w="75" w:type="dxa"/>
              <w:bottom w:w="65" w:type="dxa"/>
              <w:end w:w="75" w:type="dxa"/>
            </w:tcMar>
            <w:vAlign w:val="top"/>
          </w:tcPr>
          <w:p>
            <w:pPr>
              <w:spacing w:after="0"/>
            </w:pPr>
            <w:r>
              <w:rPr>
                <w:sz w:val="16"/>
              </w:rPr>
              <w:t>Betweenness centrality</w:t>
            </w:r>
          </w:p>
        </w:tc>
        <w:tc>
          <w:tcPr>
            <w:tcW w:type="dxa" w:w="7848"/>
            <w:tcMar>
              <w:top w:w="65" w:type="dxa"/>
              <w:start w:w="75" w:type="dxa"/>
              <w:bottom w:w="65" w:type="dxa"/>
              <w:end w:w="75" w:type="dxa"/>
            </w:tcMar>
            <w:vAlign w:val="top"/>
          </w:tcPr>
          <w:p>
            <w:pPr>
              <w:spacing w:after="0"/>
            </w:pPr>
            <w:r>
              <w:rPr>
                <w:sz w:val="16"/>
              </w:rPr>
              <w:t>Which node lies on the most shortest paths between otherwise separated regions?</w:t>
            </w:r>
          </w:p>
        </w:tc>
      </w:tr>
      <w:tr>
        <w:tc>
          <w:tcPr>
            <w:tcW w:type="dxa" w:w="2376"/>
            <w:tcMar>
              <w:top w:w="65" w:type="dxa"/>
              <w:start w:w="75" w:type="dxa"/>
              <w:bottom w:w="65" w:type="dxa"/>
              <w:end w:w="75" w:type="dxa"/>
            </w:tcMar>
            <w:vAlign w:val="top"/>
          </w:tcPr>
          <w:p>
            <w:pPr>
              <w:spacing w:after="0"/>
            </w:pPr>
            <w:r>
              <w:rPr>
                <w:sz w:val="16"/>
              </w:rPr>
              <w:t>Articulation point</w:t>
            </w:r>
          </w:p>
        </w:tc>
        <w:tc>
          <w:tcPr>
            <w:tcW w:type="dxa" w:w="7848"/>
            <w:tcMar>
              <w:top w:w="65" w:type="dxa"/>
              <w:start w:w="75" w:type="dxa"/>
              <w:bottom w:w="65" w:type="dxa"/>
              <w:end w:w="75" w:type="dxa"/>
            </w:tcMar>
            <w:vAlign w:val="top"/>
          </w:tcPr>
          <w:p>
            <w:pPr>
              <w:spacing w:after="0"/>
            </w:pPr>
            <w:r>
              <w:rPr>
                <w:sz w:val="16"/>
              </w:rPr>
              <w:t>Whose removal actually disconnects part of the observed graph?</w:t>
            </w:r>
          </w:p>
        </w:tc>
      </w:tr>
      <w:tr>
        <w:tc>
          <w:tcPr>
            <w:tcW w:type="dxa" w:w="2376"/>
            <w:tcMar>
              <w:top w:w="65" w:type="dxa"/>
              <w:start w:w="75" w:type="dxa"/>
              <w:bottom w:w="65" w:type="dxa"/>
              <w:end w:w="75" w:type="dxa"/>
            </w:tcMar>
            <w:vAlign w:val="top"/>
          </w:tcPr>
          <w:p>
            <w:pPr>
              <w:spacing w:after="0"/>
            </w:pPr>
            <w:r>
              <w:rPr>
                <w:sz w:val="16"/>
              </w:rPr>
              <w:t>Generative centrality</w:t>
            </w:r>
          </w:p>
        </w:tc>
        <w:tc>
          <w:tcPr>
            <w:tcW w:type="dxa" w:w="7848"/>
            <w:tcMar>
              <w:top w:w="65" w:type="dxa"/>
              <w:start w:w="75" w:type="dxa"/>
              <w:bottom w:w="65" w:type="dxa"/>
              <w:end w:w="75" w:type="dxa"/>
            </w:tcMar>
            <w:vAlign w:val="top"/>
          </w:tcPr>
          <w:p>
            <w:pPr>
              <w:spacing w:after="0"/>
            </w:pPr>
            <w:r>
              <w:rPr>
                <w:sz w:val="16"/>
              </w:rPr>
              <w:t>Which node helps determine which future high-authority vertices enter the graph?</w:t>
            </w:r>
          </w:p>
        </w:tc>
      </w:tr>
      <w:tr>
        <w:tc>
          <w:tcPr>
            <w:tcW w:type="dxa" w:w="2376"/>
            <w:tcMar>
              <w:top w:w="65" w:type="dxa"/>
              <w:start w:w="75" w:type="dxa"/>
              <w:bottom w:w="65" w:type="dxa"/>
              <w:end w:w="75" w:type="dxa"/>
            </w:tcMar>
            <w:vAlign w:val="top"/>
          </w:tcPr>
          <w:p>
            <w:pPr>
              <w:spacing w:after="0"/>
            </w:pPr>
            <w:r>
              <w:rPr>
                <w:sz w:val="16"/>
              </w:rPr>
              <w:t>Temporal synchronization</w:t>
            </w:r>
          </w:p>
        </w:tc>
        <w:tc>
          <w:tcPr>
            <w:tcW w:type="dxa" w:w="7848"/>
            <w:tcMar>
              <w:top w:w="65" w:type="dxa"/>
              <w:start w:w="75" w:type="dxa"/>
              <w:bottom w:w="65" w:type="dxa"/>
              <w:end w:w="75" w:type="dxa"/>
            </w:tcMar>
            <w:vAlign w:val="top"/>
          </w:tcPr>
          <w:p>
            <w:pPr>
              <w:spacing w:after="0"/>
            </w:pPr>
            <w:r>
              <w:rPr>
                <w:sz w:val="16"/>
              </w:rPr>
              <w:t>Which bridge repeatedly touches independent state transitions in short windows?</w:t>
            </w:r>
          </w:p>
        </w:tc>
      </w:tr>
    </w:tbl>
    <w:p>
      <w:pPr>
        <w:spacing w:after="0"/>
      </w:pPr>
    </w:p>
    <w:p>
      <w:pPr>
        <w:pStyle w:val="Heading2"/>
      </w:pPr>
      <w:r>
        <w:t>11.2 Modular power ecology</w:t>
      </w:r>
    </w:p>
    <w:p>
      <w:pPr>
        <w:pStyle w:val="EquationBlock"/>
        <w:shd w:fill="F2F2F2"/>
      </w:pPr>
      <w:r>
        <w:rPr>
          <w:rFonts w:ascii="Cascadia Mono" w:hAnsi="Cascadia Mono"/>
          <w:sz w:val="17"/>
        </w:rPr>
        <w:t>G = G_tech  UNION  G_religious  UNION  G_capital  UNION  G_credentialing  UNION  G_narrative  UNION  G_access</w:t>
      </w:r>
    </w:p>
    <w:p>
      <w:pPr>
        <w:pStyle w:val="ArchitectureBlock"/>
        <w:pBdr>
          <w:left w:val="single" w:sz="8" w:space="6" w:color="8A8A8A"/>
        </w:pBdr>
      </w:pPr>
      <w:r>
        <w:t>The source graph does not resolve into one giant clique. It resolves into modules joined by a relatively small bridge class. Brokerage therefore matters more than sheer membership.</w:t>
      </w:r>
    </w:p>
    <w:p>
      <w:pPr>
        <w:pStyle w:val="EquationBlock"/>
        <w:shd w:fill="F2F2F2"/>
      </w:pPr>
      <w:r>
        <w:rPr>
          <w:rFonts w:ascii="Cascadia Mono" w:hAnsi="Cascadia Mono"/>
          <w:sz w:val="17"/>
        </w:rPr>
        <w:t>B = { v : v connects otherwise separate modules }</w:t>
      </w:r>
    </w:p>
    <w:p>
      <w:pPr>
        <w:pStyle w:val="Heading2"/>
      </w:pPr>
      <w:r>
        <w:t>11.3 Bridge species</w:t>
      </w:r>
    </w:p>
    <w:tbl>
      <w:tblPr>
        <w:tblStyle w:val="TableGrid"/>
        <w:tblW w:type="auto" w:w="0"/>
        <w:jc w:val="center"/>
        <w:tblLayout w:type="autofit"/>
        <w:tblLook w:firstColumn="1" w:firstRow="1" w:lastColumn="0" w:lastRow="0" w:noHBand="0" w:noVBand="1" w:val="04A0"/>
      </w:tblPr>
      <w:tblGrid>
        <w:gridCol w:w="5083"/>
        <w:gridCol w:w="5083"/>
      </w:tblGrid>
      <w:tr>
        <w:tc>
          <w:tcPr>
            <w:tcW w:type="dxa" w:w="3024"/>
            <w:shd w:fill="E7E7E7"/>
            <w:tcMar>
              <w:top w:w="65" w:type="dxa"/>
              <w:start w:w="75" w:type="dxa"/>
              <w:bottom w:w="65" w:type="dxa"/>
              <w:end w:w="75" w:type="dxa"/>
            </w:tcMar>
            <w:vAlign w:val="center"/>
          </w:tcPr>
          <w:p>
            <w:r>
              <w:rPr>
                <w:b/>
                <w:sz w:val="16"/>
              </w:rPr>
              <w:t>Node / class</w:t>
            </w:r>
          </w:p>
        </w:tc>
        <w:tc>
          <w:tcPr>
            <w:tcW w:type="dxa" w:w="7200"/>
            <w:shd w:fill="E7E7E7"/>
            <w:tcMar>
              <w:top w:w="65" w:type="dxa"/>
              <w:start w:w="75" w:type="dxa"/>
              <w:bottom w:w="65" w:type="dxa"/>
              <w:end w:w="75" w:type="dxa"/>
            </w:tcMar>
            <w:vAlign w:val="center"/>
          </w:tcPr>
          <w:p>
            <w:r>
              <w:rPr>
                <w:b/>
                <w:sz w:val="16"/>
              </w:rPr>
              <w:t>Bridge geometry</w:t>
            </w:r>
          </w:p>
        </w:tc>
      </w:tr>
      <w:tr>
        <w:tc>
          <w:tcPr>
            <w:tcW w:type="dxa" w:w="3024"/>
            <w:tcMar>
              <w:top w:w="65" w:type="dxa"/>
              <w:start w:w="75" w:type="dxa"/>
              <w:bottom w:w="65" w:type="dxa"/>
              <w:end w:w="75" w:type="dxa"/>
            </w:tcMar>
            <w:vAlign w:val="top"/>
          </w:tcPr>
          <w:p>
            <w:pPr>
              <w:spacing w:after="0"/>
            </w:pPr>
            <w:r>
              <w:rPr>
                <w:sz w:val="16"/>
              </w:rPr>
              <w:t>Infrastructure vendor</w:t>
            </w:r>
          </w:p>
        </w:tc>
        <w:tc>
          <w:tcPr>
            <w:tcW w:type="dxa" w:w="7200"/>
            <w:tcMar>
              <w:top w:w="65" w:type="dxa"/>
              <w:start w:w="75" w:type="dxa"/>
              <w:bottom w:w="65" w:type="dxa"/>
              <w:end w:w="75" w:type="dxa"/>
            </w:tcMar>
            <w:vAlign w:val="top"/>
          </w:tcPr>
          <w:p>
            <w:pPr>
              <w:spacing w:after="0"/>
            </w:pPr>
            <w:r>
              <w:rPr>
                <w:sz w:val="16"/>
              </w:rPr>
              <w:t>Cross-agency technical bridge</w:t>
            </w:r>
          </w:p>
        </w:tc>
      </w:tr>
      <w:tr>
        <w:tc>
          <w:tcPr>
            <w:tcW w:type="dxa" w:w="3024"/>
            <w:tcMar>
              <w:top w:w="65" w:type="dxa"/>
              <w:start w:w="75" w:type="dxa"/>
              <w:bottom w:w="65" w:type="dxa"/>
              <w:end w:w="75" w:type="dxa"/>
            </w:tcMar>
            <w:vAlign w:val="top"/>
          </w:tcPr>
          <w:p>
            <w:pPr>
              <w:spacing w:after="0"/>
            </w:pPr>
            <w:r>
              <w:rPr>
                <w:sz w:val="16"/>
              </w:rPr>
              <w:t>Cross-module social broker</w:t>
            </w:r>
          </w:p>
        </w:tc>
        <w:tc>
          <w:tcPr>
            <w:tcW w:type="dxa" w:w="7200"/>
            <w:tcMar>
              <w:top w:w="65" w:type="dxa"/>
              <w:start w:w="75" w:type="dxa"/>
              <w:bottom w:w="65" w:type="dxa"/>
              <w:end w:w="75" w:type="dxa"/>
            </w:tcMar>
            <w:vAlign w:val="top"/>
          </w:tcPr>
          <w:p>
            <w:pPr>
              <w:spacing w:after="0"/>
            </w:pPr>
            <w:r>
              <w:rPr>
                <w:sz w:val="16"/>
              </w:rPr>
              <w:t>Private access &lt;-&gt; technical/capital/state module</w:t>
            </w:r>
          </w:p>
        </w:tc>
      </w:tr>
      <w:tr>
        <w:tc>
          <w:tcPr>
            <w:tcW w:type="dxa" w:w="3024"/>
            <w:tcMar>
              <w:top w:w="65" w:type="dxa"/>
              <w:start w:w="75" w:type="dxa"/>
              <w:bottom w:w="65" w:type="dxa"/>
              <w:end w:w="75" w:type="dxa"/>
            </w:tcMar>
            <w:vAlign w:val="top"/>
          </w:tcPr>
          <w:p>
            <w:pPr>
              <w:spacing w:after="0"/>
            </w:pPr>
            <w:r>
              <w:rPr>
                <w:sz w:val="16"/>
              </w:rPr>
              <w:t>Credentialing network</w:t>
            </w:r>
          </w:p>
        </w:tc>
        <w:tc>
          <w:tcPr>
            <w:tcW w:type="dxa" w:w="7200"/>
            <w:tcMar>
              <w:top w:w="65" w:type="dxa"/>
              <w:start w:w="75" w:type="dxa"/>
              <w:bottom w:w="65" w:type="dxa"/>
              <w:end w:w="75" w:type="dxa"/>
            </w:tcMar>
            <w:vAlign w:val="top"/>
          </w:tcPr>
          <w:p>
            <w:pPr>
              <w:spacing w:after="0"/>
            </w:pPr>
            <w:r>
              <w:rPr>
                <w:sz w:val="16"/>
              </w:rPr>
              <w:t>Private selection &lt;-&gt; state appointment; creates future vertices</w:t>
            </w:r>
          </w:p>
        </w:tc>
      </w:tr>
      <w:tr>
        <w:tc>
          <w:tcPr>
            <w:tcW w:type="dxa" w:w="3024"/>
            <w:tcMar>
              <w:top w:w="65" w:type="dxa"/>
              <w:start w:w="75" w:type="dxa"/>
              <w:bottom w:w="65" w:type="dxa"/>
              <w:end w:w="75" w:type="dxa"/>
            </w:tcMar>
            <w:vAlign w:val="top"/>
          </w:tcPr>
          <w:p>
            <w:pPr>
              <w:spacing w:after="0"/>
            </w:pPr>
            <w:r>
              <w:rPr>
                <w:sz w:val="16"/>
              </w:rPr>
              <w:t>Narrative amplifier</w:t>
            </w:r>
          </w:p>
        </w:tc>
        <w:tc>
          <w:tcPr>
            <w:tcW w:type="dxa" w:w="7200"/>
            <w:tcMar>
              <w:top w:w="65" w:type="dxa"/>
              <w:start w:w="75" w:type="dxa"/>
              <w:bottom w:w="65" w:type="dxa"/>
              <w:end w:w="75" w:type="dxa"/>
            </w:tcMar>
            <w:vAlign w:val="top"/>
          </w:tcPr>
          <w:p>
            <w:pPr>
              <w:spacing w:after="0"/>
            </w:pPr>
            <w:r>
              <w:rPr>
                <w:sz w:val="16"/>
              </w:rPr>
              <w:t>Media/framing &lt;-&gt; mobilization &lt;-&gt; legislative/policy environment</w:t>
            </w:r>
          </w:p>
        </w:tc>
      </w:tr>
      <w:tr>
        <w:tc>
          <w:tcPr>
            <w:tcW w:type="dxa" w:w="3024"/>
            <w:tcMar>
              <w:top w:w="65" w:type="dxa"/>
              <w:start w:w="75" w:type="dxa"/>
              <w:bottom w:w="65" w:type="dxa"/>
              <w:end w:w="75" w:type="dxa"/>
            </w:tcMar>
            <w:vAlign w:val="top"/>
          </w:tcPr>
          <w:p>
            <w:pPr>
              <w:spacing w:after="0"/>
            </w:pPr>
            <w:r>
              <w:rPr>
                <w:sz w:val="16"/>
              </w:rPr>
              <w:t>Normative mediator</w:t>
            </w:r>
          </w:p>
        </w:tc>
        <w:tc>
          <w:tcPr>
            <w:tcW w:type="dxa" w:w="7200"/>
            <w:tcMar>
              <w:top w:w="65" w:type="dxa"/>
              <w:start w:w="75" w:type="dxa"/>
              <w:bottom w:w="65" w:type="dxa"/>
              <w:end w:w="75" w:type="dxa"/>
            </w:tcMar>
            <w:vAlign w:val="top"/>
          </w:tcPr>
          <w:p>
            <w:pPr>
              <w:spacing w:after="0"/>
            </w:pPr>
            <w:r>
              <w:rPr>
                <w:sz w:val="16"/>
              </w:rPr>
              <w:t>Constituency meaning &lt;-&gt; administration</w:t>
            </w:r>
          </w:p>
        </w:tc>
      </w:tr>
      <w:tr>
        <w:tc>
          <w:tcPr>
            <w:tcW w:type="dxa" w:w="3024"/>
            <w:tcMar>
              <w:top w:w="65" w:type="dxa"/>
              <w:start w:w="75" w:type="dxa"/>
              <w:bottom w:w="65" w:type="dxa"/>
              <w:end w:w="75" w:type="dxa"/>
            </w:tcMar>
            <w:vAlign w:val="top"/>
          </w:tcPr>
          <w:p>
            <w:pPr>
              <w:spacing w:after="0"/>
            </w:pPr>
            <w:r>
              <w:rPr>
                <w:sz w:val="16"/>
              </w:rPr>
              <w:t>Senate / scheduling gate</w:t>
            </w:r>
          </w:p>
        </w:tc>
        <w:tc>
          <w:tcPr>
            <w:tcW w:type="dxa" w:w="7200"/>
            <w:tcMar>
              <w:top w:w="65" w:type="dxa"/>
              <w:start w:w="75" w:type="dxa"/>
              <w:bottom w:w="65" w:type="dxa"/>
              <w:end w:w="75" w:type="dxa"/>
            </w:tcMar>
            <w:vAlign w:val="top"/>
          </w:tcPr>
          <w:p>
            <w:pPr>
              <w:spacing w:after="0"/>
            </w:pPr>
            <w:r>
              <w:rPr>
                <w:sz w:val="16"/>
              </w:rPr>
              <w:t>Credentialing &lt;-&gt; timing &lt;-&gt; authorization</w:t>
            </w:r>
          </w:p>
        </w:tc>
      </w:tr>
    </w:tbl>
    <w:p>
      <w:pPr>
        <w:spacing w:after="0"/>
      </w:pPr>
    </w:p>
    <w:p>
      <w:pPr>
        <w:pStyle w:val="Heading2"/>
      </w:pPr>
      <w:r>
        <w:t>11.4 Cabal / durable-network target as mathematics</w:t>
      </w:r>
    </w:p>
    <w:p>
      <w:pPr>
        <w:pStyle w:val="EquationBlock"/>
        <w:shd w:fill="F2F2F2"/>
      </w:pPr>
      <w:r>
        <w:rPr>
          <w:rFonts w:ascii="Cascadia Mono" w:hAnsi="Cascadia Mono"/>
          <w:sz w:val="17"/>
        </w:rPr>
        <w:t>K(C) = rho(C) * D(C) * P(C) * L(C)</w:t>
      </w:r>
    </w:p>
    <w:tbl>
      <w:tblPr>
        <w:tblStyle w:val="TableGrid"/>
        <w:tblW w:type="auto" w:w="0"/>
        <w:jc w:val="center"/>
        <w:tblLayout w:type="autofit"/>
        <w:tblLook w:firstColumn="1" w:firstRow="1" w:lastColumn="0" w:lastRow="0" w:noHBand="0" w:noVBand="1" w:val="04A0"/>
      </w:tblPr>
      <w:tblGrid>
        <w:gridCol w:w="5083"/>
        <w:gridCol w:w="5083"/>
      </w:tblGrid>
      <w:tr>
        <w:tc>
          <w:tcPr>
            <w:tcW w:type="dxa" w:w="1800"/>
            <w:shd w:fill="E7E7E7"/>
            <w:tcMar>
              <w:top w:w="65" w:type="dxa"/>
              <w:start w:w="75" w:type="dxa"/>
              <w:bottom w:w="65" w:type="dxa"/>
              <w:end w:w="75" w:type="dxa"/>
            </w:tcMar>
            <w:vAlign w:val="center"/>
          </w:tcPr>
          <w:p>
            <w:r>
              <w:rPr>
                <w:b/>
                <w:sz w:val="16"/>
              </w:rPr>
              <w:t>Term</w:t>
            </w:r>
          </w:p>
        </w:tc>
        <w:tc>
          <w:tcPr>
            <w:tcW w:type="dxa" w:w="8424"/>
            <w:shd w:fill="E7E7E7"/>
            <w:tcMar>
              <w:top w:w="65" w:type="dxa"/>
              <w:start w:w="75" w:type="dxa"/>
              <w:bottom w:w="65" w:type="dxa"/>
              <w:end w:w="75" w:type="dxa"/>
            </w:tcMar>
            <w:vAlign w:val="center"/>
          </w:tcPr>
          <w:p>
            <w:r>
              <w:rPr>
                <w:b/>
                <w:sz w:val="16"/>
              </w:rPr>
              <w:t>Meaning</w:t>
            </w:r>
          </w:p>
        </w:tc>
      </w:tr>
      <w:tr>
        <w:tc>
          <w:tcPr>
            <w:tcW w:type="dxa" w:w="1800"/>
            <w:tcMar>
              <w:top w:w="65" w:type="dxa"/>
              <w:start w:w="75" w:type="dxa"/>
              <w:bottom w:w="65" w:type="dxa"/>
              <w:end w:w="75" w:type="dxa"/>
            </w:tcMar>
            <w:vAlign w:val="top"/>
          </w:tcPr>
          <w:p>
            <w:pPr>
              <w:spacing w:after="0"/>
            </w:pPr>
            <w:r>
              <w:rPr>
                <w:sz w:val="16"/>
              </w:rPr>
              <w:t>rho(C)</w:t>
            </w:r>
          </w:p>
        </w:tc>
        <w:tc>
          <w:tcPr>
            <w:tcW w:type="dxa" w:w="8424"/>
            <w:tcMar>
              <w:top w:w="65" w:type="dxa"/>
              <w:start w:w="75" w:type="dxa"/>
              <w:bottom w:w="65" w:type="dxa"/>
              <w:end w:w="75" w:type="dxa"/>
            </w:tcMar>
            <w:vAlign w:val="top"/>
          </w:tcPr>
          <w:p>
            <w:pPr>
              <w:spacing w:after="0"/>
            </w:pPr>
            <w:r>
              <w:rPr>
                <w:sz w:val="16"/>
              </w:rPr>
              <w:t>Internal connection density</w:t>
            </w:r>
          </w:p>
        </w:tc>
      </w:tr>
      <w:tr>
        <w:tc>
          <w:tcPr>
            <w:tcW w:type="dxa" w:w="1800"/>
            <w:tcMar>
              <w:top w:w="65" w:type="dxa"/>
              <w:start w:w="75" w:type="dxa"/>
              <w:bottom w:w="65" w:type="dxa"/>
              <w:end w:w="75" w:type="dxa"/>
            </w:tcMar>
            <w:vAlign w:val="top"/>
          </w:tcPr>
          <w:p>
            <w:pPr>
              <w:spacing w:after="0"/>
            </w:pPr>
            <w:r>
              <w:rPr>
                <w:sz w:val="16"/>
              </w:rPr>
              <w:t>D(C)</w:t>
            </w:r>
          </w:p>
        </w:tc>
        <w:tc>
          <w:tcPr>
            <w:tcW w:type="dxa" w:w="8424"/>
            <w:tcMar>
              <w:top w:w="65" w:type="dxa"/>
              <w:start w:w="75" w:type="dxa"/>
              <w:bottom w:w="65" w:type="dxa"/>
              <w:end w:w="75" w:type="dxa"/>
            </w:tcMar>
            <w:vAlign w:val="top"/>
          </w:tcPr>
          <w:p>
            <w:pPr>
              <w:spacing w:after="0"/>
            </w:pPr>
            <w:r>
              <w:rPr>
                <w:sz w:val="16"/>
              </w:rPr>
              <w:t>Domain diversity</w:t>
            </w:r>
          </w:p>
        </w:tc>
      </w:tr>
      <w:tr>
        <w:tc>
          <w:tcPr>
            <w:tcW w:type="dxa" w:w="1800"/>
            <w:tcMar>
              <w:top w:w="65" w:type="dxa"/>
              <w:start w:w="75" w:type="dxa"/>
              <w:bottom w:w="65" w:type="dxa"/>
              <w:end w:w="75" w:type="dxa"/>
            </w:tcMar>
            <w:vAlign w:val="top"/>
          </w:tcPr>
          <w:p>
            <w:pPr>
              <w:spacing w:after="0"/>
            </w:pPr>
            <w:r>
              <w:rPr>
                <w:sz w:val="16"/>
              </w:rPr>
              <w:t>P(C)</w:t>
            </w:r>
          </w:p>
        </w:tc>
        <w:tc>
          <w:tcPr>
            <w:tcW w:type="dxa" w:w="8424"/>
            <w:tcMar>
              <w:top w:w="65" w:type="dxa"/>
              <w:start w:w="75" w:type="dxa"/>
              <w:bottom w:w="65" w:type="dxa"/>
              <w:end w:w="75" w:type="dxa"/>
            </w:tcMar>
            <w:vAlign w:val="top"/>
          </w:tcPr>
          <w:p>
            <w:pPr>
              <w:spacing w:after="0"/>
            </w:pPr>
            <w:r>
              <w:rPr>
                <w:sz w:val="16"/>
              </w:rPr>
              <w:t>Persistence through time</w:t>
            </w:r>
          </w:p>
        </w:tc>
      </w:tr>
      <w:tr>
        <w:tc>
          <w:tcPr>
            <w:tcW w:type="dxa" w:w="1800"/>
            <w:tcMar>
              <w:top w:w="65" w:type="dxa"/>
              <w:start w:w="75" w:type="dxa"/>
              <w:bottom w:w="65" w:type="dxa"/>
              <w:end w:w="75" w:type="dxa"/>
            </w:tcMar>
            <w:vAlign w:val="top"/>
          </w:tcPr>
          <w:p>
            <w:pPr>
              <w:spacing w:after="0"/>
            </w:pPr>
            <w:r>
              <w:rPr>
                <w:sz w:val="16"/>
              </w:rPr>
              <w:t>L(C)</w:t>
            </w:r>
          </w:p>
        </w:tc>
        <w:tc>
          <w:tcPr>
            <w:tcW w:type="dxa" w:w="8424"/>
            <w:tcMar>
              <w:top w:w="65" w:type="dxa"/>
              <w:start w:w="75" w:type="dxa"/>
              <w:bottom w:w="65" w:type="dxa"/>
              <w:end w:w="75" w:type="dxa"/>
            </w:tcMar>
            <w:vAlign w:val="top"/>
          </w:tcPr>
          <w:p>
            <w:pPr>
              <w:spacing w:after="0"/>
            </w:pPr>
            <w:r>
              <w:rPr>
                <w:sz w:val="16"/>
              </w:rPr>
              <w:t>Loop closure</w:t>
            </w:r>
          </w:p>
        </w:tc>
      </w:tr>
    </w:tbl>
    <w:p>
      <w:pPr>
        <w:spacing w:after="0"/>
      </w:pPr>
    </w:p>
    <w:p>
      <w:pPr>
        <w:pStyle w:val="ArchitectureBlock"/>
        <w:pBdr>
          <w:left w:val="single" w:sz="8" w:space="6" w:color="8A8A8A"/>
        </w:pBdr>
      </w:pPr>
      <w:r>
        <w:t>The interesting object is not merely a dense group; ordinary boards, Cabinets, and parties are dense. The target is a cluster that remains unusually interconnected while spanning domains with different institutional purposes and repeatedly closing conversion loops.</w:t>
      </w:r>
    </w:p>
    <w:p>
      <w:pPr>
        <w:pStyle w:val="Heading2"/>
      </w:pPr>
      <w:r>
        <w:t>11.5 Four signatures of a durable coordinated structure</w:t>
      </w:r>
    </w:p>
    <w:tbl>
      <w:tblPr>
        <w:tblStyle w:val="TableGrid"/>
        <w:tblW w:type="auto" w:w="0"/>
        <w:jc w:val="center"/>
        <w:tblLayout w:type="autofit"/>
        <w:tblLook w:firstColumn="1" w:firstRow="1" w:lastColumn="0" w:lastRow="0" w:noHBand="0" w:noVBand="1" w:val="04A0"/>
      </w:tblPr>
      <w:tblGrid>
        <w:gridCol w:w="5083"/>
        <w:gridCol w:w="5083"/>
      </w:tblGrid>
      <w:tr>
        <w:tc>
          <w:tcPr>
            <w:tcW w:type="dxa" w:w="2592"/>
            <w:shd w:fill="E7E7E7"/>
            <w:tcMar>
              <w:top w:w="65" w:type="dxa"/>
              <w:start w:w="75" w:type="dxa"/>
              <w:bottom w:w="65" w:type="dxa"/>
              <w:end w:w="75" w:type="dxa"/>
            </w:tcMar>
            <w:vAlign w:val="center"/>
          </w:tcPr>
          <w:p>
            <w:r>
              <w:rPr>
                <w:b/>
                <w:sz w:val="16"/>
              </w:rPr>
              <w:t>Signature</w:t>
            </w:r>
          </w:p>
        </w:tc>
        <w:tc>
          <w:tcPr>
            <w:tcW w:type="dxa" w:w="7632"/>
            <w:shd w:fill="E7E7E7"/>
            <w:tcMar>
              <w:top w:w="65" w:type="dxa"/>
              <w:start w:w="75" w:type="dxa"/>
              <w:bottom w:w="65" w:type="dxa"/>
              <w:end w:w="75" w:type="dxa"/>
            </w:tcMar>
            <w:vAlign w:val="center"/>
          </w:tcPr>
          <w:p>
            <w:r>
              <w:rPr>
                <w:b/>
                <w:sz w:val="16"/>
              </w:rPr>
              <w:t>Architecture</w:t>
            </w:r>
          </w:p>
        </w:tc>
      </w:tr>
      <w:tr>
        <w:tc>
          <w:tcPr>
            <w:tcW w:type="dxa" w:w="2592"/>
            <w:tcMar>
              <w:top w:w="65" w:type="dxa"/>
              <w:start w:w="75" w:type="dxa"/>
              <w:bottom w:w="65" w:type="dxa"/>
              <w:end w:w="75" w:type="dxa"/>
            </w:tcMar>
            <w:vAlign w:val="top"/>
          </w:tcPr>
          <w:p>
            <w:pPr>
              <w:spacing w:after="0"/>
            </w:pPr>
            <w:r>
              <w:rPr>
                <w:sz w:val="16"/>
              </w:rPr>
              <w:t>A — Multi-domain recurrence</w:t>
            </w:r>
          </w:p>
        </w:tc>
        <w:tc>
          <w:tcPr>
            <w:tcW w:type="dxa" w:w="7632"/>
            <w:tcMar>
              <w:top w:w="65" w:type="dxa"/>
              <w:start w:w="75" w:type="dxa"/>
              <w:bottom w:w="65" w:type="dxa"/>
              <w:end w:w="75" w:type="dxa"/>
            </w:tcMar>
            <w:vAlign w:val="top"/>
          </w:tcPr>
          <w:p>
            <w:pPr>
              <w:spacing w:after="0"/>
            </w:pPr>
            <w:r>
              <w:rPr>
                <w:sz w:val="16"/>
              </w:rPr>
              <w:t>Same small actor set repeatedly appears across otherwise unrelated domains.</w:t>
            </w:r>
          </w:p>
        </w:tc>
      </w:tr>
      <w:tr>
        <w:tc>
          <w:tcPr>
            <w:tcW w:type="dxa" w:w="2592"/>
            <w:tcMar>
              <w:top w:w="65" w:type="dxa"/>
              <w:start w:w="75" w:type="dxa"/>
              <w:bottom w:w="65" w:type="dxa"/>
              <w:end w:w="75" w:type="dxa"/>
            </w:tcMar>
            <w:vAlign w:val="top"/>
          </w:tcPr>
          <w:p>
            <w:pPr>
              <w:spacing w:after="0"/>
            </w:pPr>
            <w:r>
              <w:rPr>
                <w:sz w:val="16"/>
              </w:rPr>
              <w:t>B — Closed conversion loops</w:t>
            </w:r>
          </w:p>
        </w:tc>
        <w:tc>
          <w:tcPr>
            <w:tcW w:type="dxa" w:w="7632"/>
            <w:tcMar>
              <w:top w:w="65" w:type="dxa"/>
              <w:start w:w="75" w:type="dxa"/>
              <w:bottom w:w="65" w:type="dxa"/>
              <w:end w:w="75" w:type="dxa"/>
            </w:tcMar>
            <w:vAlign w:val="top"/>
          </w:tcPr>
          <w:p>
            <w:pPr>
              <w:spacing w:after="0"/>
            </w:pPr>
            <w:r>
              <w:rPr>
                <w:sz w:val="16"/>
              </w:rPr>
              <w:t>e.g. money -&gt; access -&gt; policy -&gt; contract -&gt; money; narrative -&gt; candidate -&gt; office -&gt; policy -&gt; narrative legitimacy.</w:t>
            </w:r>
          </w:p>
        </w:tc>
      </w:tr>
      <w:tr>
        <w:tc>
          <w:tcPr>
            <w:tcW w:type="dxa" w:w="2592"/>
            <w:tcMar>
              <w:top w:w="65" w:type="dxa"/>
              <w:start w:w="75" w:type="dxa"/>
              <w:bottom w:w="65" w:type="dxa"/>
              <w:end w:w="75" w:type="dxa"/>
            </w:tcMar>
            <w:vAlign w:val="top"/>
          </w:tcPr>
          <w:p>
            <w:pPr>
              <w:spacing w:after="0"/>
            </w:pPr>
            <w:r>
              <w:rPr>
                <w:sz w:val="16"/>
              </w:rPr>
              <w:t>C — Occupant substitution without topology change</w:t>
            </w:r>
          </w:p>
        </w:tc>
        <w:tc>
          <w:tcPr>
            <w:tcW w:type="dxa" w:w="7632"/>
            <w:tcMar>
              <w:top w:w="65" w:type="dxa"/>
              <w:start w:w="75" w:type="dxa"/>
              <w:bottom w:w="65" w:type="dxa"/>
              <w:end w:w="75" w:type="dxa"/>
            </w:tcMar>
            <w:vAlign w:val="top"/>
          </w:tcPr>
          <w:p>
            <w:pPr>
              <w:spacing w:after="0"/>
            </w:pPr>
            <w:r>
              <w:rPr>
                <w:sz w:val="16"/>
              </w:rPr>
              <w:t>Person A leaves, Person B replaces them, but the same donors/interpreters/vendors/credentialers/timing mechanics remain.</w:t>
            </w:r>
          </w:p>
        </w:tc>
      </w:tr>
      <w:tr>
        <w:tc>
          <w:tcPr>
            <w:tcW w:type="dxa" w:w="2592"/>
            <w:tcMar>
              <w:top w:w="65" w:type="dxa"/>
              <w:start w:w="75" w:type="dxa"/>
              <w:bottom w:w="65" w:type="dxa"/>
              <w:end w:w="75" w:type="dxa"/>
            </w:tcMar>
            <w:vAlign w:val="top"/>
          </w:tcPr>
          <w:p>
            <w:pPr>
              <w:spacing w:after="0"/>
            </w:pPr>
            <w:r>
              <w:rPr>
                <w:sz w:val="16"/>
              </w:rPr>
              <w:t>D — Cross-clock synchronization</w:t>
            </w:r>
          </w:p>
        </w:tc>
        <w:tc>
          <w:tcPr>
            <w:tcW w:type="dxa" w:w="7632"/>
            <w:tcMar>
              <w:top w:w="65" w:type="dxa"/>
              <w:start w:w="75" w:type="dxa"/>
              <w:bottom w:w="65" w:type="dxa"/>
              <w:end w:w="75" w:type="dxa"/>
            </w:tcMar>
            <w:vAlign w:val="top"/>
          </w:tcPr>
          <w:p>
            <w:pPr>
              <w:spacing w:after="0"/>
            </w:pPr>
            <w:r>
              <w:rPr>
                <w:sz w:val="16"/>
              </w:rPr>
              <w:t>Same actor cluster appears upstream of appointments, contracts, media campaigns, enforcement, legislative timing, and financial events more often than expected.</w:t>
            </w:r>
          </w:p>
        </w:tc>
      </w:tr>
    </w:tbl>
    <w:p>
      <w:pPr>
        <w:spacing w:after="0"/>
      </w:pPr>
    </w:p>
    <w:p>
      <w:pPr>
        <w:pStyle w:val="EquationBlock"/>
        <w:shd w:fill="F2F2F2"/>
      </w:pPr>
      <w:r>
        <w:rPr>
          <w:rFonts w:ascii="Cascadia Mono" w:hAnsi="Cascadia Mono"/>
          <w:sz w:val="17"/>
        </w:rPr>
        <w:t>E_(t+1)  ~=  E_t   [seat persists while occupant changes]</w:t>
      </w:r>
    </w:p>
    <w:p>
      <w:pPr>
        <w:pStyle w:val="Heading2"/>
      </w:pPr>
      <w:r>
        <w:t>11.6 Temporal bridge score</w:t>
      </w:r>
    </w:p>
    <w:p>
      <w:pPr>
        <w:pStyle w:val="EquationBlock"/>
        <w:shd w:fill="F2F2F2"/>
      </w:pPr>
      <w:r>
        <w:rPr>
          <w:rFonts w:ascii="Cascadia Mono" w:hAnsi="Cascadia Mono"/>
          <w:sz w:val="17"/>
        </w:rPr>
        <w:t>e = (u, v, t, tau)</w:t>
      </w:r>
    </w:p>
    <w:p>
      <w:pPr>
        <w:pStyle w:val="EquationBlock"/>
        <w:shd w:fill="F2F2F2"/>
      </w:pPr>
      <w:r>
        <w:rPr>
          <w:rFonts w:ascii="Cascadia Mono" w:hAnsi="Cascadia Mono"/>
          <w:sz w:val="17"/>
        </w:rPr>
        <w:t>S(v) = SUM_(i&lt;j) w_i w_j exp(-|Deltat_ij| / lambda)</w:t>
      </w:r>
    </w:p>
    <w:p>
      <w:pPr>
        <w:pStyle w:val="ArchitectureBlock"/>
        <w:pBdr>
          <w:left w:val="single" w:sz="8" w:space="6" w:color="8A8A8A"/>
        </w:pBdr>
      </w:pPr>
      <w:r>
        <w:t>High S(v) means the same bridge repeatedly touches multiple independent transitions in short windows. This is the Timekeeper search as cross-clock brokerage, not repeated sacred numbers or date numerology.</w:t>
      </w:r>
    </w:p>
    <w:p>
      <w:pPr>
        <w:pStyle w:val="Heading2"/>
      </w:pPr>
      <w:r>
        <w:t>11.7 Fiber reconstruction</w:t>
      </w:r>
    </w:p>
    <w:p>
      <w:pPr>
        <w:pStyle w:val="EquationBlock"/>
        <w:shd w:fill="F2F2F2"/>
      </w:pPr>
      <w:r>
        <w:rPr>
          <w:rFonts w:ascii="Cascadia Mono" w:hAnsi="Cascadia Mono"/>
          <w:sz w:val="17"/>
        </w:rPr>
        <w:t>F_i = F^(-1)(Y_i)</w:t>
      </w:r>
    </w:p>
    <w:p>
      <w:pPr>
        <w:pStyle w:val="EquationBlock"/>
        <w:shd w:fill="F2F2F2"/>
      </w:pPr>
      <w:r>
        <w:rPr>
          <w:rFonts w:ascii="Cascadia Mono" w:hAnsi="Cascadia Mono"/>
          <w:sz w:val="17"/>
        </w:rPr>
        <w:t>I_ij = F_i  INTERSECT  F_j</w:t>
      </w:r>
    </w:p>
    <w:p>
      <w:pPr>
        <w:pStyle w:val="EquationBlock"/>
        <w:shd w:fill="F2F2F2"/>
      </w:pPr>
      <w:r>
        <w:rPr>
          <w:rFonts w:ascii="Cascadia Mono" w:hAnsi="Cascadia Mono"/>
          <w:sz w:val="17"/>
        </w:rPr>
        <w:t>I* =  INTERSECT _i F_i</w:t>
      </w:r>
    </w:p>
    <w:p>
      <w:pPr>
        <w:pStyle w:val="EquationBlock"/>
        <w:shd w:fill="F2F2F2"/>
      </w:pPr>
      <w:r>
        <w:rPr>
          <w:rFonts w:ascii="Cascadia Mono" w:hAnsi="Cascadia Mono"/>
          <w:sz w:val="17"/>
        </w:rPr>
        <w:t>R(v) = SUM_i 1[v  IN  F_i]</w:t>
      </w:r>
    </w:p>
    <w:p>
      <w:pPr>
        <w:pStyle w:val="EquationBlock"/>
        <w:shd w:fill="F2F2F2"/>
      </w:pPr>
      <w:r>
        <w:rPr>
          <w:rFonts w:ascii="Cascadia Mono" w:hAnsi="Cascadia Mono"/>
          <w:sz w:val="17"/>
        </w:rPr>
        <w:t>R(u,v) = SUM_i 1[u,v  IN  F_i]</w:t>
      </w:r>
    </w:p>
    <w:p>
      <w:pPr>
        <w:pStyle w:val="ArchitectureBlock"/>
        <w:pBdr>
          <w:left w:val="single" w:sz="8" w:space="6" w:color="8A8A8A"/>
        </w:pBdr>
      </w:pPr>
      <w:r>
        <w:t>For each consequential public outcome Y, reconstruct the known upstream fiber: money flows, meetings, credentialers, advisers, media frames, vendors, religious networks, staff drafts, and timing choices. Then compare fibers. Recurrent upstream actors and pairs are more probative than isolated celebrity centrality.</w:t>
      </w:r>
    </w:p>
    <w:p>
      <w:pPr>
        <w:pStyle w:val="Heading1"/>
      </w:pPr>
      <w:r>
        <w:t>12. Master Evidence / Uncertainty Register</w:t>
      </w:r>
    </w:p>
    <w:p>
      <w:pPr>
        <w:pStyle w:val="Heading2"/>
      </w:pPr>
      <w:r>
        <w:t>12.1 Strong structural survivors</w:t>
      </w:r>
    </w:p>
    <w:p>
      <w:pPr>
        <w:spacing w:after="32"/>
        <w:ind w:left="317" w:hanging="173"/>
      </w:pPr>
      <w:r>
        <w:rPr>
          <w:b/>
        </w:rPr>
        <w:t xml:space="preserve">• </w:t>
      </w:r>
      <w:r>
        <w:t>Timekeeper function as a real analytical center: control of valid timing is upstream of many institutional state transitions.</w:t>
      </w:r>
    </w:p>
    <w:p>
      <w:pPr>
        <w:spacing w:after="32"/>
        <w:ind w:left="317" w:hanging="173"/>
      </w:pPr>
      <w:r>
        <w:rPr>
          <w:b/>
        </w:rPr>
        <w:t xml:space="preserve">• </w:t>
      </w:r>
      <w:r>
        <w:t>Priesthood-function as a model of mandatory interpretive mediation and custody of adjudication.</w:t>
      </w:r>
    </w:p>
    <w:p>
      <w:pPr>
        <w:spacing w:after="32"/>
        <w:ind w:left="317" w:hanging="173"/>
      </w:pPr>
      <w:r>
        <w:rPr>
          <w:b/>
        </w:rPr>
        <w:t xml:space="preserve">• </w:t>
      </w:r>
      <w:r>
        <w:t>Administrative / Hidden Quotient as a model of representational loss, residuals, and map-over-object capture.</w:t>
      </w:r>
    </w:p>
    <w:p>
      <w:pPr>
        <w:spacing w:after="32"/>
        <w:ind w:left="317" w:hanging="173"/>
      </w:pPr>
      <w:r>
        <w:rPr>
          <w:b/>
        </w:rPr>
        <w:t xml:space="preserve">• </w:t>
      </w:r>
      <w:r>
        <w:t>Spiral recurrence as institutional replay with changed historical state, not exact cyclical prediction.</w:t>
      </w:r>
    </w:p>
    <w:p>
      <w:pPr>
        <w:spacing w:after="32"/>
        <w:ind w:left="317" w:hanging="173"/>
      </w:pPr>
      <w:r>
        <w:rPr>
          <w:b/>
        </w:rPr>
        <w:t xml:space="preserve">• </w:t>
      </w:r>
      <w:r>
        <w:t>Atrahasis labor-politics architecture as textually present; prehistoric identification remains open.</w:t>
      </w:r>
    </w:p>
    <w:p>
      <w:pPr>
        <w:spacing w:after="32"/>
        <w:ind w:left="317" w:hanging="173"/>
      </w:pPr>
      <w:r>
        <w:rPr>
          <w:b/>
        </w:rPr>
        <w:t xml:space="preserve">• </w:t>
      </w:r>
      <w:r>
        <w:t>Babylonian restricted scholarly/timekeeping class and intellectual transmission into later Jewish calendrical/astronomical traditions.</w:t>
      </w:r>
    </w:p>
    <w:p>
      <w:pPr>
        <w:spacing w:after="32"/>
        <w:ind w:left="317" w:hanging="173"/>
      </w:pPr>
      <w:r>
        <w:rPr>
          <w:b/>
        </w:rPr>
        <w:t xml:space="preserve">• </w:t>
      </w:r>
      <w:r>
        <w:t>Jerusalem as distributed elite ecology with separable high-priestly, administrative, scribal/technical, and imperial-financial functions.</w:t>
      </w:r>
    </w:p>
    <w:p>
      <w:pPr>
        <w:spacing w:after="32"/>
        <w:ind w:left="317" w:hanging="173"/>
      </w:pPr>
      <w:r>
        <w:rPr>
          <w:b/>
        </w:rPr>
        <w:t xml:space="preserve">• </w:t>
      </w:r>
      <w:r>
        <w:t>Enochic/Levitical overlap at the scribal-production level, including same-hand and same-manuscript bridges.</w:t>
      </w:r>
    </w:p>
    <w:p>
      <w:pPr>
        <w:spacing w:after="32"/>
        <w:ind w:left="317" w:hanging="173"/>
      </w:pPr>
      <w:r>
        <w:rPr>
          <w:b/>
        </w:rPr>
        <w:t xml:space="preserve">• </w:t>
      </w:r>
      <w:r>
        <w:t>Rupture exposing office topology and changes in admission rules.</w:t>
      </w:r>
    </w:p>
    <w:p>
      <w:pPr>
        <w:spacing w:after="32"/>
        <w:ind w:left="317" w:hanging="173"/>
      </w:pPr>
      <w:r>
        <w:rPr>
          <w:b/>
        </w:rPr>
        <w:t xml:space="preserve">• </w:t>
      </w:r>
      <w:r>
        <w:t>Temple custody -&gt; textual/portable custody as a viable model of institutional survival through political loss of the apex.</w:t>
      </w:r>
    </w:p>
    <w:p>
      <w:pPr>
        <w:pStyle w:val="Heading2"/>
      </w:pPr>
      <w:r>
        <w:t>12.2 Strong but bounded historical-network findings</w:t>
      </w:r>
    </w:p>
    <w:p>
      <w:pPr>
        <w:spacing w:after="32"/>
        <w:ind w:left="317" w:hanging="173"/>
      </w:pPr>
      <w:r>
        <w:rPr>
          <w:b/>
        </w:rPr>
        <w:t xml:space="preserve">• </w:t>
      </w:r>
      <w:r>
        <w:t>Oniads: named hereditary high-priestly custodial house.</w:t>
      </w:r>
    </w:p>
    <w:p>
      <w:pPr>
        <w:spacing w:after="32"/>
        <w:ind w:left="317" w:hanging="173"/>
      </w:pPr>
      <w:r>
        <w:rPr>
          <w:b/>
        </w:rPr>
        <w:t xml:space="preserve">• </w:t>
      </w:r>
      <w:r>
        <w:t>Hakkoz/Accos: named multiplex priestly house across Persian, Seleucid-transition, and Maccabean functions.</w:t>
      </w:r>
    </w:p>
    <w:p>
      <w:pPr>
        <w:spacing w:after="32"/>
        <w:ind w:left="317" w:hanging="173"/>
      </w:pPr>
      <w:r>
        <w:rPr>
          <w:b/>
        </w:rPr>
        <w:t xml:space="preserve">• </w:t>
      </w:r>
      <w:r>
        <w:t>Tobiads: named financial/court/imperial broker module with aristocratic ties.</w:t>
      </w:r>
    </w:p>
    <w:p>
      <w:pPr>
        <w:spacing w:after="32"/>
        <w:ind w:left="317" w:hanging="173"/>
      </w:pPr>
      <w:r>
        <w:rPr>
          <w:b/>
        </w:rPr>
        <w:t xml:space="preserve">• </w:t>
      </w:r>
      <w:r>
        <w:t>Small elite priest-scribal class / Temple learned environment is historically plausible and supported as a social location for anonymous technical production.</w:t>
      </w:r>
    </w:p>
    <w:p>
      <w:pPr>
        <w:spacing w:after="32"/>
        <w:ind w:left="317" w:hanging="173"/>
      </w:pPr>
      <w:r>
        <w:rPr>
          <w:b/>
        </w:rPr>
        <w:t xml:space="preserve">• </w:t>
      </w:r>
      <w:r>
        <w:t>Scribal hands physically bridge Enoch/Levi; Qahat/Amram; Community Rule/calendar; broader Enochic compositions.</w:t>
      </w:r>
    </w:p>
    <w:p>
      <w:pPr>
        <w:spacing w:after="32"/>
        <w:ind w:left="317" w:hanging="173"/>
      </w:pPr>
      <w:r>
        <w:rPr>
          <w:b/>
        </w:rPr>
        <w:t xml:space="preserve">• </w:t>
      </w:r>
      <w:r>
        <w:t>Calendar, priestly roster, community rule, genealogy, and interpretation repeatedly travel together as a legitimacy package.</w:t>
      </w:r>
    </w:p>
    <w:p>
      <w:pPr>
        <w:pStyle w:val="Heading2"/>
      </w:pPr>
      <w:r>
        <w:t>12.3 Open seams</w:t>
      </w:r>
    </w:p>
    <w:tbl>
      <w:tblPr>
        <w:tblStyle w:val="TableGrid"/>
        <w:tblW w:type="auto" w:w="0"/>
        <w:jc w:val="center"/>
        <w:tblLayout w:type="autofit"/>
        <w:tblLook w:firstColumn="1" w:firstRow="1" w:lastColumn="0" w:lastRow="0" w:noHBand="0" w:noVBand="1" w:val="04A0"/>
      </w:tblPr>
      <w:tblGrid>
        <w:gridCol w:w="5083"/>
        <w:gridCol w:w="5083"/>
      </w:tblGrid>
      <w:tr>
        <w:tc>
          <w:tcPr>
            <w:tcW w:type="dxa" w:w="3528"/>
            <w:shd w:fill="E7E7E7"/>
            <w:tcMar>
              <w:top w:w="65" w:type="dxa"/>
              <w:start w:w="75" w:type="dxa"/>
              <w:bottom w:w="65" w:type="dxa"/>
              <w:end w:w="75" w:type="dxa"/>
            </w:tcMar>
            <w:vAlign w:val="center"/>
          </w:tcPr>
          <w:p>
            <w:r>
              <w:rPr>
                <w:b/>
                <w:sz w:val="15"/>
              </w:rPr>
              <w:t>Open edge</w:t>
            </w:r>
          </w:p>
        </w:tc>
        <w:tc>
          <w:tcPr>
            <w:tcW w:type="dxa" w:w="6696"/>
            <w:shd w:fill="E7E7E7"/>
            <w:tcMar>
              <w:top w:w="65" w:type="dxa"/>
              <w:start w:w="75" w:type="dxa"/>
              <w:bottom w:w="65" w:type="dxa"/>
              <w:end w:w="75" w:type="dxa"/>
            </w:tcMar>
            <w:vAlign w:val="center"/>
          </w:tcPr>
          <w:p>
            <w:r>
              <w:rPr>
                <w:b/>
                <w:sz w:val="15"/>
              </w:rPr>
              <w:t>Why it matters</w:t>
            </w:r>
          </w:p>
        </w:tc>
      </w:tr>
      <w:tr>
        <w:tc>
          <w:tcPr>
            <w:tcW w:type="dxa" w:w="3528"/>
            <w:tcMar>
              <w:top w:w="65" w:type="dxa"/>
              <w:start w:w="75" w:type="dxa"/>
              <w:bottom w:w="65" w:type="dxa"/>
              <w:end w:w="75" w:type="dxa"/>
            </w:tcMar>
            <w:vAlign w:val="top"/>
          </w:tcPr>
          <w:p>
            <w:pPr>
              <w:spacing w:after="0"/>
            </w:pPr>
            <w:r>
              <w:rPr>
                <w:sz w:val="15"/>
              </w:rPr>
              <w:t>Named original Enochic/Levitical technical authors</w:t>
            </w:r>
          </w:p>
        </w:tc>
        <w:tc>
          <w:tcPr>
            <w:tcW w:type="dxa" w:w="6696"/>
            <w:tcMar>
              <w:top w:w="65" w:type="dxa"/>
              <w:start w:w="75" w:type="dxa"/>
              <w:bottom w:w="65" w:type="dxa"/>
              <w:end w:w="75" w:type="dxa"/>
            </w:tcMar>
            <w:vAlign w:val="top"/>
          </w:tcPr>
          <w:p>
            <w:pPr>
              <w:spacing w:after="0"/>
            </w:pPr>
            <w:r>
              <w:rPr>
                <w:sz w:val="15"/>
              </w:rPr>
              <w:t>Would turn an anonymous production ecology into recoverable personnel.</w:t>
            </w:r>
          </w:p>
        </w:tc>
      </w:tr>
      <w:tr>
        <w:tc>
          <w:tcPr>
            <w:tcW w:type="dxa" w:w="3528"/>
            <w:tcMar>
              <w:top w:w="65" w:type="dxa"/>
              <w:start w:w="75" w:type="dxa"/>
              <w:bottom w:w="65" w:type="dxa"/>
              <w:end w:w="75" w:type="dxa"/>
            </w:tcMar>
            <w:vAlign w:val="top"/>
          </w:tcPr>
          <w:p>
            <w:pPr>
              <w:spacing w:after="0"/>
            </w:pPr>
            <w:r>
              <w:rPr>
                <w:sz w:val="15"/>
              </w:rPr>
              <w:t>Named Hellenistic priestly-house scribe</w:t>
            </w:r>
          </w:p>
        </w:tc>
        <w:tc>
          <w:tcPr>
            <w:tcW w:type="dxa" w:w="6696"/>
            <w:tcMar>
              <w:top w:w="65" w:type="dxa"/>
              <w:start w:w="75" w:type="dxa"/>
              <w:bottom w:w="65" w:type="dxa"/>
              <w:end w:w="75" w:type="dxa"/>
            </w:tcMar>
            <w:vAlign w:val="top"/>
          </w:tcPr>
          <w:p>
            <w:pPr>
              <w:spacing w:after="0"/>
            </w:pPr>
            <w:r>
              <w:rPr>
                <w:sz w:val="15"/>
              </w:rPr>
              <w:t>Would join house genealogy/office to the technical labor pool.</w:t>
            </w:r>
          </w:p>
        </w:tc>
      </w:tr>
      <w:tr>
        <w:tc>
          <w:tcPr>
            <w:tcW w:type="dxa" w:w="3528"/>
            <w:tcMar>
              <w:top w:w="65" w:type="dxa"/>
              <w:start w:w="75" w:type="dxa"/>
              <w:bottom w:w="65" w:type="dxa"/>
              <w:end w:w="75" w:type="dxa"/>
            </w:tcMar>
            <w:vAlign w:val="top"/>
          </w:tcPr>
          <w:p>
            <w:pPr>
              <w:spacing w:after="0"/>
            </w:pPr>
            <w:r>
              <w:rPr>
                <w:sz w:val="15"/>
              </w:rPr>
              <w:t>Oniad/Hakkoz patronage of Astronomical Enoch / Levi</w:t>
            </w:r>
          </w:p>
        </w:tc>
        <w:tc>
          <w:tcPr>
            <w:tcW w:type="dxa" w:w="6696"/>
            <w:tcMar>
              <w:top w:w="65" w:type="dxa"/>
              <w:start w:w="75" w:type="dxa"/>
              <w:bottom w:w="65" w:type="dxa"/>
              <w:end w:w="75" w:type="dxa"/>
            </w:tcMar>
            <w:vAlign w:val="top"/>
          </w:tcPr>
          <w:p>
            <w:pPr>
              <w:spacing w:after="0"/>
            </w:pPr>
            <w:r>
              <w:rPr>
                <w:sz w:val="15"/>
              </w:rPr>
              <w:t>Would resolve whether technical scribes were internal, adjacent, or rival.</w:t>
            </w:r>
          </w:p>
        </w:tc>
      </w:tr>
      <w:tr>
        <w:tc>
          <w:tcPr>
            <w:tcW w:type="dxa" w:w="3528"/>
            <w:tcMar>
              <w:top w:w="65" w:type="dxa"/>
              <w:start w:w="75" w:type="dxa"/>
              <w:bottom w:w="65" w:type="dxa"/>
              <w:end w:w="75" w:type="dxa"/>
            </w:tcMar>
            <w:vAlign w:val="top"/>
          </w:tcPr>
          <w:p>
            <w:pPr>
              <w:spacing w:after="0"/>
            </w:pPr>
            <w:r>
              <w:rPr>
                <w:sz w:val="15"/>
              </w:rPr>
              <w:t>Specific Babylonian-to-Judean personnel chain for astronomy</w:t>
            </w:r>
          </w:p>
        </w:tc>
        <w:tc>
          <w:tcPr>
            <w:tcW w:type="dxa" w:w="6696"/>
            <w:tcMar>
              <w:top w:w="65" w:type="dxa"/>
              <w:start w:w="75" w:type="dxa"/>
              <w:bottom w:w="65" w:type="dxa"/>
              <w:end w:w="75" w:type="dxa"/>
            </w:tcMar>
            <w:vAlign w:val="top"/>
          </w:tcPr>
          <w:p>
            <w:pPr>
              <w:spacing w:after="0"/>
            </w:pPr>
            <w:r>
              <w:rPr>
                <w:sz w:val="15"/>
              </w:rPr>
              <w:t>Would distinguish ordinary intellectual transmission from a bounded continuity network.</w:t>
            </w:r>
          </w:p>
        </w:tc>
      </w:tr>
      <w:tr>
        <w:tc>
          <w:tcPr>
            <w:tcW w:type="dxa" w:w="3528"/>
            <w:tcMar>
              <w:top w:w="65" w:type="dxa"/>
              <w:start w:w="75" w:type="dxa"/>
              <w:bottom w:w="65" w:type="dxa"/>
              <w:end w:w="75" w:type="dxa"/>
            </w:tcMar>
            <w:vAlign w:val="top"/>
          </w:tcPr>
          <w:p>
            <w:pPr>
              <w:spacing w:after="0"/>
            </w:pPr>
            <w:r>
              <w:rPr>
                <w:sz w:val="15"/>
              </w:rPr>
              <w:t>Qahat/Amram scribe = 1QS scribe?</w:t>
            </w:r>
          </w:p>
        </w:tc>
        <w:tc>
          <w:tcPr>
            <w:tcW w:type="dxa" w:w="6696"/>
            <w:tcMar>
              <w:top w:w="65" w:type="dxa"/>
              <w:start w:w="75" w:type="dxa"/>
              <w:bottom w:w="65" w:type="dxa"/>
              <w:end w:w="75" w:type="dxa"/>
            </w:tcMar>
            <w:vAlign w:val="top"/>
          </w:tcPr>
          <w:p>
            <w:pPr>
              <w:spacing w:after="0"/>
            </w:pPr>
            <w:r>
              <w:rPr>
                <w:sz w:val="15"/>
              </w:rPr>
              <w:t>Would directly join ancestral priestly custody to sectarian governance at the level of one hand.</w:t>
            </w:r>
          </w:p>
        </w:tc>
      </w:tr>
      <w:tr>
        <w:tc>
          <w:tcPr>
            <w:tcW w:type="dxa" w:w="3528"/>
            <w:tcMar>
              <w:top w:w="65" w:type="dxa"/>
              <w:start w:w="75" w:type="dxa"/>
              <w:bottom w:w="65" w:type="dxa"/>
              <w:end w:w="75" w:type="dxa"/>
            </w:tcMar>
            <w:vAlign w:val="top"/>
          </w:tcPr>
          <w:p>
            <w:pPr>
              <w:spacing w:after="0"/>
            </w:pPr>
            <w:r>
              <w:rPr>
                <w:sz w:val="15"/>
              </w:rPr>
              <w:t>Teacher/Wicked Priest exact identities and dating</w:t>
            </w:r>
          </w:p>
        </w:tc>
        <w:tc>
          <w:tcPr>
            <w:tcW w:type="dxa" w:w="6696"/>
            <w:tcMar>
              <w:top w:w="65" w:type="dxa"/>
              <w:start w:w="75" w:type="dxa"/>
              <w:bottom w:w="65" w:type="dxa"/>
              <w:end w:w="75" w:type="dxa"/>
            </w:tcMar>
            <w:vAlign w:val="top"/>
          </w:tcPr>
          <w:p>
            <w:pPr>
              <w:spacing w:after="0"/>
            </w:pPr>
            <w:r>
              <w:rPr>
                <w:sz w:val="15"/>
              </w:rPr>
              <w:t>Biographical uncertainty remains; structural role comparison survives.</w:t>
            </w:r>
          </w:p>
        </w:tc>
      </w:tr>
      <w:tr>
        <w:tc>
          <w:tcPr>
            <w:tcW w:type="dxa" w:w="3528"/>
            <w:tcMar>
              <w:top w:w="65" w:type="dxa"/>
              <w:start w:w="75" w:type="dxa"/>
              <w:bottom w:w="65" w:type="dxa"/>
              <w:end w:w="75" w:type="dxa"/>
            </w:tcMar>
            <w:vAlign w:val="top"/>
          </w:tcPr>
          <w:p>
            <w:pPr>
              <w:spacing w:after="0"/>
            </w:pPr>
            <w:r>
              <w:rPr>
                <w:sz w:val="15"/>
              </w:rPr>
              <w:t>Continuous organization into modernity</w:t>
            </w:r>
          </w:p>
        </w:tc>
        <w:tc>
          <w:tcPr>
            <w:tcW w:type="dxa" w:w="6696"/>
            <w:tcMar>
              <w:top w:w="65" w:type="dxa"/>
              <w:start w:w="75" w:type="dxa"/>
              <w:bottom w:w="65" w:type="dxa"/>
              <w:end w:w="75" w:type="dxa"/>
            </w:tcMar>
            <w:vAlign w:val="top"/>
          </w:tcPr>
          <w:p>
            <w:pPr>
              <w:spacing w:after="0"/>
            </w:pPr>
            <w:r>
              <w:rPr>
                <w:sz w:val="15"/>
              </w:rPr>
              <w:t>Not established; remains speculative despite functional analogies.</w:t>
            </w:r>
          </w:p>
        </w:tc>
      </w:tr>
    </w:tbl>
    <w:p>
      <w:pPr>
        <w:spacing w:after="0"/>
      </w:pPr>
    </w:p>
    <w:p>
      <w:pPr>
        <w:pStyle w:val="Heading2"/>
      </w:pPr>
      <w:r>
        <w:t>12.4 Counter-witnesses that must remain visible</w:t>
      </w:r>
    </w:p>
    <w:p>
      <w:pPr>
        <w:spacing w:after="32"/>
        <w:ind w:left="317" w:hanging="173"/>
      </w:pPr>
      <w:r>
        <w:rPr>
          <w:b/>
        </w:rPr>
        <w:t xml:space="preserve">• </w:t>
      </w:r>
      <w:r>
        <w:t>The current graph is modular rather than one dense all-purpose clique.</w:t>
      </w:r>
    </w:p>
    <w:p>
      <w:pPr>
        <w:spacing w:after="32"/>
        <w:ind w:left="317" w:hanging="173"/>
      </w:pPr>
      <w:r>
        <w:rPr>
          <w:b/>
        </w:rPr>
        <w:t xml:space="preserve">• </w:t>
      </w:r>
      <w:r>
        <w:t>Competitive elite ecosystems can generate the same interface geometry without central command.</w:t>
      </w:r>
    </w:p>
    <w:p>
      <w:pPr>
        <w:spacing w:after="32"/>
        <w:ind w:left="317" w:hanging="173"/>
      </w:pPr>
      <w:r>
        <w:rPr>
          <w:b/>
        </w:rPr>
        <w:t xml:space="preserve">• </w:t>
      </w:r>
      <w:r>
        <w:t>Cultural borrowing and adaptation can explain provenance naturalization without intentional concealment.</w:t>
      </w:r>
    </w:p>
    <w:p>
      <w:pPr>
        <w:spacing w:after="32"/>
        <w:ind w:left="317" w:hanging="173"/>
      </w:pPr>
      <w:r>
        <w:rPr>
          <w:b/>
        </w:rPr>
        <w:t xml:space="preserve">• </w:t>
      </w:r>
      <w:r>
        <w:t>Shared manuscript hands prove copying/transmission overlap, not common original authorship or secret membership.</w:t>
      </w:r>
    </w:p>
    <w:p>
      <w:pPr>
        <w:spacing w:after="32"/>
        <w:ind w:left="317" w:hanging="173"/>
      </w:pPr>
      <w:r>
        <w:rPr>
          <w:b/>
        </w:rPr>
        <w:t xml:space="preserve">• </w:t>
      </w:r>
      <w:r>
        <w:t>Institutional adjacency and financial exposure are not participation.</w:t>
      </w:r>
    </w:p>
    <w:p>
      <w:pPr>
        <w:spacing w:after="32"/>
        <w:ind w:left="317" w:hanging="173"/>
      </w:pPr>
      <w:r>
        <w:rPr>
          <w:b/>
        </w:rPr>
        <w:t xml:space="preserve">• </w:t>
      </w:r>
      <w:r>
        <w:t>An invisible or unpublished justification is a provenance/access problem, not automatically misconduct.</w:t>
      </w:r>
    </w:p>
    <w:p>
      <w:pPr>
        <w:spacing w:after="32"/>
        <w:ind w:left="317" w:hanging="173"/>
      </w:pPr>
      <w:r>
        <w:rPr>
          <w:b/>
        </w:rPr>
        <w:t xml:space="preserve">• </w:t>
      </w:r>
      <w:r>
        <w:t>Early Enochic social identity is debated; a closed third-century 'Enochian sect' cannot be assumed.</w:t>
      </w:r>
    </w:p>
    <w:p>
      <w:pPr>
        <w:spacing w:after="32"/>
        <w:ind w:left="317" w:hanging="173"/>
      </w:pPr>
      <w:r>
        <w:rPr>
          <w:b/>
        </w:rPr>
        <w:t xml:space="preserve">• </w:t>
      </w:r>
      <w:r>
        <w:t>A bounded ancient custodial tradition does not establish continuity into modern elite networks.</w:t>
      </w:r>
    </w:p>
    <w:p>
      <w:pPr>
        <w:pStyle w:val="Heading1"/>
      </w:pPr>
      <w:r>
        <w:t>Appendix A. Formula and State-Transition Register</w:t>
      </w:r>
    </w:p>
    <w:tbl>
      <w:tblPr>
        <w:tblStyle w:val="TableGrid"/>
        <w:tblW w:type="auto" w:w="0"/>
        <w:jc w:val="center"/>
        <w:tblLayout w:type="autofit"/>
        <w:tblLook w:firstColumn="1" w:firstRow="1" w:lastColumn="0" w:lastRow="0" w:noHBand="0" w:noVBand="1" w:val="04A0"/>
      </w:tblPr>
      <w:tblGrid>
        <w:gridCol w:w="5083"/>
        <w:gridCol w:w="5083"/>
      </w:tblGrid>
      <w:tr>
        <w:tc>
          <w:tcPr>
            <w:tcW w:type="dxa" w:w="2880"/>
            <w:shd w:fill="E7E7E7"/>
            <w:tcMar>
              <w:top w:w="65" w:type="dxa"/>
              <w:start w:w="75" w:type="dxa"/>
              <w:bottom w:w="65" w:type="dxa"/>
              <w:end w:w="75" w:type="dxa"/>
            </w:tcMar>
            <w:vAlign w:val="center"/>
          </w:tcPr>
          <w:p>
            <w:r>
              <w:rPr>
                <w:b/>
                <w:sz w:val="16"/>
              </w:rPr>
              <w:t>Object</w:t>
            </w:r>
          </w:p>
        </w:tc>
        <w:tc>
          <w:tcPr>
            <w:tcW w:type="dxa" w:w="7344"/>
            <w:shd w:fill="E7E7E7"/>
            <w:tcMar>
              <w:top w:w="65" w:type="dxa"/>
              <w:start w:w="75" w:type="dxa"/>
              <w:bottom w:w="65" w:type="dxa"/>
              <w:end w:w="75" w:type="dxa"/>
            </w:tcMar>
            <w:vAlign w:val="center"/>
          </w:tcPr>
          <w:p>
            <w:r>
              <w:rPr>
                <w:b/>
                <w:sz w:val="16"/>
              </w:rPr>
              <w:t>Expression</w:t>
            </w:r>
          </w:p>
        </w:tc>
      </w:tr>
      <w:tr>
        <w:tc>
          <w:tcPr>
            <w:tcW w:type="dxa" w:w="2880"/>
            <w:tcMar>
              <w:top w:w="65" w:type="dxa"/>
              <w:start w:w="75" w:type="dxa"/>
              <w:bottom w:w="65" w:type="dxa"/>
              <w:end w:w="75" w:type="dxa"/>
            </w:tcMar>
            <w:vAlign w:val="top"/>
          </w:tcPr>
          <w:p>
            <w:pPr>
              <w:spacing w:after="0"/>
            </w:pPr>
            <w:r>
              <w:rPr>
                <w:sz w:val="16"/>
              </w:rPr>
              <w:t>Master power loop</w:t>
            </w:r>
          </w:p>
        </w:tc>
        <w:tc>
          <w:tcPr>
            <w:tcW w:type="dxa" w:w="7344"/>
            <w:tcMar>
              <w:top w:w="65" w:type="dxa"/>
              <w:start w:w="75" w:type="dxa"/>
              <w:bottom w:w="65" w:type="dxa"/>
              <w:end w:w="75" w:type="dxa"/>
            </w:tcMar>
            <w:vAlign w:val="top"/>
          </w:tcPr>
          <w:p>
            <w:pPr>
              <w:spacing w:after="0"/>
            </w:pPr>
            <w:r>
              <w:rPr>
                <w:sz w:val="16"/>
              </w:rPr>
              <w:t>Credential -&gt; Access -&gt; Interpret -&gt; Amplify -&gt; Authorize -&gt; Allocate -&gt; Enforce -&gt; Adjudicate -&gt; Archive -&gt; Time -&gt; Credential</w:t>
            </w:r>
          </w:p>
        </w:tc>
      </w:tr>
      <w:tr>
        <w:tc>
          <w:tcPr>
            <w:tcW w:type="dxa" w:w="2880"/>
            <w:tcMar>
              <w:top w:w="65" w:type="dxa"/>
              <w:start w:w="75" w:type="dxa"/>
              <w:bottom w:w="65" w:type="dxa"/>
              <w:end w:w="75" w:type="dxa"/>
            </w:tcMar>
            <w:vAlign w:val="top"/>
          </w:tcPr>
          <w:p>
            <w:pPr>
              <w:spacing w:after="0"/>
            </w:pPr>
            <w:r>
              <w:rPr>
                <w:sz w:val="16"/>
              </w:rPr>
              <w:t>Administrative quotient</w:t>
            </w:r>
          </w:p>
        </w:tc>
        <w:tc>
          <w:tcPr>
            <w:tcW w:type="dxa" w:w="7344"/>
            <w:tcMar>
              <w:top w:w="65" w:type="dxa"/>
              <w:start w:w="75" w:type="dxa"/>
              <w:bottom w:w="65" w:type="dxa"/>
              <w:end w:w="75" w:type="dxa"/>
            </w:tcMar>
            <w:vAlign w:val="top"/>
          </w:tcPr>
          <w:p>
            <w:pPr>
              <w:spacing w:after="0"/>
            </w:pPr>
            <w:r>
              <w:rPr>
                <w:sz w:val="16"/>
              </w:rPr>
              <w:t>Q_A : X_rich -&gt; X_legible -&gt; schedule/category/ledger/office -&gt; governance over X</w:t>
            </w:r>
          </w:p>
        </w:tc>
      </w:tr>
      <w:tr>
        <w:tc>
          <w:tcPr>
            <w:tcW w:type="dxa" w:w="2880"/>
            <w:tcMar>
              <w:top w:w="65" w:type="dxa"/>
              <w:start w:w="75" w:type="dxa"/>
              <w:bottom w:w="65" w:type="dxa"/>
              <w:end w:w="75" w:type="dxa"/>
            </w:tcMar>
            <w:vAlign w:val="top"/>
          </w:tcPr>
          <w:p>
            <w:pPr>
              <w:spacing w:after="0"/>
            </w:pPr>
            <w:r>
              <w:rPr>
                <w:sz w:val="16"/>
              </w:rPr>
              <w:t>Remainder</w:t>
            </w:r>
          </w:p>
        </w:tc>
        <w:tc>
          <w:tcPr>
            <w:tcW w:type="dxa" w:w="7344"/>
            <w:tcMar>
              <w:top w:w="65" w:type="dxa"/>
              <w:start w:w="75" w:type="dxa"/>
              <w:bottom w:w="65" w:type="dxa"/>
              <w:end w:w="75" w:type="dxa"/>
            </w:tcMar>
            <w:vAlign w:val="top"/>
          </w:tcPr>
          <w:p>
            <w:pPr>
              <w:spacing w:after="0"/>
            </w:pPr>
            <w:r>
              <w:rPr>
                <w:sz w:val="16"/>
              </w:rPr>
              <w:t>R = X - Q(X)</w:t>
            </w:r>
          </w:p>
        </w:tc>
      </w:tr>
      <w:tr>
        <w:tc>
          <w:tcPr>
            <w:tcW w:type="dxa" w:w="2880"/>
            <w:tcMar>
              <w:top w:w="65" w:type="dxa"/>
              <w:start w:w="75" w:type="dxa"/>
              <w:bottom w:w="65" w:type="dxa"/>
              <w:end w:w="75" w:type="dxa"/>
            </w:tcMar>
            <w:vAlign w:val="top"/>
          </w:tcPr>
          <w:p>
            <w:pPr>
              <w:spacing w:after="0"/>
            </w:pPr>
            <w:r>
              <w:rPr>
                <w:sz w:val="16"/>
              </w:rPr>
              <w:t>Spiral</w:t>
            </w:r>
          </w:p>
        </w:tc>
        <w:tc>
          <w:tcPr>
            <w:tcW w:type="dxa" w:w="7344"/>
            <w:tcMar>
              <w:top w:w="65" w:type="dxa"/>
              <w:start w:w="75" w:type="dxa"/>
              <w:bottom w:w="65" w:type="dxa"/>
              <w:end w:w="75" w:type="dxa"/>
            </w:tcMar>
            <w:vAlign w:val="top"/>
          </w:tcPr>
          <w:p>
            <w:pPr>
              <w:spacing w:after="0"/>
            </w:pPr>
            <w:r>
              <w:rPr>
                <w:sz w:val="16"/>
              </w:rPr>
              <w:t>A0 -&gt; B0 -&gt; C0 -&gt; A1 -&gt; B1 -&gt; C1 -&gt; A2 ...</w:t>
            </w:r>
          </w:p>
        </w:tc>
      </w:tr>
      <w:tr>
        <w:tc>
          <w:tcPr>
            <w:tcW w:type="dxa" w:w="2880"/>
            <w:tcMar>
              <w:top w:w="65" w:type="dxa"/>
              <w:start w:w="75" w:type="dxa"/>
              <w:bottom w:w="65" w:type="dxa"/>
              <w:end w:w="75" w:type="dxa"/>
            </w:tcMar>
            <w:vAlign w:val="top"/>
          </w:tcPr>
          <w:p>
            <w:pPr>
              <w:spacing w:after="0"/>
            </w:pPr>
            <w:r>
              <w:rPr>
                <w:sz w:val="16"/>
              </w:rPr>
              <w:t>Continuity mechanism</w:t>
            </w:r>
          </w:p>
        </w:tc>
        <w:tc>
          <w:tcPr>
            <w:tcW w:type="dxa" w:w="7344"/>
            <w:tcMar>
              <w:top w:w="65" w:type="dxa"/>
              <w:start w:w="75" w:type="dxa"/>
              <w:bottom w:w="65" w:type="dxa"/>
              <w:end w:w="75" w:type="dxa"/>
            </w:tcMar>
            <w:vAlign w:val="top"/>
          </w:tcPr>
          <w:p>
            <w:pPr>
              <w:spacing w:after="0"/>
            </w:pPr>
            <w:r>
              <w:rPr>
                <w:sz w:val="16"/>
              </w:rPr>
              <w:t>family -&gt; apprentice -&gt; office -&gt; archive -&gt; ritual -&gt; credential -&gt; successor</w:t>
            </w:r>
          </w:p>
        </w:tc>
      </w:tr>
      <w:tr>
        <w:tc>
          <w:tcPr>
            <w:tcW w:type="dxa" w:w="2880"/>
            <w:tcMar>
              <w:top w:w="65" w:type="dxa"/>
              <w:start w:w="75" w:type="dxa"/>
              <w:bottom w:w="65" w:type="dxa"/>
              <w:end w:w="75" w:type="dxa"/>
            </w:tcMar>
            <w:vAlign w:val="top"/>
          </w:tcPr>
          <w:p>
            <w:pPr>
              <w:spacing w:after="0"/>
            </w:pPr>
            <w:r>
              <w:rPr>
                <w:sz w:val="16"/>
              </w:rPr>
              <w:t>Cabal/durable-network score</w:t>
            </w:r>
          </w:p>
        </w:tc>
        <w:tc>
          <w:tcPr>
            <w:tcW w:type="dxa" w:w="7344"/>
            <w:tcMar>
              <w:top w:w="65" w:type="dxa"/>
              <w:start w:w="75" w:type="dxa"/>
              <w:bottom w:w="65" w:type="dxa"/>
              <w:end w:w="75" w:type="dxa"/>
            </w:tcMar>
            <w:vAlign w:val="top"/>
          </w:tcPr>
          <w:p>
            <w:pPr>
              <w:spacing w:after="0"/>
            </w:pPr>
            <w:r>
              <w:rPr>
                <w:sz w:val="16"/>
              </w:rPr>
              <w:t>K(C) = rho(C) * D(C) * P(C) * L(C)</w:t>
            </w:r>
          </w:p>
        </w:tc>
      </w:tr>
      <w:tr>
        <w:tc>
          <w:tcPr>
            <w:tcW w:type="dxa" w:w="2880"/>
            <w:tcMar>
              <w:top w:w="65" w:type="dxa"/>
              <w:start w:w="75" w:type="dxa"/>
              <w:bottom w:w="65" w:type="dxa"/>
              <w:end w:w="75" w:type="dxa"/>
            </w:tcMar>
            <w:vAlign w:val="top"/>
          </w:tcPr>
          <w:p>
            <w:pPr>
              <w:spacing w:after="0"/>
            </w:pPr>
            <w:r>
              <w:rPr>
                <w:sz w:val="16"/>
              </w:rPr>
              <w:t>Temporal edge</w:t>
            </w:r>
          </w:p>
        </w:tc>
        <w:tc>
          <w:tcPr>
            <w:tcW w:type="dxa" w:w="7344"/>
            <w:tcMar>
              <w:top w:w="65" w:type="dxa"/>
              <w:start w:w="75" w:type="dxa"/>
              <w:bottom w:w="65" w:type="dxa"/>
              <w:end w:w="75" w:type="dxa"/>
            </w:tcMar>
            <w:vAlign w:val="top"/>
          </w:tcPr>
          <w:p>
            <w:pPr>
              <w:spacing w:after="0"/>
            </w:pPr>
            <w:r>
              <w:rPr>
                <w:sz w:val="16"/>
              </w:rPr>
              <w:t>e = (u, v, t, tau)</w:t>
            </w:r>
          </w:p>
        </w:tc>
      </w:tr>
      <w:tr>
        <w:tc>
          <w:tcPr>
            <w:tcW w:type="dxa" w:w="2880"/>
            <w:tcMar>
              <w:top w:w="65" w:type="dxa"/>
              <w:start w:w="75" w:type="dxa"/>
              <w:bottom w:w="65" w:type="dxa"/>
              <w:end w:w="75" w:type="dxa"/>
            </w:tcMar>
            <w:vAlign w:val="top"/>
          </w:tcPr>
          <w:p>
            <w:pPr>
              <w:spacing w:after="0"/>
            </w:pPr>
            <w:r>
              <w:rPr>
                <w:sz w:val="16"/>
              </w:rPr>
              <w:t>Synchronization</w:t>
            </w:r>
          </w:p>
        </w:tc>
        <w:tc>
          <w:tcPr>
            <w:tcW w:type="dxa" w:w="7344"/>
            <w:tcMar>
              <w:top w:w="65" w:type="dxa"/>
              <w:start w:w="75" w:type="dxa"/>
              <w:bottom w:w="65" w:type="dxa"/>
              <w:end w:w="75" w:type="dxa"/>
            </w:tcMar>
            <w:vAlign w:val="top"/>
          </w:tcPr>
          <w:p>
            <w:pPr>
              <w:spacing w:after="0"/>
            </w:pPr>
            <w:r>
              <w:rPr>
                <w:sz w:val="16"/>
              </w:rPr>
              <w:t>S(v) = SUM_(i&lt;j) w_i w_j exp(-|Deltat_ij| / lambda)</w:t>
            </w:r>
          </w:p>
        </w:tc>
      </w:tr>
      <w:tr>
        <w:tc>
          <w:tcPr>
            <w:tcW w:type="dxa" w:w="2880"/>
            <w:tcMar>
              <w:top w:w="65" w:type="dxa"/>
              <w:start w:w="75" w:type="dxa"/>
              <w:bottom w:w="65" w:type="dxa"/>
              <w:end w:w="75" w:type="dxa"/>
            </w:tcMar>
            <w:vAlign w:val="top"/>
          </w:tcPr>
          <w:p>
            <w:pPr>
              <w:spacing w:after="0"/>
            </w:pPr>
            <w:r>
              <w:rPr>
                <w:sz w:val="16"/>
              </w:rPr>
              <w:t>Outcome fiber</w:t>
            </w:r>
          </w:p>
        </w:tc>
        <w:tc>
          <w:tcPr>
            <w:tcW w:type="dxa" w:w="7344"/>
            <w:tcMar>
              <w:top w:w="65" w:type="dxa"/>
              <w:start w:w="75" w:type="dxa"/>
              <w:bottom w:w="65" w:type="dxa"/>
              <w:end w:w="75" w:type="dxa"/>
            </w:tcMar>
            <w:vAlign w:val="top"/>
          </w:tcPr>
          <w:p>
            <w:pPr>
              <w:spacing w:after="0"/>
            </w:pPr>
            <w:r>
              <w:rPr>
                <w:sz w:val="16"/>
              </w:rPr>
              <w:t>F_i = F^(-1)(Y_i)</w:t>
            </w:r>
          </w:p>
        </w:tc>
      </w:tr>
      <w:tr>
        <w:tc>
          <w:tcPr>
            <w:tcW w:type="dxa" w:w="2880"/>
            <w:tcMar>
              <w:top w:w="65" w:type="dxa"/>
              <w:start w:w="75" w:type="dxa"/>
              <w:bottom w:w="65" w:type="dxa"/>
              <w:end w:w="75" w:type="dxa"/>
            </w:tcMar>
            <w:vAlign w:val="top"/>
          </w:tcPr>
          <w:p>
            <w:pPr>
              <w:spacing w:after="0"/>
            </w:pPr>
            <w:r>
              <w:rPr>
                <w:sz w:val="16"/>
              </w:rPr>
              <w:t>Fiber intersection</w:t>
            </w:r>
          </w:p>
        </w:tc>
        <w:tc>
          <w:tcPr>
            <w:tcW w:type="dxa" w:w="7344"/>
            <w:tcMar>
              <w:top w:w="65" w:type="dxa"/>
              <w:start w:w="75" w:type="dxa"/>
              <w:bottom w:w="65" w:type="dxa"/>
              <w:end w:w="75" w:type="dxa"/>
            </w:tcMar>
            <w:vAlign w:val="top"/>
          </w:tcPr>
          <w:p>
            <w:pPr>
              <w:spacing w:after="0"/>
            </w:pPr>
            <w:r>
              <w:rPr>
                <w:sz w:val="16"/>
              </w:rPr>
              <w:t>I_ij = F_i  INTERSECT  F_j ; I* =  INTERSECT _i F_i</w:t>
            </w:r>
          </w:p>
        </w:tc>
      </w:tr>
      <w:tr>
        <w:tc>
          <w:tcPr>
            <w:tcW w:type="dxa" w:w="2880"/>
            <w:tcMar>
              <w:top w:w="65" w:type="dxa"/>
              <w:start w:w="75" w:type="dxa"/>
              <w:bottom w:w="65" w:type="dxa"/>
              <w:end w:w="75" w:type="dxa"/>
            </w:tcMar>
            <w:vAlign w:val="top"/>
          </w:tcPr>
          <w:p>
            <w:pPr>
              <w:spacing w:after="0"/>
            </w:pPr>
            <w:r>
              <w:rPr>
                <w:sz w:val="16"/>
              </w:rPr>
              <w:t>Node recurrence</w:t>
            </w:r>
          </w:p>
        </w:tc>
        <w:tc>
          <w:tcPr>
            <w:tcW w:type="dxa" w:w="7344"/>
            <w:tcMar>
              <w:top w:w="65" w:type="dxa"/>
              <w:start w:w="75" w:type="dxa"/>
              <w:bottom w:w="65" w:type="dxa"/>
              <w:end w:w="75" w:type="dxa"/>
            </w:tcMar>
            <w:vAlign w:val="top"/>
          </w:tcPr>
          <w:p>
            <w:pPr>
              <w:spacing w:after="0"/>
            </w:pPr>
            <w:r>
              <w:rPr>
                <w:sz w:val="16"/>
              </w:rPr>
              <w:t>R(v) = SUM_i 1[v  IN  F_i]</w:t>
            </w:r>
          </w:p>
        </w:tc>
      </w:tr>
      <w:tr>
        <w:tc>
          <w:tcPr>
            <w:tcW w:type="dxa" w:w="2880"/>
            <w:tcMar>
              <w:top w:w="65" w:type="dxa"/>
              <w:start w:w="75" w:type="dxa"/>
              <w:bottom w:w="65" w:type="dxa"/>
              <w:end w:w="75" w:type="dxa"/>
            </w:tcMar>
            <w:vAlign w:val="top"/>
          </w:tcPr>
          <w:p>
            <w:pPr>
              <w:spacing w:after="0"/>
            </w:pPr>
            <w:r>
              <w:rPr>
                <w:sz w:val="16"/>
              </w:rPr>
              <w:t>Pair recurrence</w:t>
            </w:r>
          </w:p>
        </w:tc>
        <w:tc>
          <w:tcPr>
            <w:tcW w:type="dxa" w:w="7344"/>
            <w:tcMar>
              <w:top w:w="65" w:type="dxa"/>
              <w:start w:w="75" w:type="dxa"/>
              <w:bottom w:w="65" w:type="dxa"/>
              <w:end w:w="75" w:type="dxa"/>
            </w:tcMar>
            <w:vAlign w:val="top"/>
          </w:tcPr>
          <w:p>
            <w:pPr>
              <w:spacing w:after="0"/>
            </w:pPr>
            <w:r>
              <w:rPr>
                <w:sz w:val="16"/>
              </w:rPr>
              <w:t>R(u,v) = SUM_i 1[u,v  IN  F_i]</w:t>
            </w:r>
          </w:p>
        </w:tc>
      </w:tr>
      <w:tr>
        <w:tc>
          <w:tcPr>
            <w:tcW w:type="dxa" w:w="2880"/>
            <w:tcMar>
              <w:top w:w="65" w:type="dxa"/>
              <w:start w:w="75" w:type="dxa"/>
              <w:bottom w:w="65" w:type="dxa"/>
              <w:end w:w="75" w:type="dxa"/>
            </w:tcMar>
            <w:vAlign w:val="top"/>
          </w:tcPr>
          <w:p>
            <w:pPr>
              <w:spacing w:after="0"/>
            </w:pPr>
            <w:r>
              <w:rPr>
                <w:sz w:val="16"/>
              </w:rPr>
              <w:t>Jerusalem ecosystem</w:t>
            </w:r>
          </w:p>
        </w:tc>
        <w:tc>
          <w:tcPr>
            <w:tcW w:type="dxa" w:w="7344"/>
            <w:tcMar>
              <w:top w:w="65" w:type="dxa"/>
              <w:start w:w="75" w:type="dxa"/>
              <w:bottom w:w="65" w:type="dxa"/>
              <w:end w:w="75" w:type="dxa"/>
            </w:tcMar>
            <w:vAlign w:val="top"/>
          </w:tcPr>
          <w:p>
            <w:pPr>
              <w:spacing w:after="0"/>
            </w:pPr>
            <w:r>
              <w:rPr>
                <w:sz w:val="16"/>
              </w:rPr>
              <w:t>C = H  UNION  A  UNION  S  UNION  B</w:t>
            </w:r>
          </w:p>
        </w:tc>
      </w:tr>
      <w:tr>
        <w:tc>
          <w:tcPr>
            <w:tcW w:type="dxa" w:w="2880"/>
            <w:tcMar>
              <w:top w:w="65" w:type="dxa"/>
              <w:start w:w="75" w:type="dxa"/>
              <w:bottom w:w="65" w:type="dxa"/>
              <w:end w:w="75" w:type="dxa"/>
            </w:tcMar>
            <w:vAlign w:val="top"/>
          </w:tcPr>
          <w:p>
            <w:pPr>
              <w:spacing w:after="0"/>
            </w:pPr>
            <w:r>
              <w:rPr>
                <w:sz w:val="16"/>
              </w:rPr>
              <w:t>Hakkoz longitudinal vector</w:t>
            </w:r>
          </w:p>
        </w:tc>
        <w:tc>
          <w:tcPr>
            <w:tcW w:type="dxa" w:w="7344"/>
            <w:tcMar>
              <w:top w:w="65" w:type="dxa"/>
              <w:start w:w="75" w:type="dxa"/>
              <w:bottom w:w="65" w:type="dxa"/>
              <w:end w:w="75" w:type="dxa"/>
            </w:tcMar>
            <w:vAlign w:val="top"/>
          </w:tcPr>
          <w:p>
            <w:pPr>
              <w:spacing w:after="0"/>
            </w:pPr>
            <w:r>
              <w:rPr>
                <w:sz w:val="16"/>
              </w:rPr>
              <w:t>K(t) = (P,$,A) -&gt; (P,B) -&gt; (P,B,L)</w:t>
            </w:r>
          </w:p>
        </w:tc>
      </w:tr>
      <w:tr>
        <w:tc>
          <w:tcPr>
            <w:tcW w:type="dxa" w:w="2880"/>
            <w:tcMar>
              <w:top w:w="65" w:type="dxa"/>
              <w:start w:w="75" w:type="dxa"/>
              <w:bottom w:w="65" w:type="dxa"/>
              <w:end w:w="75" w:type="dxa"/>
            </w:tcMar>
            <w:vAlign w:val="top"/>
          </w:tcPr>
          <w:p>
            <w:pPr>
              <w:spacing w:after="0"/>
            </w:pPr>
            <w:r>
              <w:rPr>
                <w:sz w:val="16"/>
              </w:rPr>
              <w:t>Jerusalem admission rule</w:t>
            </w:r>
          </w:p>
        </w:tc>
        <w:tc>
          <w:tcPr>
            <w:tcW w:type="dxa" w:w="7344"/>
            <w:tcMar>
              <w:top w:w="65" w:type="dxa"/>
              <w:start w:w="75" w:type="dxa"/>
              <w:bottom w:w="65" w:type="dxa"/>
              <w:end w:w="75" w:type="dxa"/>
            </w:tcMar>
            <w:vAlign w:val="top"/>
          </w:tcPr>
          <w:p>
            <w:pPr>
              <w:spacing w:after="0"/>
            </w:pPr>
            <w:r>
              <w:rPr>
                <w:sz w:val="16"/>
              </w:rPr>
              <w:t>Q_J : political appointment / control of Temple -&gt; high priest</w:t>
            </w:r>
          </w:p>
        </w:tc>
      </w:tr>
      <w:tr>
        <w:tc>
          <w:tcPr>
            <w:tcW w:type="dxa" w:w="2880"/>
            <w:tcMar>
              <w:top w:w="65" w:type="dxa"/>
              <w:start w:w="75" w:type="dxa"/>
              <w:bottom w:w="65" w:type="dxa"/>
              <w:end w:w="75" w:type="dxa"/>
            </w:tcMar>
            <w:vAlign w:val="top"/>
          </w:tcPr>
          <w:p>
            <w:pPr>
              <w:spacing w:after="0"/>
            </w:pPr>
            <w:r>
              <w:rPr>
                <w:sz w:val="16"/>
              </w:rPr>
              <w:t>Opposition admission rule</w:t>
            </w:r>
          </w:p>
        </w:tc>
        <w:tc>
          <w:tcPr>
            <w:tcW w:type="dxa" w:w="7344"/>
            <w:tcMar>
              <w:top w:w="65" w:type="dxa"/>
              <w:start w:w="75" w:type="dxa"/>
              <w:bottom w:w="65" w:type="dxa"/>
              <w:end w:w="75" w:type="dxa"/>
            </w:tcMar>
            <w:vAlign w:val="top"/>
          </w:tcPr>
          <w:p>
            <w:pPr>
              <w:spacing w:after="0"/>
            </w:pPr>
            <w:r>
              <w:rPr>
                <w:sz w:val="16"/>
              </w:rPr>
              <w:t>Q_S : Zadokite legitimacy + correct rule-set -&gt; valid priesthood</w:t>
            </w:r>
          </w:p>
        </w:tc>
      </w:tr>
      <w:tr>
        <w:tc>
          <w:tcPr>
            <w:tcW w:type="dxa" w:w="2880"/>
            <w:tcMar>
              <w:top w:w="65" w:type="dxa"/>
              <w:start w:w="75" w:type="dxa"/>
              <w:bottom w:w="65" w:type="dxa"/>
              <w:end w:w="75" w:type="dxa"/>
            </w:tcMar>
            <w:vAlign w:val="top"/>
          </w:tcPr>
          <w:p>
            <w:pPr>
              <w:spacing w:after="0"/>
            </w:pPr>
            <w:r>
              <w:rPr>
                <w:sz w:val="16"/>
              </w:rPr>
              <w:t>Teacher / Wicked Priest</w:t>
            </w:r>
          </w:p>
        </w:tc>
        <w:tc>
          <w:tcPr>
            <w:tcW w:type="dxa" w:w="7344"/>
            <w:tcMar>
              <w:top w:w="65" w:type="dxa"/>
              <w:start w:w="75" w:type="dxa"/>
              <w:bottom w:w="65" w:type="dxa"/>
              <w:end w:w="75" w:type="dxa"/>
            </w:tcMar>
            <w:vAlign w:val="top"/>
          </w:tcPr>
          <w:p>
            <w:pPr>
              <w:spacing w:after="0"/>
            </w:pPr>
            <w:r>
              <w:rPr>
                <w:sz w:val="16"/>
              </w:rPr>
              <w:t>T=(text,interpretation,calendar/law,community); W=(office,Temple,state,force)</w:t>
            </w:r>
          </w:p>
        </w:tc>
      </w:tr>
    </w:tbl>
    <w:p>
      <w:pPr>
        <w:spacing w:after="0"/>
      </w:pPr>
    </w:p>
    <w:p>
      <w:pPr>
        <w:pStyle w:val="Heading2"/>
      </w:pPr>
      <w:r>
        <w:t>State-transition macros</w:t>
      </w:r>
    </w:p>
    <w:p>
      <w:pPr>
        <w:pStyle w:val="EquationBlock"/>
        <w:shd w:fill="F2F2F2"/>
      </w:pPr>
      <w:r>
        <w:rPr>
          <w:rFonts w:ascii="Cascadia Mono" w:hAnsi="Cascadia Mono"/>
          <w:sz w:val="17"/>
        </w:rPr>
        <w:t>POWER CRISIS -&gt; MEASUREMENT -&gt; STANDARDIZATION -&gt; CUSTODY -&gt; LEGITIMACY -&gt; OBLIGATION -&gt; ENFORCEMENT -&gt; REMAINDER -&gt; RETURN</w:t>
      </w:r>
    </w:p>
    <w:p>
      <w:pPr>
        <w:pStyle w:val="EquationBlock"/>
        <w:shd w:fill="F2F2F2"/>
      </w:pPr>
      <w:r>
        <w:rPr>
          <w:rFonts w:ascii="Cascadia Mono" w:hAnsi="Cascadia Mono"/>
          <w:sz w:val="17"/>
        </w:rPr>
        <w:t>TIME -&gt; MEASURE -&gt; LEDGER -&gt; LEGITIMACY -&gt; OBLIGATION -&gt; CAPTURE -&gt; REMAINDER -&gt; RETURN</w:t>
      </w:r>
    </w:p>
    <w:p>
      <w:pPr>
        <w:pStyle w:val="EquationBlock"/>
        <w:shd w:fill="F2F2F2"/>
      </w:pPr>
      <w:r>
        <w:rPr>
          <w:rFonts w:ascii="Cascadia Mono" w:hAnsi="Cascadia Mono"/>
          <w:sz w:val="17"/>
        </w:rPr>
        <w:t>raw event -&gt; story -&gt; ritual -&gt; office -&gt; obligation -&gt; legitimacy</w:t>
      </w:r>
    </w:p>
    <w:p>
      <w:pPr>
        <w:pStyle w:val="EquationBlock"/>
        <w:shd w:fill="F2F2F2"/>
      </w:pPr>
      <w:r>
        <w:rPr>
          <w:rFonts w:ascii="Cascadia Mono" w:hAnsi="Cascadia Mono"/>
          <w:sz w:val="17"/>
        </w:rPr>
        <w:t>closed representation -&gt; residual accumulation -&gt; disruption -&gt; reorganization -&gt; new categories -&gt; new residual</w:t>
      </w:r>
    </w:p>
    <w:p>
      <w:pPr>
        <w:pStyle w:val="EquationBlock"/>
        <w:shd w:fill="F2F2F2"/>
      </w:pPr>
      <w:r>
        <w:rPr>
          <w:rFonts w:ascii="Cascadia Mono" w:hAnsi="Cascadia Mono"/>
          <w:sz w:val="17"/>
        </w:rPr>
        <w:t>foreign technical knowledge -&gt; local sacred categories -&gt; remote ancestral authority -&gt; indigenous transmission</w:t>
      </w:r>
    </w:p>
    <w:p>
      <w:pPr>
        <w:pStyle w:val="EquationBlock"/>
        <w:shd w:fill="F2F2F2"/>
      </w:pPr>
      <w:r>
        <w:rPr>
          <w:rFonts w:ascii="Cascadia Mono" w:hAnsi="Cascadia Mono"/>
          <w:sz w:val="17"/>
        </w:rPr>
        <w:t>TEMPLE CUSTODY -&gt; TEXTUAL CUSTODY</w:t>
      </w:r>
    </w:p>
    <w:p>
      <w:pPr>
        <w:pStyle w:val="Heading1"/>
      </w:pPr>
      <w:r>
        <w:t>Appendix B. Symbolic Diagnostic Architectures</w:t>
      </w:r>
    </w:p>
    <w:p>
      <w:pPr>
        <w:pStyle w:val="Heading2"/>
      </w:pPr>
      <w:r>
        <w:t>B.1 Priest as administrative necromancer</w:t>
      </w:r>
    </w:p>
    <w:p>
      <w:pPr>
        <w:pStyle w:val="ArchitectureBlock"/>
        <w:pBdr>
          <w:left w:val="single" w:sz="8" w:space="6" w:color="8A8A8A"/>
        </w:pBdr>
      </w:pPr>
      <w:r>
        <w:t>Symbolic diagnostic: the Priest does not create the evidence it governs; it makes dead authority speak. A frozen verdict, inherited rule, unavailable superior, or ancient text is reintroduced through an authorized intermediary and made to govern a living inquiry.</w:t>
      </w:r>
    </w:p>
    <w:p>
      <w:pPr>
        <w:pStyle w:val="EquationBlock"/>
        <w:shd w:fill="F2F2F2"/>
      </w:pPr>
      <w:r>
        <w:rPr>
          <w:rFonts w:ascii="Cascadia Mono" w:hAnsi="Cascadia Mono"/>
          <w:sz w:val="17"/>
        </w:rPr>
        <w:t>dead/frozen authority -&gt; authorized intermediary -&gt; revived classification -&gt; living obligation</w:t>
      </w:r>
    </w:p>
    <w:p>
      <w:pPr>
        <w:spacing w:after="32"/>
        <w:ind w:left="317" w:hanging="173"/>
      </w:pPr>
      <w:r>
        <w:rPr>
          <w:b/>
        </w:rPr>
        <w:t xml:space="preserve">• </w:t>
      </w:r>
      <w:r>
        <w:t>Useful comparison controls in the source: forged absent authority (Protocols as antisemitic forgery/control specimen), inaccessible higher chiefs (Golden Dawn), specialist ritual access (clerical necromancy), and death/return sovereignty (Baal–Mot).</w:t>
      </w:r>
    </w:p>
    <w:p>
      <w:pPr>
        <w:spacing w:after="32"/>
        <w:ind w:left="317" w:hanging="173"/>
      </w:pPr>
      <w:r>
        <w:rPr>
          <w:b/>
        </w:rPr>
        <w:t xml:space="preserve">• </w:t>
      </w:r>
      <w:r>
        <w:t>The architecture is the governing route, not the truth of the occult claims or the ethnic target of propaganda.</w:t>
      </w:r>
    </w:p>
    <w:p>
      <w:pPr>
        <w:spacing w:after="32"/>
        <w:ind w:left="317" w:hanging="173"/>
      </w:pPr>
      <w:r>
        <w:rPr>
          <w:b/>
        </w:rPr>
        <w:t xml:space="preserve">• </w:t>
      </w:r>
      <w:r>
        <w:t>Full Thaw preserves the archived document while revoking its automatic authority over the present run.</w:t>
      </w:r>
    </w:p>
    <w:p>
      <w:pPr>
        <w:pStyle w:val="Heading2"/>
      </w:pPr>
      <w:r>
        <w:t>B.2 Set / Osiris succession diagnostic</w:t>
      </w:r>
    </w:p>
    <w:tbl>
      <w:tblPr>
        <w:tblStyle w:val="TableGrid"/>
        <w:tblW w:type="auto" w:w="0"/>
        <w:jc w:val="center"/>
        <w:tblLayout w:type="autofit"/>
        <w:tblLook w:firstColumn="1" w:firstRow="1" w:lastColumn="0" w:lastRow="0" w:noHBand="0" w:noVBand="1" w:val="04A0"/>
      </w:tblPr>
      <w:tblGrid>
        <w:gridCol w:w="5083"/>
        <w:gridCol w:w="5083"/>
      </w:tblGrid>
      <w:tr>
        <w:tc>
          <w:tcPr>
            <w:tcW w:type="dxa" w:w="2376"/>
            <w:shd w:fill="E7E7E7"/>
            <w:tcMar>
              <w:top w:w="65" w:type="dxa"/>
              <w:start w:w="75" w:type="dxa"/>
              <w:bottom w:w="65" w:type="dxa"/>
              <w:end w:w="75" w:type="dxa"/>
            </w:tcMar>
            <w:vAlign w:val="center"/>
          </w:tcPr>
          <w:p>
            <w:r>
              <w:rPr>
                <w:b/>
                <w:sz w:val="16"/>
              </w:rPr>
              <w:t>Mythic object</w:t>
            </w:r>
          </w:p>
        </w:tc>
        <w:tc>
          <w:tcPr>
            <w:tcW w:type="dxa" w:w="7848"/>
            <w:shd w:fill="E7E7E7"/>
            <w:tcMar>
              <w:top w:w="65" w:type="dxa"/>
              <w:start w:w="75" w:type="dxa"/>
              <w:bottom w:w="65" w:type="dxa"/>
              <w:end w:w="75" w:type="dxa"/>
            </w:tcMar>
            <w:vAlign w:val="center"/>
          </w:tcPr>
          <w:p>
            <w:r>
              <w:rPr>
                <w:b/>
                <w:sz w:val="16"/>
              </w:rPr>
              <w:t>Diagnostic function</w:t>
            </w:r>
          </w:p>
        </w:tc>
      </w:tr>
      <w:tr>
        <w:tc>
          <w:tcPr>
            <w:tcW w:type="dxa" w:w="2376"/>
            <w:tcMar>
              <w:top w:w="65" w:type="dxa"/>
              <w:start w:w="75" w:type="dxa"/>
              <w:bottom w:w="65" w:type="dxa"/>
              <w:end w:w="75" w:type="dxa"/>
            </w:tcMar>
            <w:vAlign w:val="top"/>
          </w:tcPr>
          <w:p>
            <w:pPr>
              <w:spacing w:after="0"/>
            </w:pPr>
            <w:r>
              <w:rPr>
                <w:sz w:val="16"/>
              </w:rPr>
              <w:t>Osiris</w:t>
            </w:r>
          </w:p>
        </w:tc>
        <w:tc>
          <w:tcPr>
            <w:tcW w:type="dxa" w:w="7848"/>
            <w:tcMar>
              <w:top w:w="65" w:type="dxa"/>
              <w:start w:w="75" w:type="dxa"/>
              <w:bottom w:w="65" w:type="dxa"/>
              <w:end w:w="75" w:type="dxa"/>
            </w:tcMar>
            <w:vAlign w:val="top"/>
          </w:tcPr>
          <w:p>
            <w:pPr>
              <w:spacing w:after="0"/>
            </w:pPr>
            <w:r>
              <w:rPr>
                <w:sz w:val="16"/>
              </w:rPr>
              <w:t>Dead sovereign / frozen canonical order</w:t>
            </w:r>
          </w:p>
        </w:tc>
      </w:tr>
      <w:tr>
        <w:tc>
          <w:tcPr>
            <w:tcW w:type="dxa" w:w="2376"/>
            <w:tcMar>
              <w:top w:w="65" w:type="dxa"/>
              <w:start w:w="75" w:type="dxa"/>
              <w:bottom w:w="65" w:type="dxa"/>
              <w:end w:w="75" w:type="dxa"/>
            </w:tcMar>
            <w:vAlign w:val="top"/>
          </w:tcPr>
          <w:p>
            <w:pPr>
              <w:spacing w:after="0"/>
            </w:pPr>
            <w:r>
              <w:rPr>
                <w:sz w:val="16"/>
              </w:rPr>
              <w:t>Mummification</w:t>
            </w:r>
          </w:p>
        </w:tc>
        <w:tc>
          <w:tcPr>
            <w:tcW w:type="dxa" w:w="7848"/>
            <w:tcMar>
              <w:top w:w="65" w:type="dxa"/>
              <w:start w:w="75" w:type="dxa"/>
              <w:bottom w:w="65" w:type="dxa"/>
              <w:end w:w="75" w:type="dxa"/>
            </w:tcMar>
            <w:vAlign w:val="top"/>
          </w:tcPr>
          <w:p>
            <w:pPr>
              <w:spacing w:after="0"/>
            </w:pPr>
            <w:r>
              <w:rPr>
                <w:sz w:val="16"/>
              </w:rPr>
              <w:t>Freeze and preserve governing identity</w:t>
            </w:r>
          </w:p>
        </w:tc>
      </w:tr>
      <w:tr>
        <w:tc>
          <w:tcPr>
            <w:tcW w:type="dxa" w:w="2376"/>
            <w:tcMar>
              <w:top w:w="65" w:type="dxa"/>
              <w:start w:w="75" w:type="dxa"/>
              <w:bottom w:w="65" w:type="dxa"/>
              <w:end w:w="75" w:type="dxa"/>
            </w:tcMar>
            <w:vAlign w:val="top"/>
          </w:tcPr>
          <w:p>
            <w:pPr>
              <w:spacing w:after="0"/>
            </w:pPr>
            <w:r>
              <w:rPr>
                <w:sz w:val="16"/>
              </w:rPr>
              <w:t>Isis</w:t>
            </w:r>
          </w:p>
        </w:tc>
        <w:tc>
          <w:tcPr>
            <w:tcW w:type="dxa" w:w="7848"/>
            <w:tcMar>
              <w:top w:w="65" w:type="dxa"/>
              <w:start w:w="75" w:type="dxa"/>
              <w:bottom w:w="65" w:type="dxa"/>
              <w:end w:w="75" w:type="dxa"/>
            </w:tcMar>
            <w:vAlign w:val="top"/>
          </w:tcPr>
          <w:p>
            <w:pPr>
              <w:spacing w:after="0"/>
            </w:pPr>
            <w:r>
              <w:rPr>
                <w:sz w:val="16"/>
              </w:rPr>
              <w:t>Archivist / continuity engineer</w:t>
            </w:r>
          </w:p>
        </w:tc>
      </w:tr>
      <w:tr>
        <w:tc>
          <w:tcPr>
            <w:tcW w:type="dxa" w:w="2376"/>
            <w:tcMar>
              <w:top w:w="65" w:type="dxa"/>
              <w:start w:w="75" w:type="dxa"/>
              <w:bottom w:w="65" w:type="dxa"/>
              <w:end w:w="75" w:type="dxa"/>
            </w:tcMar>
            <w:vAlign w:val="top"/>
          </w:tcPr>
          <w:p>
            <w:pPr>
              <w:spacing w:after="0"/>
            </w:pPr>
            <w:r>
              <w:rPr>
                <w:sz w:val="16"/>
              </w:rPr>
              <w:t>Priests / initiates</w:t>
            </w:r>
          </w:p>
        </w:tc>
        <w:tc>
          <w:tcPr>
            <w:tcW w:type="dxa" w:w="7848"/>
            <w:tcMar>
              <w:top w:w="65" w:type="dxa"/>
              <w:start w:w="75" w:type="dxa"/>
              <w:bottom w:w="65" w:type="dxa"/>
              <w:end w:w="75" w:type="dxa"/>
            </w:tcMar>
            <w:vAlign w:val="top"/>
          </w:tcPr>
          <w:p>
            <w:pPr>
              <w:spacing w:after="0"/>
            </w:pPr>
            <w:r>
              <w:rPr>
                <w:sz w:val="16"/>
              </w:rPr>
              <w:t>Adept class guarding resurrection technology</w:t>
            </w:r>
          </w:p>
        </w:tc>
      </w:tr>
      <w:tr>
        <w:tc>
          <w:tcPr>
            <w:tcW w:type="dxa" w:w="2376"/>
            <w:tcMar>
              <w:top w:w="65" w:type="dxa"/>
              <w:start w:w="75" w:type="dxa"/>
              <w:bottom w:w="65" w:type="dxa"/>
              <w:end w:w="75" w:type="dxa"/>
            </w:tcMar>
            <w:vAlign w:val="top"/>
          </w:tcPr>
          <w:p>
            <w:pPr>
              <w:spacing w:after="0"/>
            </w:pPr>
            <w:r>
              <w:rPr>
                <w:sz w:val="16"/>
              </w:rPr>
              <w:t>Dismemberment</w:t>
            </w:r>
          </w:p>
        </w:tc>
        <w:tc>
          <w:tcPr>
            <w:tcW w:type="dxa" w:w="7848"/>
            <w:tcMar>
              <w:top w:w="65" w:type="dxa"/>
              <w:start w:w="75" w:type="dxa"/>
              <w:bottom w:w="65" w:type="dxa"/>
              <w:end w:w="75" w:type="dxa"/>
            </w:tcMar>
            <w:vAlign w:val="top"/>
          </w:tcPr>
          <w:p>
            <w:pPr>
              <w:spacing w:after="0"/>
            </w:pPr>
            <w:r>
              <w:rPr>
                <w:sz w:val="16"/>
              </w:rPr>
              <w:t>Full Thaw: break the corpse's controlling wholeness</w:t>
            </w:r>
          </w:p>
        </w:tc>
      </w:tr>
      <w:tr>
        <w:tc>
          <w:tcPr>
            <w:tcW w:type="dxa" w:w="2376"/>
            <w:tcMar>
              <w:top w:w="65" w:type="dxa"/>
              <w:start w:w="75" w:type="dxa"/>
              <w:bottom w:w="65" w:type="dxa"/>
              <w:end w:w="75" w:type="dxa"/>
            </w:tcMar>
            <w:vAlign w:val="top"/>
          </w:tcPr>
          <w:p>
            <w:pPr>
              <w:spacing w:after="0"/>
            </w:pPr>
            <w:r>
              <w:rPr>
                <w:sz w:val="16"/>
              </w:rPr>
              <w:t>Missing phallus</w:t>
            </w:r>
          </w:p>
        </w:tc>
        <w:tc>
          <w:tcPr>
            <w:tcW w:type="dxa" w:w="7848"/>
            <w:tcMar>
              <w:top w:w="65" w:type="dxa"/>
              <w:start w:w="75" w:type="dxa"/>
              <w:bottom w:w="65" w:type="dxa"/>
              <w:end w:w="75" w:type="dxa"/>
            </w:tcMar>
            <w:vAlign w:val="top"/>
          </w:tcPr>
          <w:p>
            <w:pPr>
              <w:spacing w:after="0"/>
            </w:pPr>
            <w:r>
              <w:rPr>
                <w:sz w:val="16"/>
              </w:rPr>
              <w:t>Severed reproduction / dynastic continuity</w:t>
            </w:r>
          </w:p>
        </w:tc>
      </w:tr>
      <w:tr>
        <w:tc>
          <w:tcPr>
            <w:tcW w:type="dxa" w:w="2376"/>
            <w:tcMar>
              <w:top w:w="65" w:type="dxa"/>
              <w:start w:w="75" w:type="dxa"/>
              <w:bottom w:w="65" w:type="dxa"/>
              <w:end w:w="75" w:type="dxa"/>
            </w:tcMar>
            <w:vAlign w:val="top"/>
          </w:tcPr>
          <w:p>
            <w:pPr>
              <w:spacing w:after="0"/>
            </w:pPr>
            <w:r>
              <w:rPr>
                <w:sz w:val="16"/>
              </w:rPr>
              <w:t>Artificial phallus</w:t>
            </w:r>
          </w:p>
        </w:tc>
        <w:tc>
          <w:tcPr>
            <w:tcW w:type="dxa" w:w="7848"/>
            <w:tcMar>
              <w:top w:w="65" w:type="dxa"/>
              <w:start w:w="75" w:type="dxa"/>
              <w:bottom w:w="65" w:type="dxa"/>
              <w:end w:w="75" w:type="dxa"/>
            </w:tcMar>
            <w:vAlign w:val="top"/>
          </w:tcPr>
          <w:p>
            <w:pPr>
              <w:spacing w:after="0"/>
            </w:pPr>
            <w:r>
              <w:rPr>
                <w:sz w:val="16"/>
              </w:rPr>
              <w:t>Manufactured provenance replacing missing origin</w:t>
            </w:r>
          </w:p>
        </w:tc>
      </w:tr>
      <w:tr>
        <w:tc>
          <w:tcPr>
            <w:tcW w:type="dxa" w:w="2376"/>
            <w:tcMar>
              <w:top w:w="65" w:type="dxa"/>
              <w:start w:w="75" w:type="dxa"/>
              <w:bottom w:w="65" w:type="dxa"/>
              <w:end w:w="75" w:type="dxa"/>
            </w:tcMar>
            <w:vAlign w:val="top"/>
          </w:tcPr>
          <w:p>
            <w:pPr>
              <w:spacing w:after="0"/>
            </w:pPr>
            <w:r>
              <w:rPr>
                <w:sz w:val="16"/>
              </w:rPr>
              <w:t>Horus</w:t>
            </w:r>
          </w:p>
        </w:tc>
        <w:tc>
          <w:tcPr>
            <w:tcW w:type="dxa" w:w="7848"/>
            <w:tcMar>
              <w:top w:w="65" w:type="dxa"/>
              <w:start w:w="75" w:type="dxa"/>
              <w:bottom w:w="65" w:type="dxa"/>
              <w:end w:w="75" w:type="dxa"/>
            </w:tcMar>
            <w:vAlign w:val="top"/>
          </w:tcPr>
          <w:p>
            <w:pPr>
              <w:spacing w:after="0"/>
            </w:pPr>
            <w:r>
              <w:rPr>
                <w:sz w:val="16"/>
              </w:rPr>
              <w:t>New regime authorized by reconstructed dead authority</w:t>
            </w:r>
          </w:p>
        </w:tc>
      </w:tr>
      <w:tr>
        <w:tc>
          <w:tcPr>
            <w:tcW w:type="dxa" w:w="2376"/>
            <w:tcMar>
              <w:top w:w="65" w:type="dxa"/>
              <w:start w:w="75" w:type="dxa"/>
              <w:bottom w:w="65" w:type="dxa"/>
              <w:end w:w="75" w:type="dxa"/>
            </w:tcMar>
            <w:vAlign w:val="top"/>
          </w:tcPr>
          <w:p>
            <w:pPr>
              <w:spacing w:after="0"/>
            </w:pPr>
            <w:r>
              <w:rPr>
                <w:sz w:val="16"/>
              </w:rPr>
              <w:t>Set</w:t>
            </w:r>
          </w:p>
        </w:tc>
        <w:tc>
          <w:tcPr>
            <w:tcW w:type="dxa" w:w="7848"/>
            <w:tcMar>
              <w:top w:w="65" w:type="dxa"/>
              <w:start w:w="75" w:type="dxa"/>
              <w:bottom w:w="65" w:type="dxa"/>
              <w:end w:w="75" w:type="dxa"/>
            </w:tcMar>
            <w:vAlign w:val="top"/>
          </w:tcPr>
          <w:p>
            <w:pPr>
              <w:spacing w:after="0"/>
            </w:pPr>
            <w:r>
              <w:rPr>
                <w:sz w:val="16"/>
              </w:rPr>
              <w:t>Living discontinuity preventing perfect reproduction of frozen order</w:t>
            </w:r>
          </w:p>
        </w:tc>
      </w:tr>
    </w:tbl>
    <w:p>
      <w:pPr>
        <w:spacing w:after="0"/>
      </w:pPr>
    </w:p>
    <w:p>
      <w:pPr>
        <w:pStyle w:val="EquationBlock"/>
        <w:shd w:fill="F2F2F2"/>
      </w:pPr>
      <w:r>
        <w:rPr>
          <w:rFonts w:ascii="Cascadia Mono" w:hAnsi="Cascadia Mono"/>
          <w:sz w:val="17"/>
        </w:rPr>
        <w:t>old adjudication dies -&gt; pieces retrieved -&gt; missing bridge reconstructed -&gt; new answer inherits old authority</w:t>
      </w:r>
    </w:p>
    <w:p>
      <w:pPr>
        <w:pStyle w:val="ArchitectureBlock"/>
        <w:pBdr>
          <w:left w:val="single" w:sz="8" w:space="6" w:color="8A8A8A"/>
        </w:pBdr>
      </w:pPr>
      <w:r>
        <w:t>Boundary: this is a symbolic systems mapping, not a claim that Egyptian religion literally encoded the modern audit framework. Its analytic use is to distinguish archive preservation from inherited governing authority.</w:t>
      </w:r>
    </w:p>
    <w:p>
      <w:pPr>
        <w:pStyle w:val="Heading2"/>
      </w:pPr>
      <w:r>
        <w:t>B.3 Final architecture mark</w:t>
      </w:r>
    </w:p>
    <w:p>
      <w:pPr>
        <w:pStyle w:val="ArchitectureBlock"/>
        <w:pBdr>
          <w:left w:val="single" w:sz="8" w:space="6" w:color="8A8A8A"/>
        </w:pBdr>
      </w:pPr>
      <w:r>
        <w:t>Power reproduces itself through custody of options, meaning, access, authorization, allocation, enforcement, records, and time. Occupants rotate. Functions persist. Every closed representation generates a remainder. Accumulated remainder can force another turn of the spiral.</w:t>
      </w:r>
    </w:p>
    <w:p/>
    <w:p>
      <w:pPr>
        <w:spacing w:before="200"/>
      </w:pPr>
      <w:r>
        <w:rPr>
          <w:b/>
          <w:sz w:val="19"/>
        </w:rPr>
        <w:t>END OF ARCHITECTURE EXTRACTION</w:t>
      </w:r>
    </w:p>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Architecture-only reconstruction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5"/>
      </w:rPr>
      <w:t>COUSIN HOMINID — ARCHITECTURE EXTRACTION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47"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Block">
    <w:name w:val="Architecture Block"/>
    <w:pPr>
      <w:spacing w:before="60" w:after="80"/>
      <w:ind w:left="259" w:right="115"/>
    </w:pPr>
    <w:rPr>
      <w:rFonts w:ascii="Aptos" w:hAnsi="Aptos"/>
      <w:sz w:val="18"/>
    </w:rPr>
  </w:style>
  <w:style w:type="paragraph" w:customStyle="1" w:styleId="EquationBlock">
    <w:name w:val="Equation Block"/>
    <w:pPr>
      <w:keepLines/>
      <w:spacing w:before="60" w:after="80"/>
      <w:ind w:left="346" w:right="259"/>
    </w:pPr>
    <w:rPr>
      <w:rFonts w:ascii="Cascadia Mono" w:hAnsi="Cascadia Mono"/>
      <w:sz w:val="17"/>
    </w:rPr>
  </w:style>
  <w:style w:type="paragraph" w:customStyle="1" w:styleId="StatusLine">
    <w:name w:val="Status Line"/>
    <w:pPr>
      <w:spacing w:before="20" w:after="40"/>
      <w:ind w:left="259"/>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Cousin Hominid — Architecture Extraction</dc:title>
  <dc:subject>Architecture-only extraction from the source transcript</dc:subject>
  <dc:creator>OpenAI</dc:creator>
  <cp:keywords>architecture, Timekeeper, Hidden Quotient, priesthood-function, transmission, Jerusalem, Enoch, Levi</cp:keywords>
  <dc:description>generated by python-docx</dc:description>
  <cp:lastModifiedBy/>
  <cp:revision>1</cp:revision>
  <dcterms:created xsi:type="dcterms:W3CDTF">2013-12-23T23:15:00Z</dcterms:created>
  <dcterms:modified xsi:type="dcterms:W3CDTF">2013-12-23T23:15:00Z</dcterms:modified>
  <cp:category/>
</cp:coreProperties>
</file>