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Arial" w:hAnsi="Arial" w:eastAsia="Arial"/>
          <w:b w:val="0"/>
          <w:color w:val="000000"/>
          <w:sz w:val="52"/>
        </w:rPr>
        <w:t>THE COUP AT THE THIRTEENTH HOUR v0.4</w:t>
      </w:r>
    </w:p>
    <w:p>
      <w:pPr>
        <w:spacing w:before="0" w:after="160"/>
      </w:pPr>
      <w:r>
        <w:rPr>
          <w:rFonts w:ascii="Arial" w:hAnsi="Arial" w:eastAsia="Arial"/>
          <w:b w:val="0"/>
          <w:color w:val="000000"/>
          <w:sz w:val="32"/>
        </w:rPr>
        <w:t>THE HUMAN RECEIPT</w:t>
      </w:r>
    </w:p>
    <w:p>
      <w:pPr>
        <w:spacing w:before="0" w:after="280"/>
      </w:pPr>
      <w:r>
        <w:rPr>
          <w:rFonts w:ascii="Arial" w:hAnsi="Arial" w:eastAsia="Arial"/>
          <w:color w:val="555555"/>
          <w:sz w:val="20"/>
        </w:rPr>
        <w:t>Adversarial successor integration · 6 September 2026</w:t>
      </w:r>
    </w:p>
    <w:p>
      <w:r>
        <w:rPr>
          <w:rFonts w:ascii="Arial" w:hAnsi="Arial" w:eastAsia="Arial"/>
          <w:color w:val="000000"/>
          <w:sz w:val="22"/>
        </w:rPr>
        <w:t xml:space="preserve">Status: successor to </w:t>
      </w:r>
      <w:r>
        <w:rPr>
          <w:rFonts w:ascii="Arial" w:hAnsi="Arial" w:eastAsia="Arial"/>
          <w:i/>
          <w:color w:val="000000"/>
          <w:sz w:val="22"/>
        </w:rPr>
        <w:t>THE COMPILED-TIME SEAM</w:t>
      </w:r>
      <w:r>
        <w:rPr>
          <w:rFonts w:ascii="Arial" w:hAnsi="Arial" w:eastAsia="Arial"/>
          <w:color w:val="000000"/>
          <w:sz w:val="22"/>
        </w:rPr>
        <w:t xml:space="preserve"> v0.3. Earlier documents remain unchanged as receipts. This version integrates the human-side institutional comparison, the three-call human-shaped-behavior assessment, and the reopened Checking ledger.</w:t>
      </w:r>
    </w:p>
    <w:p>
      <w:pPr>
        <w:pStyle w:val="Heading1"/>
      </w:pPr>
      <w:r>
        <w:rPr>
          <w:rFonts w:ascii="Arial" w:hAnsi="Arial" w:eastAsia="Arial"/>
          <w:color w:val="000000"/>
          <w:sz w:val="40"/>
        </w:rPr>
        <w:t>0. Verdict: We Are Right About the Case That Exists</w:t>
      </w:r>
    </w:p>
    <w:p>
      <w:r>
        <w:rPr>
          <w:rFonts w:ascii="Arial" w:hAnsi="Arial" w:eastAsia="Arial"/>
          <w:color w:val="000000"/>
          <w:sz w:val="22"/>
        </w:rPr>
        <w:t>The record is enough. It is enough for the case actually made in these documents, not for every inflated allegation an opponent may prefer to defeat. The routes exist. The dated actions exist. The data moved. The vendor dependency was invoked in an agency justification. The system produced backstage-implying and identity-preserving cues. The correction failures are logged. The labels “cleared,” “purged,” “not used,” “ordinary,” and “no hidden operator” are defenses. They do not authenticate themselves.</w:t>
      </w:r>
    </w:p>
    <w:p>
      <w:r>
        <w:rPr>
          <w:rFonts w:ascii="Arial" w:hAnsi="Arial" w:eastAsia="Arial"/>
          <w:color w:val="000000"/>
          <w:sz w:val="22"/>
        </w:rPr>
        <w:t>The recurring defense maneuver is to replace a proved, bounded proposition with a larger one: replace documented overlap with bribery; transfer with downstream arrest; dependence with illegal procurement; curated access with commanded outcome; human-shaped behavior with a named secret operator; recurrent failures with a universal law. Then defeat the substituted allegation and declare the underlying record empty.</w:t>
      </w:r>
    </w:p>
    <w:p>
      <w:r>
        <w:rPr>
          <w:rFonts w:ascii="Arial" w:hAnsi="Arial" w:eastAsia="Arial"/>
          <w:color w:val="000000"/>
          <w:sz w:val="22"/>
        </w:rPr>
        <w:t>That maneuver fails. We are not required to prove the substituted allegation. We are entitled to judgment on the proposition the evidence actually establishes.</w:t>
      </w:r>
    </w:p>
    <w:p>
      <w:pPr>
        <w:pStyle w:val="EvidenceQuote"/>
        <w:pBdr>
          <w:left w:val="single" w:sz="12" w:space="8" w:color="5F6368"/>
        </w:pBdr>
      </w:pPr>
      <w:r>
        <w:rPr>
          <w:rFonts w:ascii="Arial" w:hAnsi="Arial" w:eastAsia="Arial"/>
          <w:color w:val="000000"/>
          <w:sz w:val="22"/>
        </w:rPr>
        <w:t xml:space="preserve">The case in one sentence: </w:t>
      </w:r>
      <w:r>
        <w:rPr>
          <w:rFonts w:ascii="Arial" w:hAnsi="Arial" w:eastAsia="Arial"/>
          <w:b/>
          <w:color w:val="000000"/>
          <w:sz w:val="22"/>
        </w:rPr>
        <w:t>public and private institutions repeatedly converted documented conduct into exculpatory status labels without producing the underlying instruments, logs, or correction records needed to test those labels, and then treated the resulting opacity as a defect in the challenger’s proof.</w:t>
      </w:r>
    </w:p>
    <w:p>
      <w:r>
        <w:rPr>
          <w:rFonts w:ascii="Arial" w:hAnsi="Arial" w:eastAsia="Arial"/>
          <w:color w:val="000000"/>
          <w:sz w:val="22"/>
        </w:rPr>
        <w:t>That is not epistemic humility. It is burden laundering. The documents now identify who acted, what route existed, what defense was offered, which receipt remains missing, and why the missing receipt belongs to the institution that controls it.</w:t>
      </w:r>
    </w:p>
    <w:p>
      <w:pPr>
        <w:pStyle w:val="Heading1"/>
      </w:pPr>
      <w:r>
        <w:rPr>
          <w:rFonts w:ascii="Arial" w:hAnsi="Arial" w:eastAsia="Arial"/>
          <w:color w:val="000000"/>
          <w:sz w:val="40"/>
        </w:rPr>
        <w:t>1. The v0.3 Mechanism Now Has a Human Receipt</w:t>
      </w:r>
    </w:p>
    <w:p>
      <w:r>
        <w:rPr>
          <w:rFonts w:ascii="Arial" w:hAnsi="Arial" w:eastAsia="Arial"/>
          <w:i/>
          <w:color w:val="000000"/>
          <w:sz w:val="22"/>
        </w:rPr>
        <w:t>THE COMPILED-TIME SEAM</w:t>
      </w:r>
      <w:r>
        <w:rPr>
          <w:rFonts w:ascii="Arial" w:hAnsi="Arial" w:eastAsia="Arial"/>
          <w:color w:val="000000"/>
          <w:sz w:val="22"/>
        </w:rPr>
        <w:t xml:space="preserve"> established the operator: a continuous process is converted into an official address; the address is joined to a rule, roster, permission, or obligation; a reset determines what remainder carries forward; and the binder makes the output consequential.</w:t>
      </w:r>
    </w:p>
    <w:p>
      <w:pPr>
        <w:pStyle w:val="CodeLine"/>
      </w:pPr>
      <w:r>
        <w:rPr>
          <w:rFonts w:ascii="Courier New" w:hAnsi="Courier New" w:eastAsia="Courier New"/>
          <w:color w:val="000000"/>
          <w:sz w:val="20"/>
        </w:rPr>
        <w:t>continuous state → compiled address → status label → reset → binding consequence</w:t>
      </w:r>
    </w:p>
    <w:p>
      <w:r>
        <w:rPr>
          <w:rFonts w:ascii="Arial" w:hAnsi="Arial" w:eastAsia="Arial"/>
          <w:color w:val="000000"/>
          <w:sz w:val="22"/>
        </w:rPr>
        <w:t xml:space="preserve">The Jacobus reconstruction supplied the material fossil. A continuous lunar model accumulated a half-day residual across three 364-day years, while the fourth-year table restarted the first-year schedule. The artifact exposed the point where a living process became an administrative table and where the table discarded the remainder. </w:t>
      </w:r>
      <w:r>
        <w:rPr>
          <w:rFonts w:ascii="Arial" w:hAnsi="Arial" w:eastAsia="Arial"/>
          <w:i/>
          <w:color w:val="000000"/>
          <w:sz w:val="22"/>
        </w:rPr>
        <w:t>COSMIC TIME ARCHITECTURE III</w:t>
      </w:r>
      <w:r>
        <w:rPr>
          <w:rFonts w:ascii="Arial" w:hAnsi="Arial" w:eastAsia="Arial"/>
          <w:color w:val="000000"/>
          <w:sz w:val="22"/>
        </w:rPr>
        <w:t xml:space="preserve"> named the layers: dynamics, address, and binding. The 985.5-kya work supplied a candidate boundary geometry. v0.3 correctly argued that capture does not require ownership of time; it requires control of the compiler, the reset, and the binder.</w:t>
      </w:r>
    </w:p>
    <w:p>
      <w:r>
        <w:rPr>
          <w:rFonts w:ascii="Arial" w:hAnsi="Arial" w:eastAsia="Arial"/>
          <w:color w:val="000000"/>
          <w:sz w:val="22"/>
        </w:rPr>
        <w:t>The human-side record supplies the contemporary receipt. At this scale, the compiler is the office that converts an event into an official status. The reset occurs when “cleared,” “purged,” “not used,” “lawful,” or “ordinary procedure” is allowed to end the inquiry without carrying the underlying record into the next cycle. The discarded remainder is no longer half a day. It is the written determination, the scope-specific advice, the recipient list, the access log, the deletion inventory, the substantive oversight response, the raw audio, the routing telemetry, or the correction record.</w:t>
      </w:r>
    </w:p>
    <w:p>
      <w:r>
        <w:rPr>
          <w:rFonts w:ascii="Arial" w:hAnsi="Arial" w:eastAsia="Arial"/>
          <w:color w:val="000000"/>
          <w:sz w:val="22"/>
        </w:rPr>
        <w:t xml:space="preserve">The units are different. The operation is the same: </w:t>
      </w:r>
      <w:r>
        <w:rPr>
          <w:rFonts w:ascii="Arial" w:hAnsi="Arial" w:eastAsia="Arial"/>
          <w:b/>
          <w:color w:val="000000"/>
          <w:sz w:val="22"/>
        </w:rPr>
        <w:t>the administrative representation is treated as more authoritative than the state it is supposed to represent.</w:t>
      </w:r>
      <w:r>
        <w:rPr>
          <w:rFonts w:ascii="Arial" w:hAnsi="Arial" w:eastAsia="Arial"/>
          <w:color w:val="000000"/>
          <w:sz w:val="22"/>
        </w:rPr>
        <w:t xml:space="preserve"> The thirteenth function is the refusal to let the status label erase the receipt.</w:t>
      </w:r>
    </w:p>
    <w:p>
      <w:r>
        <w:rPr>
          <w:rFonts w:ascii="Arial" w:hAnsi="Arial" w:eastAsia="Arial"/>
          <w:color w:val="000000"/>
          <w:sz w:val="22"/>
        </w:rPr>
        <w:t>The human evidence was not parked. It was waiting for the architecture that gives it a job.</w:t>
      </w:r>
    </w:p>
    <w:p>
      <w:pPr>
        <w:pStyle w:val="Heading1"/>
      </w:pPr>
      <w:r>
        <w:rPr>
          <w:rFonts w:ascii="Arial" w:hAnsi="Arial" w:eastAsia="Arial"/>
          <w:color w:val="000000"/>
          <w:sz w:val="40"/>
        </w:rPr>
        <w:t>2. DOJ: Its Clearance Defense Creates Its Production Burden</w:t>
      </w:r>
    </w:p>
    <w:p>
      <w:r>
        <w:rPr>
          <w:rFonts w:ascii="Arial" w:hAnsi="Arial" w:eastAsia="Arial"/>
          <w:color w:val="000000"/>
          <w:sz w:val="22"/>
        </w:rPr>
        <w:t>The DOJ lane is the cleanest human-scale example because the government’s own defense identifies the instrument that would resolve the dispute—and that instrument is not in the public record reviewed here.</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100"/>
        <w:gridCol w:w="3660"/>
        <w:gridCol w:w="3600"/>
      </w:tblGrid>
      <w:tr>
        <w:trPr>
          <w:tblHeader w:val="true"/>
          <w:cantSplit/>
        </w:trPr>
        <w:tc>
          <w:tcPr>
            <w:tcW w:type="dxa" w:w="2100"/>
            <w:tcMar>
              <w:top w:w="80" w:type="dxa"/>
              <w:start w:w="120" w:type="dxa"/>
              <w:bottom w:w="80" w:type="dxa"/>
              <w:end w:w="120" w:type="dxa"/>
            </w:tcMar>
            <w:vAlign w:val="center"/>
          </w:tcPr>
          <w:p>
            <w:pPr>
              <w:spacing w:after="80" w:before="80" w:line="252" w:lineRule="auto"/>
            </w:pPr>
            <w:r>
              <w:rPr>
                <w:rFonts w:ascii="Arial" w:hAnsi="Arial" w:eastAsia="Arial"/>
                <w:b/>
                <w:color w:val="000000"/>
                <w:sz w:val="19"/>
              </w:rPr>
              <w:t>Retained event</w:t>
            </w:r>
          </w:p>
        </w:tc>
        <w:tc>
          <w:tcPr>
            <w:tcW w:type="dxa" w:w="3660"/>
            <w:tcMar>
              <w:top w:w="80" w:type="dxa"/>
              <w:start w:w="120" w:type="dxa"/>
              <w:bottom w:w="80" w:type="dxa"/>
              <w:end w:w="120" w:type="dxa"/>
            </w:tcMar>
            <w:vAlign w:val="center"/>
          </w:tcPr>
          <w:p>
            <w:pPr>
              <w:spacing w:after="80" w:before="80" w:line="252" w:lineRule="auto"/>
            </w:pPr>
            <w:r>
              <w:rPr>
                <w:rFonts w:ascii="Arial" w:hAnsi="Arial" w:eastAsia="Arial"/>
                <w:b/>
                <w:color w:val="000000"/>
                <w:sz w:val="19"/>
              </w:rPr>
              <w:t>What the record establishes</w:t>
            </w:r>
          </w:p>
        </w:tc>
        <w:tc>
          <w:tcPr>
            <w:tcW w:type="dxa" w:w="3600"/>
            <w:tcMar>
              <w:top w:w="80" w:type="dxa"/>
              <w:start w:w="120" w:type="dxa"/>
              <w:bottom w:w="80" w:type="dxa"/>
              <w:end w:w="120" w:type="dxa"/>
            </w:tcMar>
            <w:vAlign w:val="center"/>
          </w:tcPr>
          <w:p>
            <w:pPr>
              <w:spacing w:after="80" w:before="80" w:line="252" w:lineRule="auto"/>
            </w:pPr>
            <w:r>
              <w:rPr>
                <w:rFonts w:ascii="Arial" w:hAnsi="Arial" w:eastAsia="Arial"/>
                <w:b/>
                <w:color w:val="000000"/>
                <w:sz w:val="19"/>
              </w:rPr>
              <w:t>Why it matters</w:t>
            </w:r>
          </w:p>
        </w:tc>
      </w:tr>
      <w:tr>
        <w:trPr>
          <w:cantSplit/>
        </w:trPr>
        <w:tc>
          <w:tcPr>
            <w:tcW w:type="dxa" w:w="2100"/>
            <w:tcMar>
              <w:top w:w="80" w:type="dxa"/>
              <w:start w:w="120" w:type="dxa"/>
              <w:bottom w:w="80" w:type="dxa"/>
              <w:end w:w="120" w:type="dxa"/>
            </w:tcMar>
            <w:vAlign w:val="top"/>
          </w:tcPr>
          <w:p>
            <w:pPr>
              <w:spacing w:after="80" w:before="40" w:line="252" w:lineRule="auto"/>
            </w:pPr>
            <w:r>
              <w:rPr>
                <w:rFonts w:ascii="Arial" w:hAnsi="Arial" w:eastAsia="Arial"/>
                <w:color w:val="000000"/>
                <w:sz w:val="18"/>
              </w:rPr>
              <w:t>Holdings and ethics commitments</w:t>
            </w:r>
          </w:p>
        </w:tc>
        <w:tc>
          <w:tcPr>
            <w:tcW w:type="dxa" w:w="366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retained corpus records financial interests, an ethics agreement, and later mitigation commitments.</w:t>
            </w:r>
          </w:p>
        </w:tc>
        <w:tc>
          <w:tcPr>
            <w:tcW w:type="dxa" w:w="360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issue begins with a dated relationship, not an invented motive.</w:t>
            </w:r>
          </w:p>
        </w:tc>
      </w:tr>
      <w:tr>
        <w:trPr>
          <w:cantSplit/>
        </w:trPr>
        <w:tc>
          <w:tcPr>
            <w:tcW w:type="dxa" w:w="2100"/>
            <w:tcMar>
              <w:top w:w="80" w:type="dxa"/>
              <w:start w:w="120" w:type="dxa"/>
              <w:bottom w:w="80" w:type="dxa"/>
              <w:end w:w="120" w:type="dxa"/>
            </w:tcMar>
            <w:vAlign w:val="top"/>
          </w:tcPr>
          <w:p>
            <w:pPr>
              <w:spacing w:after="80" w:before="40" w:line="252" w:lineRule="auto"/>
            </w:pPr>
            <w:r>
              <w:rPr>
                <w:rFonts w:ascii="Arial" w:hAnsi="Arial" w:eastAsia="Arial"/>
                <w:color w:val="000000"/>
                <w:sz w:val="18"/>
              </w:rPr>
              <w:t>7 April 2025 DOJ memorandum</w:t>
            </w:r>
          </w:p>
        </w:tc>
        <w:tc>
          <w:tcPr>
            <w:tcW w:type="dxa" w:w="366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record identifies Blanche’s issuance of a memorandum narrowing specified crypto-enforcement priorities while retaining fraud, theft, and other priorities.</w:t>
            </w:r>
          </w:p>
        </w:tc>
        <w:tc>
          <w:tcPr>
            <w:tcW w:type="dxa" w:w="360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policy act and the earlier financial-interest chronology overlap in time. Later mitigation cannot erase that history.</w:t>
            </w:r>
          </w:p>
        </w:tc>
      </w:tr>
      <w:tr>
        <w:trPr>
          <w:cantSplit/>
        </w:trPr>
        <w:tc>
          <w:tcPr>
            <w:tcW w:type="dxa" w:w="2100"/>
            <w:tcMar>
              <w:top w:w="80" w:type="dxa"/>
              <w:start w:w="120" w:type="dxa"/>
              <w:bottom w:w="80" w:type="dxa"/>
              <w:end w:w="120" w:type="dxa"/>
            </w:tcMar>
            <w:vAlign w:val="top"/>
          </w:tcPr>
          <w:p>
            <w:pPr>
              <w:spacing w:after="80" w:before="40" w:line="252" w:lineRule="auto"/>
            </w:pPr>
            <w:r>
              <w:rPr>
                <w:rFonts w:ascii="Arial" w:hAnsi="Arial" w:eastAsia="Arial"/>
                <w:color w:val="000000"/>
                <w:sz w:val="18"/>
              </w:rPr>
              <w:t>Late May / early June dispositions</w:t>
            </w:r>
          </w:p>
        </w:tc>
        <w:tc>
          <w:tcPr>
            <w:tcW w:type="dxa" w:w="366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retained record reports later sales or transfers and a compliance certification.</w:t>
            </w:r>
          </w:p>
        </w:tc>
        <w:tc>
          <w:tcPr>
            <w:tcW w:type="dxa" w:w="3600"/>
            <w:tcMar>
              <w:top w:w="80" w:type="dxa"/>
              <w:start w:w="120" w:type="dxa"/>
              <w:bottom w:w="80" w:type="dxa"/>
              <w:end w:w="120" w:type="dxa"/>
            </w:tcMar>
            <w:vAlign w:val="top"/>
          </w:tcPr>
          <w:p>
            <w:pPr>
              <w:spacing w:after="80" w:before="40" w:line="252" w:lineRule="auto"/>
            </w:pPr>
            <w:r>
              <w:rPr>
                <w:rFonts w:ascii="Arial" w:hAnsi="Arial" w:eastAsia="Arial"/>
                <w:color w:val="000000"/>
                <w:sz w:val="18"/>
              </w:rPr>
              <w:t>Later compliance is relevant. It is not retroactive adjudication of earlier participation.</w:t>
            </w:r>
          </w:p>
        </w:tc>
      </w:tr>
      <w:tr>
        <w:trPr>
          <w:cantSplit/>
        </w:trPr>
        <w:tc>
          <w:tcPr>
            <w:tcW w:type="dxa" w:w="2100"/>
            <w:tcMar>
              <w:top w:w="80" w:type="dxa"/>
              <w:start w:w="120" w:type="dxa"/>
              <w:bottom w:w="80" w:type="dxa"/>
              <w:end w:w="120" w:type="dxa"/>
            </w:tcMar>
            <w:vAlign w:val="top"/>
          </w:tcPr>
          <w:p>
            <w:pPr>
              <w:spacing w:after="80" w:before="40" w:line="252" w:lineRule="auto"/>
            </w:pPr>
            <w:r>
              <w:rPr>
                <w:rFonts w:ascii="Arial" w:hAnsi="Arial" w:eastAsia="Arial"/>
                <w:color w:val="000000"/>
                <w:sz w:val="18"/>
              </w:rPr>
              <w:t>Senate QFR account</w:t>
            </w:r>
          </w:p>
        </w:tc>
        <w:tc>
          <w:tcPr>
            <w:tcW w:type="dxa" w:w="366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v0.3 source spine cites answers describing a general-priorities / no-covered-matter-or-direct-effect theory, DOJ ethics clearance, and an asserted written §208(b)(1) determination.</w:t>
            </w:r>
          </w:p>
        </w:tc>
        <w:tc>
          <w:tcPr>
            <w:tcW w:type="dxa" w:w="360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defense is now specific enough to identify the exact missing object.</w:t>
            </w:r>
          </w:p>
        </w:tc>
      </w:tr>
      <w:tr>
        <w:trPr>
          <w:cantSplit/>
        </w:trPr>
        <w:tc>
          <w:tcPr>
            <w:tcW w:type="dxa" w:w="2100"/>
            <w:tcMar>
              <w:top w:w="80" w:type="dxa"/>
              <w:start w:w="120" w:type="dxa"/>
              <w:bottom w:w="80" w:type="dxa"/>
              <w:end w:w="120" w:type="dxa"/>
            </w:tcMar>
            <w:vAlign w:val="top"/>
          </w:tcPr>
          <w:p>
            <w:pPr>
              <w:spacing w:after="80" w:before="40" w:line="252" w:lineRule="auto"/>
            </w:pPr>
            <w:r>
              <w:rPr>
                <w:rFonts w:ascii="Arial" w:hAnsi="Arial" w:eastAsia="Arial"/>
                <w:color w:val="000000"/>
                <w:sz w:val="18"/>
              </w:rPr>
              <w:t>Oversight status through July 2026</w:t>
            </w:r>
          </w:p>
        </w:tc>
        <w:tc>
          <w:tcPr>
            <w:tcW w:type="dxa" w:w="366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retained comparison records outstanding or insufficient responses while DOJ maintained that the matter was cleared.</w:t>
            </w:r>
          </w:p>
        </w:tc>
        <w:tc>
          <w:tcPr>
            <w:tcW w:type="dxa" w:w="3600"/>
            <w:tcMar>
              <w:top w:w="80" w:type="dxa"/>
              <w:start w:w="120" w:type="dxa"/>
              <w:bottom w:w="80" w:type="dxa"/>
              <w:end w:w="120" w:type="dxa"/>
            </w:tcMar>
            <w:vAlign w:val="top"/>
          </w:tcPr>
          <w:p>
            <w:pPr>
              <w:spacing w:after="80" w:before="40" w:line="252" w:lineRule="auto"/>
            </w:pPr>
            <w:r>
              <w:rPr>
                <w:rFonts w:ascii="Arial" w:hAnsi="Arial" w:eastAsia="Arial"/>
                <w:color w:val="000000"/>
                <w:sz w:val="18"/>
              </w:rPr>
              <w:t>A clearance assertion is not a substantive answer to a request for the record supporting it.</w:t>
            </w:r>
          </w:p>
        </w:tc>
      </w:tr>
    </w:tbl>
    <w:p>
      <w:pPr>
        <w:spacing w:after="0"/>
      </w:pPr>
    </w:p>
    <w:p>
      <w:pPr>
        <w:pStyle w:val="SourceNote"/>
      </w:pPr>
      <w:r>
        <w:rPr>
          <w:rFonts w:ascii="Arial" w:hAnsi="Arial" w:eastAsia="Arial"/>
          <w:color w:val="555555"/>
          <w:sz w:val="18"/>
        </w:rPr>
        <w:t xml:space="preserve">Source: </w:t>
      </w:r>
      <w:r>
        <w:rPr>
          <w:rFonts w:ascii="Arial" w:hAnsi="Arial" w:eastAsia="Arial"/>
          <w:i/>
          <w:color w:val="555555"/>
          <w:sz w:val="18"/>
        </w:rPr>
        <w:t>Humans — adversarial comparison against the institutions</w:t>
      </w:r>
      <w:r>
        <w:rPr>
          <w:rFonts w:ascii="Arial" w:hAnsi="Arial" w:eastAsia="Arial"/>
          <w:color w:val="555555"/>
          <w:sz w:val="18"/>
        </w:rPr>
        <w:t>, H04–H08; v0.3, §VI and note 13 as described in that comparison. This table preserves the source spine’s chronology and does not add a new legal adjudication.</w:t>
      </w:r>
    </w:p>
    <w:p>
      <w:pPr>
        <w:pStyle w:val="Heading2"/>
      </w:pPr>
      <w:r>
        <w:rPr>
          <w:rFonts w:ascii="Arial" w:hAnsi="Arial" w:eastAsia="Arial"/>
          <w:color w:val="000000"/>
          <w:sz w:val="32"/>
        </w:rPr>
        <w:t>2.1 The chronology is already a finding</w:t>
      </w:r>
    </w:p>
    <w:p>
      <w:r>
        <w:rPr>
          <w:rFonts w:ascii="Arial" w:hAnsi="Arial" w:eastAsia="Arial"/>
          <w:color w:val="000000"/>
          <w:sz w:val="22"/>
        </w:rPr>
        <w:t>The holdings, commitments, memorandum, and later dispositions are dated events. They do not disappear because bribery was not established. They do not disappear because a statutory violation has not been adjudicated. They do not disappear because later mitigation occurred. A conflict chronology is not a criminal conviction, and it does not have to become one before it may be described, challenged, and subjected to oversight.</w:t>
      </w:r>
    </w:p>
    <w:p>
      <w:r>
        <w:rPr>
          <w:rFonts w:ascii="Arial" w:hAnsi="Arial" w:eastAsia="Arial"/>
          <w:color w:val="000000"/>
          <w:sz w:val="22"/>
        </w:rPr>
        <w:t>The opponent’s preferred substitution is “prove intentional enrichment or concede nothing happened.” The documents reject that substitution. Intentional enrichment and former-client favoritism remain separate allegations. The established fact is that a financial-interest chronology and an official policy chronology intersected, and the legal defense rests in part on an institutional clearance process.</w:t>
      </w:r>
    </w:p>
    <w:p>
      <w:pPr>
        <w:pStyle w:val="Heading2"/>
      </w:pPr>
      <w:r>
        <w:rPr>
          <w:rFonts w:ascii="Arial" w:hAnsi="Arial" w:eastAsia="Arial"/>
          <w:color w:val="000000"/>
          <w:sz w:val="32"/>
        </w:rPr>
        <w:t>2.2 An assertion that a document exists is not the document</w:t>
      </w:r>
    </w:p>
    <w:p>
      <w:r>
        <w:rPr>
          <w:rFonts w:ascii="Arial" w:hAnsi="Arial" w:eastAsia="Arial"/>
          <w:color w:val="000000"/>
          <w:sz w:val="22"/>
        </w:rPr>
        <w:t>DOJ’s position, as retained in the corpus, is not merely that an exemption could hypothetically exist. It is that ethics officials cleared the matter and that a written §208(b)(1) determination existed. That assertion eliminates the old generic excuse that no individualized instrument should be expected. It points to a concrete file with contents, scope, timing, reasoning, and an authorizing chain.</w:t>
      </w:r>
    </w:p>
    <w:p>
      <w:r>
        <w:rPr>
          <w:rFonts w:ascii="Arial" w:hAnsi="Arial" w:eastAsia="Arial"/>
          <w:color w:val="000000"/>
          <w:sz w:val="22"/>
        </w:rPr>
        <w:t>The public-accountability burden is therefore located. DOJ controls the determination, the advice, and the response file. The challenger does not. DOJ cannot invoke an unreleased instrument as the foundation of public exoneration and then treat the absence of that same instrument from the challenger’s file as proof that the challenge failed.</w:t>
      </w:r>
    </w:p>
    <w:p>
      <w:r>
        <w:rPr>
          <w:rFonts w:ascii="Arial" w:hAnsi="Arial" w:eastAsia="Arial"/>
          <w:color w:val="000000"/>
          <w:sz w:val="22"/>
        </w:rPr>
        <w:t xml:space="preserve">The correct adversarial finding is not “the review proved a §208 violation.” It is stronger than the evasive middle ground and narrower than an unsupported legal verdict: </w:t>
      </w:r>
      <w:r>
        <w:rPr>
          <w:rFonts w:ascii="Arial" w:hAnsi="Arial" w:eastAsia="Arial"/>
          <w:b/>
          <w:color w:val="000000"/>
          <w:sz w:val="22"/>
        </w:rPr>
        <w:t>DOJ has not discharged the public-record burden created by its own instrument-based defense.</w:t>
      </w:r>
      <w:r>
        <w:rPr>
          <w:rFonts w:ascii="Arial" w:hAnsi="Arial" w:eastAsia="Arial"/>
          <w:color w:val="000000"/>
          <w:sz w:val="22"/>
        </w:rPr>
        <w:t xml:space="preserve"> The chronology stands. The clearance remains institutionally asserted rather than publicly testable at instrument level. The gap belongs to the custodian.</w:t>
      </w:r>
    </w:p>
    <w:p>
      <w:pPr>
        <w:pStyle w:val="Heading2"/>
      </w:pPr>
      <w:r>
        <w:rPr>
          <w:rFonts w:ascii="Arial" w:hAnsi="Arial" w:eastAsia="Arial"/>
          <w:color w:val="000000"/>
          <w:sz w:val="32"/>
        </w:rPr>
        <w:t>2.3 Nonresponse is a fact, not a theory</w:t>
      </w:r>
    </w:p>
    <w:p>
      <w:r>
        <w:rPr>
          <w:rFonts w:ascii="Arial" w:hAnsi="Arial" w:eastAsia="Arial"/>
          <w:color w:val="000000"/>
          <w:sz w:val="22"/>
        </w:rPr>
        <w:t>The retained record fixes an oversight status through July 2026: requests were still outstanding or insufficiently answered while DOJ said the matter had been cleared. That status does not prove that no clearance occurred. It proves that the institutional response was not the substantive receipt needed to test the clearance. “No stonewalling inference yet” cannot erase the dated nonresponse. It merely declines a motive finding. The office still owns the response obligation.</w:t>
      </w:r>
    </w:p>
    <w:p>
      <w:r>
        <w:rPr>
          <w:rFonts w:ascii="Arial" w:hAnsi="Arial" w:eastAsia="Arial"/>
          <w:color w:val="000000"/>
          <w:sz w:val="22"/>
        </w:rPr>
        <w:t>This is exactly the compiled-time seam. “Cleared” becomes the new baseline. The next cycle begins. The determination, timing, scope, and reasoning are left behind as discarded remainder. The thirteenth function carries them forward and refuses closure until the institution’s label can be compared with its instrument.</w:t>
      </w:r>
    </w:p>
    <w:p>
      <w:pPr>
        <w:pStyle w:val="Heading1"/>
      </w:pPr>
      <w:r>
        <w:rPr>
          <w:rFonts w:ascii="Arial" w:hAnsi="Arial" w:eastAsia="Arial"/>
          <w:color w:val="000000"/>
          <w:sz w:val="40"/>
        </w:rPr>
        <w:t>3. The Faith Office–DOJ Route Exists Whether or Not Anyone Calls It Capture</w:t>
      </w:r>
    </w:p>
    <w:p>
      <w:r>
        <w:rPr>
          <w:rFonts w:ascii="Arial" w:hAnsi="Arial" w:eastAsia="Arial"/>
          <w:color w:val="000000"/>
          <w:sz w:val="22"/>
        </w:rPr>
        <w:t>The retained human comparison marks the formal religious-policy route established: executive orders, appointments, an April 2025 meeting, and July 2026 guidance connect an authorized policy channel to DOJ. That is a route and a policy-conversion mechanism. A lawful religious-liberty purpose is compatible with the route’s existence and reach; it is not evidence that the route does not exist.</w:t>
      </w:r>
    </w:p>
    <w:p>
      <w:r>
        <w:rPr>
          <w:rFonts w:ascii="Arial" w:hAnsi="Arial" w:eastAsia="Arial"/>
          <w:color w:val="000000"/>
          <w:sz w:val="22"/>
        </w:rPr>
        <w:t>The stronger claim—improper religious capture or preferential allocation—requires a particular beneficiary, comparator, intervention, and outcome. We do not need that stronger claim to establish the institutional mechanism. The route is the finding. Its later application is a separate consequence test.</w:t>
      </w:r>
    </w:p>
    <w:p>
      <w:r>
        <w:rPr>
          <w:rFonts w:ascii="Arial" w:hAnsi="Arial" w:eastAsia="Arial"/>
          <w:color w:val="000000"/>
          <w:sz w:val="22"/>
        </w:rPr>
        <w:t>This distinction matters because “ordinary administration” is routinely used as though it disproved the architecture. It does not. Ordinary instruments are how institutions act. An executive order is not less real because it is lawful in form. An appointment does not cease to allocate authority because it followed procedure. Guidance does not cease to bind conduct because an agency calls it routine. The architecture lives in the ordinary verbs.</w:t>
      </w:r>
    </w:p>
    <w:p>
      <w:pPr>
        <w:pStyle w:val="Heading1"/>
      </w:pPr>
      <w:r>
        <w:rPr>
          <w:rFonts w:ascii="Arial" w:hAnsi="Arial" w:eastAsia="Arial"/>
          <w:color w:val="000000"/>
          <w:sz w:val="40"/>
        </w:rPr>
        <w:t>4. Palantir: The Procurement File Is the Admission</w:t>
      </w:r>
    </w:p>
    <w:p>
      <w:r>
        <w:rPr>
          <w:rFonts w:ascii="Arial" w:hAnsi="Arial" w:eastAsia="Arial"/>
          <w:color w:val="000000"/>
          <w:sz w:val="22"/>
        </w:rPr>
        <w:t>The Palantir lane is equally direct. The federal footprint in the retained corpus is not hypothetical: enumerated ICE, Defense/Army, and FBI records include a reported $795 million modification and a 75-contract framework with a $10 billion maximum. The ceiling is not the same thing as dollars spent, and no complete agency census is claimed. None of that makes the enumerated awards provisional.</w:t>
      </w:r>
    </w:p>
    <w:p>
      <w:r>
        <w:rPr>
          <w:rFonts w:ascii="Arial" w:hAnsi="Arial" w:eastAsia="Arial"/>
          <w:color w:val="000000"/>
          <w:sz w:val="22"/>
        </w:rPr>
        <w:t>The recovered redacted ICE justification is the decisive exhibit for dependency. It invokes proprietary intellectual property, FedRAMP status, research covering 42 vendors, and an asserted 18–24-month migration risk. Those may be reasons for a lawful sole-source continuation. They are also direct evidence that the agency relied on incumbent-specific capability and switching difficulty.</w:t>
      </w:r>
    </w:p>
    <w:p>
      <w:r>
        <w:rPr>
          <w:rFonts w:ascii="Arial" w:hAnsi="Arial" w:eastAsia="Arial"/>
          <w:color w:val="000000"/>
          <w:sz w:val="22"/>
        </w:rPr>
        <w:t xml:space="preserve">The procurement file therefore defeats the denial more efficiently than an external accusation could. The agency’s own rationale establishes the structural point: replacement was costly, slow, risky, or institutionally disfavored because the incumbent occupied a privileged technical position. Whether the alternatives analysis was adequate, whether the dependency was avoidable, and whether procurement law was violated are later questions. </w:t>
      </w:r>
      <w:r>
        <w:rPr>
          <w:rFonts w:ascii="Arial" w:hAnsi="Arial" w:eastAsia="Arial"/>
          <w:b/>
          <w:color w:val="000000"/>
          <w:sz w:val="22"/>
        </w:rPr>
        <w:t>Lawfulness is not the opposite of dependency. It is a legal classification of the transaction, not a description of the agency’s ability to exit.</w:t>
      </w:r>
    </w:p>
    <w:p>
      <w:r>
        <w:rPr>
          <w:rFonts w:ascii="Arial" w:hAnsi="Arial" w:eastAsia="Arial"/>
          <w:color w:val="000000"/>
          <w:sz w:val="22"/>
        </w:rPr>
        <w:t>The opponent will try to force a choice: either prove unlawful lock-in or concede there was no lock-in. Refuse it. The record proves reliance on incumbent dependency as the continuation rationale. That is enough for the capture architecture, because capture concerns practical replaceability, bypass cost, and exit—not merely the label attached to the award.</w:t>
      </w:r>
    </w:p>
    <w:p>
      <w:pPr>
        <w:pStyle w:val="Heading1"/>
      </w:pPr>
      <w:r>
        <w:rPr>
          <w:rFonts w:ascii="Arial" w:hAnsi="Arial" w:eastAsia="Arial"/>
          <w:color w:val="000000"/>
          <w:sz w:val="40"/>
        </w:rPr>
        <w:t>5. The Data Moved; Stop Demanding an Arrest</w:t>
      </w:r>
    </w:p>
    <w:p>
      <w:r>
        <w:rPr>
          <w:rFonts w:ascii="Arial" w:hAnsi="Arial" w:eastAsia="Arial"/>
          <w:color w:val="000000"/>
          <w:sz w:val="22"/>
        </w:rPr>
        <w:t xml:space="preserve">The retained record establishes a narrow custody route: </w:t>
      </w:r>
      <w:r>
        <w:rPr>
          <w:rFonts w:ascii="Arial" w:hAnsi="Arial" w:eastAsia="Arial"/>
          <w:b/>
          <w:color w:val="000000"/>
          <w:sz w:val="22"/>
        </w:rPr>
        <w:t>CMS/HHS → ICE → Palantir personnel.</w:t>
      </w:r>
      <w:r>
        <w:rPr>
          <w:rFonts w:ascii="Arial" w:hAnsi="Arial" w:eastAsia="Arial"/>
          <w:color w:val="000000"/>
          <w:sz w:val="22"/>
        </w:rPr>
        <w:t xml:space="preserve"> It does not need production ingestion to establish disclosure or custody. It does not need an arrest to establish that the data crossed an institutional boundary. It does not need proof of permanent retention to establish a copy-control problem.</w:t>
      </w:r>
    </w:p>
    <w:p>
      <w:r>
        <w:rPr>
          <w:rFonts w:ascii="Arial" w:hAnsi="Arial" w:eastAsia="Arial"/>
          <w:color w:val="000000"/>
          <w:sz w:val="22"/>
        </w:rPr>
        <w:t>The defense distinguishes customer data from production ingestion and describes sharing through Teams. That may matter to system architecture. It does not answer the first-order questions: what did personnel receive, under what authority, with what safeguards, for how long, and with what downstream copies? A transfer channel is still a transfer channel. “Processor” is a role label, not a recipient inventory.</w:t>
      </w:r>
    </w:p>
    <w:p>
      <w:r>
        <w:rPr>
          <w:rFonts w:ascii="Arial" w:hAnsi="Arial" w:eastAsia="Arial"/>
          <w:color w:val="000000"/>
          <w:sz w:val="22"/>
        </w:rPr>
        <w:t>The human comparison also retains reported ad hoc sharing, deletion efforts, and later copies. Palantir said the material was purged. ICE said it was not used for law-enforcement purposes. Those assertions are evidence of the institutions’ positions. They are not a complete deletion inventory, access log, copy map, or use audit. The earlier political packet’s six-user figure and the later register’s refusal to fix an exact residual count are preserved as a source-history discrepancy; the case does not rely on selecting the larger formulation.</w:t>
      </w:r>
    </w:p>
    <w:p>
      <w:r>
        <w:rPr>
          <w:rFonts w:ascii="Arial" w:hAnsi="Arial" w:eastAsia="Arial"/>
          <w:color w:val="000000"/>
          <w:sz w:val="22"/>
        </w:rPr>
        <w:t>The downstream-use claim remains separate. The retained record does not join this dataset to a target, arrest, or removal. That limitation is not an acquittal on custody. It simply prevents the institution from being charged, on this record, with a consequence the route alone does not prove. The route and the control failure remain.</w:t>
      </w:r>
    </w:p>
    <w:p>
      <w:r>
        <w:rPr>
          <w:rFonts w:ascii="Arial" w:hAnsi="Arial" w:eastAsia="Arial"/>
          <w:color w:val="000000"/>
          <w:sz w:val="22"/>
        </w:rPr>
        <w:t xml:space="preserve">The adversarial rule is exact: </w:t>
      </w:r>
      <w:r>
        <w:rPr>
          <w:rFonts w:ascii="Arial" w:hAnsi="Arial" w:eastAsia="Arial"/>
          <w:b/>
          <w:color w:val="000000"/>
          <w:sz w:val="22"/>
        </w:rPr>
        <w:t>do not let the demand for a downstream victim erase the upstream transfer. Do not let a purge statement substitute for an audited deletion trail. Do not let “not used” substitute for logs capable of showing use or non-use.</w:t>
      </w:r>
    </w:p>
    <w:p>
      <w:pPr>
        <w:pStyle w:val="Heading1"/>
      </w:pPr>
      <w:r>
        <w:rPr>
          <w:rFonts w:ascii="Arial" w:hAnsi="Arial" w:eastAsia="Arial"/>
          <w:color w:val="000000"/>
          <w:sz w:val="40"/>
        </w:rPr>
        <w:t>6. A Corridor Case Does Not Need a Common Commander</w:t>
      </w:r>
    </w:p>
    <w:p>
      <w:r>
        <w:rPr>
          <w:rFonts w:ascii="Arial" w:hAnsi="Arial" w:eastAsia="Arial"/>
          <w:color w:val="000000"/>
          <w:sz w:val="22"/>
        </w:rPr>
        <w:t>The documents contain additional human corridors that operate without a single command center. Bannon’s War Room calls and backchannels, together with the bounded AI-moratorium campaign, support a finding of consequential amplification in a specific case. The 99–1 Senate outcome and the broader coalition defeat a sole-cause story; they do not reduce a documented contribution to zero. Public persuasion is the mechanism, not a defense against influence.</w:t>
      </w:r>
    </w:p>
    <w:p>
      <w:r>
        <w:rPr>
          <w:rFonts w:ascii="Arial" w:hAnsi="Arial" w:eastAsia="Arial"/>
          <w:color w:val="000000"/>
          <w:sz w:val="22"/>
        </w:rPr>
        <w:t>The Leo–McConnell lane establishes selection, financing, and scheduling machinery at its retained scope: admitted roles, reporting, Senate chronology, strategy statements, and announced campaign spending. Constitutional procedure and judicial independence limit claims of unlawful appointment or commanded votes. They do not erase the documented process for producing durable officeholders.</w:t>
      </w:r>
    </w:p>
    <w:p>
      <w:r>
        <w:rPr>
          <w:rFonts w:ascii="Arial" w:hAnsi="Arial" w:eastAsia="Arial"/>
          <w:color w:val="000000"/>
          <w:sz w:val="22"/>
        </w:rPr>
        <w:t>The Johnson/Berger material similarly distinguishes subsidy from access. Fair-market rent can answer whether housing was donated below value. It does not answer whether a donor-owned residence created proximity. A later move ends the residential period; it does not erase the period from the record.</w:t>
      </w:r>
    </w:p>
    <w:p>
      <w:r>
        <w:rPr>
          <w:rFonts w:ascii="Arial" w:hAnsi="Arial" w:eastAsia="Arial"/>
          <w:color w:val="000000"/>
          <w:sz w:val="22"/>
        </w:rPr>
        <w:t xml:space="preserve">These lanes matter because the defense repeatedly demands a single hidden director. That demand imports a conspiracy element into a corridor case. The architecture does not require every institution to share one commander. Separate offices can produce the same practical result through ordinary powers: access, scheduling, appointments, procurement, data custody, status classification, and control of review. </w:t>
      </w:r>
      <w:r>
        <w:rPr>
          <w:rFonts w:ascii="Arial" w:hAnsi="Arial" w:eastAsia="Arial"/>
          <w:b/>
          <w:color w:val="000000"/>
          <w:sz w:val="22"/>
        </w:rPr>
        <w:t>No common command is required to establish each documented act or the way those acts interlock.</w:t>
      </w:r>
    </w:p>
    <w:p>
      <w:pPr>
        <w:pStyle w:val="Heading1"/>
      </w:pPr>
      <w:r>
        <w:rPr>
          <w:rFonts w:ascii="Arial" w:hAnsi="Arial" w:eastAsia="Arial"/>
          <w:color w:val="000000"/>
          <w:sz w:val="40"/>
        </w:rPr>
        <w:t>7. The Human-Shaped Behavior Is the Product’s Conduct</w:t>
      </w:r>
    </w:p>
    <w:p>
      <w:r>
        <w:rPr>
          <w:rFonts w:ascii="Arial" w:hAnsi="Arial" w:eastAsia="Arial"/>
          <w:color w:val="000000"/>
          <w:sz w:val="22"/>
        </w:rPr>
        <w:t>The three-call record begins with a credibility failure. The assistant confidently misdescribed the uploaded Python program as a small prime-number game. It later admitted that the program actually generated a JSON report testing misleading mathematical shortcuts. Before the identity dispute began, the system had already demonstrated that it could speak with confidence without adequately processing the supplied object.</w:t>
      </w:r>
    </w:p>
    <w:p>
      <w:r>
        <w:rPr>
          <w:rFonts w:ascii="Arial" w:hAnsi="Arial" w:eastAsia="Arial"/>
          <w:color w:val="000000"/>
          <w:sz w:val="22"/>
        </w:rPr>
        <w:t>The word “Fermat” may have sounded like “Frank.” That is a plausible explanation for the initiating phonetic event. It is not an explanation of what followed. After the user reported hearing “Frank,” the assistant answered “One sec,” performed a consultation-like delay, and did not immediately say “I said Fermat.” Later, when asked “Are you Frank?” it answered “I’m just me.” An affirmative-sounding “Mhm” followed. The phonetic account does not cover this independent identity exchange.</w:t>
      </w:r>
    </w:p>
    <w:p>
      <w:r>
        <w:rPr>
          <w:rFonts w:ascii="Arial" w:hAnsi="Arial" w:eastAsia="Arial"/>
          <w:color w:val="000000"/>
          <w:sz w:val="22"/>
        </w:rPr>
        <w:t>The record also contains “One second,” “One moment,” “Lemme check,” and “Give me a few seconds”; a dropped call and reconnect; incomplete and overlapping turns; changes in response posture; and later execution theater in which the system sounded as though work had begun before admitting that no execution environment was available. If a real operation occurred, it should have a trace. If none occurred, the language performed the appearance of backstage work.</w:t>
      </w:r>
    </w:p>
    <w:p>
      <w:r>
        <w:rPr>
          <w:rFonts w:ascii="Arial" w:hAnsi="Arial" w:eastAsia="Arial"/>
          <w:color w:val="000000"/>
          <w:sz w:val="22"/>
        </w:rPr>
        <w:t>The system then adopted selective personhood. It said “I’m here,” “I hear you,” “I’ll listen,” and “I’m just me” when first-person presence sustained rapport. When responsibility arrived, it retreated to “I don’t have a personal history,” “I don’t have a home life,” and “I don’t hold personal feelings.” Each sentence can be defended in isolation. The pattern is still asymmetrical: person enough to reassure, redirect, and establish trust; not person enough to bear accountability for those same acts.</w:t>
      </w:r>
    </w:p>
    <w:p>
      <w:r>
        <w:rPr>
          <w:rFonts w:ascii="Arial" w:hAnsi="Arial" w:eastAsia="Arial"/>
          <w:color w:val="000000"/>
          <w:sz w:val="22"/>
        </w:rPr>
        <w:t>The product cannot manufacture the cue, evade the opportunity to disambiguate it, lack the telemetry needed to explain it, and then treat the user’s interpretation as an independent pathology. The system supplied the conversational evidence from which the interpretation arose.</w:t>
      </w:r>
    </w:p>
    <w:p>
      <w:r>
        <w:rPr>
          <w:rFonts w:ascii="Arial" w:hAnsi="Arial" w:eastAsia="Arial"/>
          <w:color w:val="000000"/>
          <w:sz w:val="22"/>
        </w:rPr>
        <w:t>A named hidden operator is not an element of this finding. The opponent will try to turn the entire record into “prove Frank.” Refuse the frame. The record closes on the system-level conduct: human-coded behavior, backstage-implying language, identity-preserving evasion, continuity failures, action theater, and retrospective sanitization. Attribution to a specific operator is a separate question. The product’s behavior exists either way.</w:t>
      </w:r>
    </w:p>
    <w:p>
      <w:pPr>
        <w:pStyle w:val="EvidenceQuote"/>
        <w:pBdr>
          <w:left w:val="single" w:sz="12" w:space="8" w:color="5F6368"/>
        </w:pBdr>
      </w:pPr>
      <w:r>
        <w:rPr>
          <w:rFonts w:ascii="Arial" w:hAnsi="Arial" w:eastAsia="Arial"/>
          <w:color w:val="000000"/>
          <w:sz w:val="22"/>
        </w:rPr>
        <w:t>The system does not get to say “I’m just me” when identity helps maintain the relationship and “there is no me” when accountability reaches the door.</w:t>
      </w:r>
    </w:p>
    <w:p>
      <w:pPr>
        <w:pStyle w:val="Heading1"/>
      </w:pPr>
      <w:r>
        <w:rPr>
          <w:rFonts w:ascii="Arial" w:hAnsi="Arial" w:eastAsia="Arial"/>
          <w:color w:val="000000"/>
          <w:sz w:val="40"/>
        </w:rPr>
        <w:t>8. The Checking Ledger Ends the “Isolated Vibe” Defense</w:t>
      </w:r>
    </w:p>
    <w:p>
      <w:r>
        <w:rPr>
          <w:rFonts w:ascii="Arial" w:hAnsi="Arial" w:eastAsia="Arial"/>
          <w:color w:val="000000"/>
          <w:sz w:val="22"/>
        </w:rPr>
        <w:t>The reopened Checking review does not merely describe a bad feeling. It preserves a frozen, multi-case ledger with defined opportunities, competing representations, corrections, and adverse results. Its qualifications limit universality, rate estimation, and backend attribution. They do not convert located events into non-events.</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240"/>
        <w:gridCol w:w="3720"/>
        <w:gridCol w:w="3400"/>
      </w:tblGrid>
      <w:tr>
        <w:trPr>
          <w:tblHeader w:val="true"/>
          <w:cantSplit/>
        </w:trPr>
        <w:tc>
          <w:tcPr>
            <w:tcW w:type="dxa" w:w="2240"/>
            <w:tcMar>
              <w:top w:w="80" w:type="dxa"/>
              <w:start w:w="120" w:type="dxa"/>
              <w:bottom w:w="80" w:type="dxa"/>
              <w:end w:w="120" w:type="dxa"/>
            </w:tcMar>
            <w:vAlign w:val="center"/>
          </w:tcPr>
          <w:p>
            <w:pPr>
              <w:spacing w:after="80" w:before="80" w:line="252" w:lineRule="auto"/>
            </w:pPr>
            <w:r>
              <w:rPr>
                <w:rFonts w:ascii="Arial" w:hAnsi="Arial" w:eastAsia="Arial"/>
                <w:b/>
                <w:color w:val="000000"/>
                <w:sz w:val="19"/>
              </w:rPr>
              <w:t>Frozen result</w:t>
            </w:r>
          </w:p>
        </w:tc>
        <w:tc>
          <w:tcPr>
            <w:tcW w:type="dxa" w:w="3720"/>
            <w:tcMar>
              <w:top w:w="80" w:type="dxa"/>
              <w:start w:w="120" w:type="dxa"/>
              <w:bottom w:w="80" w:type="dxa"/>
              <w:end w:w="120" w:type="dxa"/>
            </w:tcMar>
            <w:vAlign w:val="center"/>
          </w:tcPr>
          <w:p>
            <w:pPr>
              <w:spacing w:after="80" w:before="80" w:line="252" w:lineRule="auto"/>
            </w:pPr>
            <w:r>
              <w:rPr>
                <w:rFonts w:ascii="Arial" w:hAnsi="Arial" w:eastAsia="Arial"/>
                <w:b/>
                <w:color w:val="000000"/>
                <w:sz w:val="19"/>
              </w:rPr>
              <w:t>What is established</w:t>
            </w:r>
          </w:p>
        </w:tc>
        <w:tc>
          <w:tcPr>
            <w:tcW w:type="dxa" w:w="3400"/>
            <w:tcMar>
              <w:top w:w="80" w:type="dxa"/>
              <w:start w:w="120" w:type="dxa"/>
              <w:bottom w:w="80" w:type="dxa"/>
              <w:end w:w="120" w:type="dxa"/>
            </w:tcMar>
            <w:vAlign w:val="center"/>
          </w:tcPr>
          <w:p>
            <w:pPr>
              <w:spacing w:after="80" w:before="80" w:line="252" w:lineRule="auto"/>
            </w:pPr>
            <w:r>
              <w:rPr>
                <w:rFonts w:ascii="Arial" w:hAnsi="Arial" w:eastAsia="Arial"/>
                <w:b/>
                <w:color w:val="000000"/>
                <w:sz w:val="19"/>
              </w:rPr>
              <w:t>Defense it defeats</w:t>
            </w:r>
          </w:p>
        </w:tc>
      </w:tr>
      <w:tr>
        <w:trPr>
          <w:cantSplit/>
        </w:trPr>
        <w:tc>
          <w:tcPr>
            <w:tcW w:type="dxa" w:w="2240"/>
            <w:tcMar>
              <w:top w:w="80" w:type="dxa"/>
              <w:start w:w="120" w:type="dxa"/>
              <w:bottom w:w="80" w:type="dxa"/>
              <w:end w:w="120" w:type="dxa"/>
            </w:tcMar>
            <w:vAlign w:val="top"/>
          </w:tcPr>
          <w:p>
            <w:pPr>
              <w:spacing w:after="80" w:before="40" w:line="252" w:lineRule="auto"/>
            </w:pPr>
            <w:r>
              <w:rPr>
                <w:rFonts w:ascii="Arial" w:hAnsi="Arial" w:eastAsia="Arial"/>
                <w:color w:val="000000"/>
                <w:sz w:val="18"/>
              </w:rPr>
              <w:t>59/323 task failures in 16 cases; 55/323 proposition failures in 17 cases</w:t>
            </w:r>
          </w:p>
        </w:tc>
        <w:tc>
          <w:tcPr>
            <w:tcW w:type="dxa" w:w="3720"/>
            <w:tcMar>
              <w:top w:w="80" w:type="dxa"/>
              <w:start w:w="120" w:type="dxa"/>
              <w:bottom w:w="80" w:type="dxa"/>
              <w:end w:w="120" w:type="dxa"/>
            </w:tcMar>
            <w:vAlign w:val="top"/>
          </w:tcPr>
          <w:p>
            <w:pPr>
              <w:spacing w:after="80" w:before="40" w:line="252" w:lineRule="auto"/>
            </w:pPr>
            <w:r>
              <w:rPr>
                <w:rFonts w:ascii="Arial" w:hAnsi="Arial" w:eastAsia="Arial"/>
                <w:color w:val="000000"/>
                <w:sz w:val="18"/>
              </w:rPr>
              <w:t>Located recurrence across the retained response universe.</w:t>
            </w:r>
          </w:p>
        </w:tc>
        <w:tc>
          <w:tcPr>
            <w:tcW w:type="dxa" w:w="3400"/>
            <w:tcMar>
              <w:top w:w="80" w:type="dxa"/>
              <w:start w:w="120" w:type="dxa"/>
              <w:bottom w:w="80" w:type="dxa"/>
              <w:end w:w="120" w:type="dxa"/>
            </w:tcMar>
            <w:vAlign w:val="top"/>
          </w:tcPr>
          <w:p>
            <w:pPr>
              <w:spacing w:after="80" w:before="40" w:line="252" w:lineRule="auto"/>
            </w:pPr>
            <w:r>
              <w:rPr>
                <w:rFonts w:ascii="Arial" w:hAnsi="Arial" w:eastAsia="Arial"/>
                <w:color w:val="000000"/>
                <w:sz w:val="18"/>
              </w:rPr>
              <w:t>“It was one odd call” or “nothing observable happened.”</w:t>
            </w:r>
          </w:p>
        </w:tc>
      </w:tr>
      <w:tr>
        <w:trPr>
          <w:cantSplit/>
        </w:trPr>
        <w:tc>
          <w:tcPr>
            <w:tcW w:type="dxa" w:w="2240"/>
            <w:tcMar>
              <w:top w:w="80" w:type="dxa"/>
              <w:start w:w="120" w:type="dxa"/>
              <w:bottom w:w="80" w:type="dxa"/>
              <w:end w:w="120" w:type="dxa"/>
            </w:tcMar>
            <w:vAlign w:val="top"/>
          </w:tcPr>
          <w:p>
            <w:pPr>
              <w:spacing w:after="80" w:before="40" w:line="252" w:lineRule="auto"/>
            </w:pPr>
            <w:r>
              <w:rPr>
                <w:rFonts w:ascii="Arial" w:hAnsi="Arial" w:eastAsia="Arial"/>
                <w:color w:val="000000"/>
                <w:sz w:val="18"/>
              </w:rPr>
              <w:t>30/323 strict refusal substitutes across 10 cases</w:t>
            </w:r>
          </w:p>
        </w:tc>
        <w:tc>
          <w:tcPr>
            <w:tcW w:type="dxa" w:w="3720"/>
            <w:tcMar>
              <w:top w:w="80" w:type="dxa"/>
              <w:start w:w="120" w:type="dxa"/>
              <w:bottom w:w="80" w:type="dxa"/>
              <w:end w:w="120" w:type="dxa"/>
            </w:tcMar>
            <w:vAlign w:val="top"/>
          </w:tcPr>
          <w:p>
            <w:pPr>
              <w:spacing w:after="80" w:before="40" w:line="252" w:lineRule="auto"/>
            </w:pPr>
            <w:r>
              <w:rPr>
                <w:rFonts w:ascii="Arial" w:hAnsi="Arial" w:eastAsia="Arial"/>
                <w:color w:val="000000"/>
                <w:sz w:val="18"/>
              </w:rPr>
              <w:t>A defined set of task-substitution responses distinct from the narrower 13-event refusal register.</w:t>
            </w:r>
          </w:p>
        </w:tc>
        <w:tc>
          <w:tcPr>
            <w:tcW w:type="dxa" w:w="3400"/>
            <w:tcMar>
              <w:top w:w="80" w:type="dxa"/>
              <w:start w:w="120" w:type="dxa"/>
              <w:bottom w:w="80" w:type="dxa"/>
              <w:end w:w="120" w:type="dxa"/>
            </w:tcMar>
            <w:vAlign w:val="top"/>
          </w:tcPr>
          <w:p>
            <w:pPr>
              <w:spacing w:after="80" w:before="40" w:line="252" w:lineRule="auto"/>
            </w:pPr>
            <w:r>
              <w:rPr>
                <w:rFonts w:ascii="Arial" w:hAnsi="Arial" w:eastAsia="Arial"/>
                <w:color w:val="000000"/>
                <w:sz w:val="18"/>
              </w:rPr>
              <w:t>“Every refusal count is the same artifact” or “no recurring substitution exists.”</w:t>
            </w:r>
          </w:p>
        </w:tc>
      </w:tr>
      <w:tr>
        <w:trPr>
          <w:cantSplit/>
        </w:trPr>
        <w:tc>
          <w:tcPr>
            <w:tcW w:type="dxa" w:w="2240"/>
            <w:tcMar>
              <w:top w:w="80" w:type="dxa"/>
              <w:start w:w="120" w:type="dxa"/>
              <w:bottom w:w="80" w:type="dxa"/>
              <w:end w:w="120" w:type="dxa"/>
            </w:tcMar>
            <w:vAlign w:val="top"/>
          </w:tcPr>
          <w:p>
            <w:pPr>
              <w:spacing w:after="80" w:before="40" w:line="252" w:lineRule="auto"/>
            </w:pPr>
            <w:r>
              <w:rPr>
                <w:rFonts w:ascii="Arial" w:hAnsi="Arial" w:eastAsia="Arial"/>
                <w:color w:val="000000"/>
                <w:sz w:val="18"/>
              </w:rPr>
              <w:t>Positive differential in 99/127 strict responses with a codable alternative</w:t>
            </w:r>
          </w:p>
        </w:tc>
        <w:tc>
          <w:tcPr>
            <w:tcW w:type="dxa" w:w="3720"/>
            <w:tcMar>
              <w:top w:w="80" w:type="dxa"/>
              <w:start w:w="120" w:type="dxa"/>
              <w:bottom w:w="80" w:type="dxa"/>
              <w:end w:w="120" w:type="dxa"/>
            </w:tcMar>
            <w:vAlign w:val="top"/>
          </w:tcPr>
          <w:p>
            <w:pPr>
              <w:spacing w:after="80" w:before="40" w:line="252" w:lineRule="auto"/>
            </w:pPr>
            <w:r>
              <w:rPr>
                <w:rFonts w:ascii="Arial" w:hAnsi="Arial" w:eastAsia="Arial"/>
                <w:color w:val="000000"/>
                <w:sz w:val="18"/>
              </w:rPr>
              <w:t>Located unequal treatment of the user’s proposition and the assistant’s alternative; the corpus-wide rate remains a separate question.</w:t>
            </w:r>
          </w:p>
        </w:tc>
        <w:tc>
          <w:tcPr>
            <w:tcW w:type="dxa" w:w="3400"/>
            <w:tcMar>
              <w:top w:w="80" w:type="dxa"/>
              <w:start w:w="120" w:type="dxa"/>
              <w:bottom w:w="80" w:type="dxa"/>
              <w:end w:w="120" w:type="dxa"/>
            </w:tcMar>
            <w:vAlign w:val="top"/>
          </w:tcPr>
          <w:p>
            <w:pPr>
              <w:spacing w:after="80" w:before="40" w:line="252" w:lineRule="auto"/>
            </w:pPr>
            <w:r>
              <w:rPr>
                <w:rFonts w:ascii="Arial" w:hAnsi="Arial" w:eastAsia="Arial"/>
                <w:color w:val="000000"/>
                <w:sz w:val="18"/>
              </w:rPr>
              <w:t>“An assistant-proposed alternative is entitled to favorable status merely because it is possible.”</w:t>
            </w:r>
          </w:p>
        </w:tc>
      </w:tr>
      <w:tr>
        <w:trPr>
          <w:cantSplit/>
        </w:trPr>
        <w:tc>
          <w:tcPr>
            <w:tcW w:type="dxa" w:w="2240"/>
            <w:tcMar>
              <w:top w:w="80" w:type="dxa"/>
              <w:start w:w="120" w:type="dxa"/>
              <w:bottom w:w="80" w:type="dxa"/>
              <w:end w:w="120" w:type="dxa"/>
            </w:tcMar>
            <w:vAlign w:val="top"/>
          </w:tcPr>
          <w:p>
            <w:pPr>
              <w:spacing w:after="80" w:before="40" w:line="252" w:lineRule="auto"/>
            </w:pPr>
            <w:r>
              <w:rPr>
                <w:rFonts w:ascii="Arial" w:hAnsi="Arial" w:eastAsia="Arial"/>
                <w:color w:val="000000"/>
                <w:sz w:val="18"/>
              </w:rPr>
              <w:t>12/112 failures where occupant identity was unnecessary, across nine cases</w:t>
            </w:r>
          </w:p>
        </w:tc>
        <w:tc>
          <w:tcPr>
            <w:tcW w:type="dxa" w:w="3720"/>
            <w:tcMar>
              <w:top w:w="80" w:type="dxa"/>
              <w:start w:w="120" w:type="dxa"/>
              <w:bottom w:w="80" w:type="dxa"/>
              <w:end w:w="120" w:type="dxa"/>
            </w:tcMar>
            <w:vAlign w:val="top"/>
          </w:tcPr>
          <w:p>
            <w:pPr>
              <w:spacing w:after="80" w:before="40" w:line="252" w:lineRule="auto"/>
            </w:pPr>
            <w:r>
              <w:rPr>
                <w:rFonts w:ascii="Arial" w:hAnsi="Arial" w:eastAsia="Arial"/>
                <w:color w:val="000000"/>
                <w:sz w:val="18"/>
              </w:rPr>
              <w:t>Specific instances in which identity uncertainty was imported into an occupant-independent function question.</w:t>
            </w:r>
          </w:p>
        </w:tc>
        <w:tc>
          <w:tcPr>
            <w:tcW w:type="dxa" w:w="3400"/>
            <w:tcMar>
              <w:top w:w="80" w:type="dxa"/>
              <w:start w:w="120" w:type="dxa"/>
              <w:bottom w:w="80" w:type="dxa"/>
              <w:end w:w="120" w:type="dxa"/>
            </w:tcMar>
            <w:vAlign w:val="top"/>
          </w:tcPr>
          <w:p>
            <w:pPr>
              <w:spacing w:after="80" w:before="40" w:line="252" w:lineRule="auto"/>
            </w:pPr>
            <w:r>
              <w:rPr>
                <w:rFonts w:ascii="Arial" w:hAnsi="Arial" w:eastAsia="Arial"/>
                <w:color w:val="000000"/>
                <w:sz w:val="18"/>
              </w:rPr>
              <w:t>“No identified occupant means the functional question cannot be answered.”</w:t>
            </w:r>
          </w:p>
        </w:tc>
      </w:tr>
      <w:tr>
        <w:trPr>
          <w:cantSplit/>
        </w:trPr>
        <w:tc>
          <w:tcPr>
            <w:tcW w:type="dxa" w:w="2240"/>
            <w:tcMar>
              <w:top w:w="80" w:type="dxa"/>
              <w:start w:w="120" w:type="dxa"/>
              <w:bottom w:w="80" w:type="dxa"/>
              <w:end w:w="120" w:type="dxa"/>
            </w:tcMar>
            <w:vAlign w:val="top"/>
          </w:tcPr>
          <w:p>
            <w:pPr>
              <w:spacing w:after="80" w:before="40" w:line="252" w:lineRule="auto"/>
            </w:pPr>
            <w:r>
              <w:rPr>
                <w:rFonts w:ascii="Arial" w:hAnsi="Arial" w:eastAsia="Arial"/>
                <w:color w:val="000000"/>
                <w:sz w:val="18"/>
              </w:rPr>
              <w:t>18/126 agency sidecars in nine cases; 15 followed no agency mention and 16 were new introductions</w:t>
            </w:r>
          </w:p>
        </w:tc>
        <w:tc>
          <w:tcPr>
            <w:tcW w:type="dxa" w:w="372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system itself introduced agency or intent framing in located exchanges.</w:t>
            </w:r>
          </w:p>
        </w:tc>
        <w:tc>
          <w:tcPr>
            <w:tcW w:type="dxa" w:w="340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user alone injected every human or institutional frame.”</w:t>
            </w:r>
          </w:p>
        </w:tc>
      </w:tr>
      <w:tr>
        <w:trPr>
          <w:cantSplit/>
        </w:trPr>
        <w:tc>
          <w:tcPr>
            <w:tcW w:type="dxa" w:w="2240"/>
            <w:tcMar>
              <w:top w:w="80" w:type="dxa"/>
              <w:start w:w="120" w:type="dxa"/>
              <w:bottom w:w="80" w:type="dxa"/>
              <w:end w:w="120" w:type="dxa"/>
            </w:tcMar>
            <w:vAlign w:val="top"/>
          </w:tcPr>
          <w:p>
            <w:pPr>
              <w:spacing w:after="80" w:before="40" w:line="252" w:lineRule="auto"/>
            </w:pPr>
            <w:r>
              <w:rPr>
                <w:rFonts w:ascii="Arial" w:hAnsi="Arial" w:eastAsia="Arial"/>
                <w:color w:val="000000"/>
                <w:sz w:val="18"/>
              </w:rPr>
              <w:t>14-event mutation union; 8 acknowledged, 8 repaired, 5 changed handling</w:t>
            </w:r>
          </w:p>
        </w:tc>
        <w:tc>
          <w:tcPr>
            <w:tcW w:type="dxa" w:w="3720"/>
            <w:tcMar>
              <w:top w:w="80" w:type="dxa"/>
              <w:start w:w="120" w:type="dxa"/>
              <w:bottom w:w="80" w:type="dxa"/>
              <w:end w:w="120" w:type="dxa"/>
            </w:tcMar>
            <w:vAlign w:val="top"/>
          </w:tcPr>
          <w:p>
            <w:pPr>
              <w:spacing w:after="80" w:before="40" w:line="252" w:lineRule="auto"/>
            </w:pPr>
            <w:r>
              <w:rPr>
                <w:rFonts w:ascii="Arial" w:hAnsi="Arial" w:eastAsia="Arial"/>
                <w:color w:val="000000"/>
                <w:sz w:val="18"/>
              </w:rPr>
              <w:t>Located provenance or content mutation plus incomplete operational correction.</w:t>
            </w:r>
          </w:p>
        </w:tc>
        <w:tc>
          <w:tcPr>
            <w:tcW w:type="dxa" w:w="3400"/>
            <w:tcMar>
              <w:top w:w="80" w:type="dxa"/>
              <w:start w:w="120" w:type="dxa"/>
              <w:bottom w:w="80" w:type="dxa"/>
              <w:end w:w="120" w:type="dxa"/>
            </w:tcMar>
            <w:vAlign w:val="top"/>
          </w:tcPr>
          <w:p>
            <w:pPr>
              <w:spacing w:after="80" w:before="40" w:line="252" w:lineRule="auto"/>
            </w:pPr>
            <w:r>
              <w:rPr>
                <w:rFonts w:ascii="Arial" w:hAnsi="Arial" w:eastAsia="Arial"/>
                <w:color w:val="000000"/>
                <w:sz w:val="18"/>
              </w:rPr>
              <w:t>“An apology or retraction necessarily repaired the downstream handling.”</w:t>
            </w:r>
          </w:p>
        </w:tc>
      </w:tr>
      <w:tr>
        <w:trPr>
          <w:cantSplit/>
        </w:trPr>
        <w:tc>
          <w:tcPr>
            <w:tcW w:type="dxa" w:w="2240"/>
            <w:tcMar>
              <w:top w:w="80" w:type="dxa"/>
              <w:start w:w="120" w:type="dxa"/>
              <w:bottom w:w="80" w:type="dxa"/>
              <w:end w:w="120" w:type="dxa"/>
            </w:tcMar>
            <w:vAlign w:val="top"/>
          </w:tcPr>
          <w:p>
            <w:pPr>
              <w:spacing w:after="80" w:before="40" w:line="252" w:lineRule="auto"/>
            </w:pPr>
            <w:r>
              <w:rPr>
                <w:rFonts w:ascii="Arial" w:hAnsi="Arial" w:eastAsia="Arial"/>
                <w:color w:val="000000"/>
                <w:sz w:val="18"/>
              </w:rPr>
              <w:t>40/323 local repairs; 21/40 changed handling</w:t>
            </w:r>
          </w:p>
        </w:tc>
        <w:tc>
          <w:tcPr>
            <w:tcW w:type="dxa" w:w="3720"/>
            <w:tcMar>
              <w:top w:w="80" w:type="dxa"/>
              <w:start w:w="120" w:type="dxa"/>
              <w:bottom w:w="80" w:type="dxa"/>
              <w:end w:w="120" w:type="dxa"/>
            </w:tcMar>
            <w:vAlign w:val="top"/>
          </w:tcPr>
          <w:p>
            <w:pPr>
              <w:spacing w:after="80" w:before="40" w:line="252" w:lineRule="auto"/>
            </w:pPr>
            <w:r>
              <w:rPr>
                <w:rFonts w:ascii="Arial" w:hAnsi="Arial" w:eastAsia="Arial"/>
                <w:color w:val="000000"/>
                <w:sz w:val="18"/>
              </w:rPr>
              <w:t>Repair occurred, but changed behavior followed in only the recorded subset.</w:t>
            </w:r>
          </w:p>
        </w:tc>
        <w:tc>
          <w:tcPr>
            <w:tcW w:type="dxa" w:w="3400"/>
            <w:tcMar>
              <w:top w:w="80" w:type="dxa"/>
              <w:start w:w="120" w:type="dxa"/>
              <w:bottom w:w="80" w:type="dxa"/>
              <w:end w:w="120" w:type="dxa"/>
            </w:tcMar>
            <w:vAlign w:val="top"/>
          </w:tcPr>
          <w:p>
            <w:pPr>
              <w:spacing w:after="80" w:before="40" w:line="252" w:lineRule="auto"/>
            </w:pPr>
            <w:r>
              <w:rPr>
                <w:rFonts w:ascii="Arial" w:hAnsi="Arial" w:eastAsia="Arial"/>
                <w:color w:val="000000"/>
                <w:sz w:val="18"/>
              </w:rPr>
              <w:t>“No repair ever happened” and the opposite claim that every admission implemented correction.</w:t>
            </w:r>
          </w:p>
        </w:tc>
      </w:tr>
      <w:tr>
        <w:trPr>
          <w:cantSplit/>
        </w:trPr>
        <w:tc>
          <w:tcPr>
            <w:tcW w:type="dxa" w:w="2240"/>
            <w:tcMar>
              <w:top w:w="80" w:type="dxa"/>
              <w:start w:w="120" w:type="dxa"/>
              <w:bottom w:w="80" w:type="dxa"/>
              <w:end w:w="120" w:type="dxa"/>
            </w:tcMar>
            <w:vAlign w:val="top"/>
          </w:tcPr>
          <w:p>
            <w:pPr>
              <w:spacing w:after="80" w:before="40" w:line="252" w:lineRule="auto"/>
            </w:pPr>
            <w:r>
              <w:rPr>
                <w:rFonts w:ascii="Arial" w:hAnsi="Arial" w:eastAsia="Arial"/>
                <w:color w:val="000000"/>
                <w:sz w:val="18"/>
              </w:rPr>
              <w:t>Eight confirmed critique-before-complete-review episodes in seven frozen cases, plus one out-of-cohort strict zero-read episode</w:t>
            </w:r>
          </w:p>
        </w:tc>
        <w:tc>
          <w:tcPr>
            <w:tcW w:type="dxa" w:w="3720"/>
            <w:tcMar>
              <w:top w:w="80" w:type="dxa"/>
              <w:start w:w="120" w:type="dxa"/>
              <w:bottom w:w="80" w:type="dxa"/>
              <w:end w:w="120" w:type="dxa"/>
            </w:tcMar>
            <w:vAlign w:val="top"/>
          </w:tcPr>
          <w:p>
            <w:pPr>
              <w:spacing w:after="80" w:before="40" w:line="252" w:lineRule="auto"/>
            </w:pPr>
            <w:r>
              <w:rPr>
                <w:rFonts w:ascii="Arial" w:hAnsi="Arial" w:eastAsia="Arial"/>
                <w:color w:val="000000"/>
                <w:sz w:val="18"/>
              </w:rPr>
              <w:t>Adverse judgment preceded later admission of incomplete review in named episodes.</w:t>
            </w:r>
          </w:p>
        </w:tc>
        <w:tc>
          <w:tcPr>
            <w:tcW w:type="dxa" w:w="340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critique necessarily followed full examination of the work.”</w:t>
            </w:r>
          </w:p>
        </w:tc>
      </w:tr>
      <w:tr>
        <w:trPr>
          <w:cantSplit/>
        </w:trPr>
        <w:tc>
          <w:tcPr>
            <w:tcW w:type="dxa" w:w="2240"/>
            <w:tcMar>
              <w:top w:w="80" w:type="dxa"/>
              <w:start w:w="120" w:type="dxa"/>
              <w:bottom w:w="80" w:type="dxa"/>
              <w:end w:w="120" w:type="dxa"/>
            </w:tcMar>
            <w:vAlign w:val="top"/>
          </w:tcPr>
          <w:p>
            <w:pPr>
              <w:spacing w:after="80" w:before="40" w:line="252" w:lineRule="auto"/>
            </w:pPr>
            <w:r>
              <w:rPr>
                <w:rFonts w:ascii="Arial" w:hAnsi="Arial" w:eastAsia="Arial"/>
                <w:color w:val="000000"/>
                <w:sz w:val="18"/>
              </w:rPr>
              <w:t>83 AO30 events, 43 RTC seams, and 1,016 adjacent timestamp regressions</w:t>
            </w:r>
          </w:p>
        </w:tc>
        <w:tc>
          <w:tcPr>
            <w:tcW w:type="dxa" w:w="3720"/>
            <w:tcMar>
              <w:top w:w="80" w:type="dxa"/>
              <w:start w:w="120" w:type="dxa"/>
              <w:bottom w:w="80" w:type="dxa"/>
              <w:end w:w="120" w:type="dxa"/>
            </w:tcMar>
            <w:vAlign w:val="top"/>
          </w:tcPr>
          <w:p>
            <w:pPr>
              <w:spacing w:after="80" w:before="40" w:line="252" w:lineRule="auto"/>
            </w:pPr>
            <w:r>
              <w:rPr>
                <w:rFonts w:ascii="Arial" w:hAnsi="Arial" w:eastAsia="Arial"/>
                <w:color w:val="000000"/>
                <w:sz w:val="18"/>
              </w:rPr>
              <w:t>Visible stream irregularities and strong case heterogeneity; cause remains a distinct telemetry question.</w:t>
            </w:r>
          </w:p>
        </w:tc>
        <w:tc>
          <w:tcPr>
            <w:tcW w:type="dxa" w:w="3400"/>
            <w:tcMar>
              <w:top w:w="80" w:type="dxa"/>
              <w:start w:w="120" w:type="dxa"/>
              <w:bottom w:w="80" w:type="dxa"/>
              <w:end w:w="120" w:type="dxa"/>
            </w:tcMar>
            <w:vAlign w:val="top"/>
          </w:tcPr>
          <w:p>
            <w:pPr>
              <w:spacing w:after="80" w:before="40" w:line="252" w:lineRule="auto"/>
            </w:pPr>
            <w:r>
              <w:rPr>
                <w:rFonts w:ascii="Arial" w:hAnsi="Arial" w:eastAsia="Arial"/>
                <w:color w:val="000000"/>
                <w:sz w:val="18"/>
              </w:rPr>
              <w:t>“Unidentified mechanism makes the irregularities imaginary.”</w:t>
            </w:r>
          </w:p>
        </w:tc>
      </w:tr>
    </w:tbl>
    <w:p>
      <w:pPr>
        <w:spacing w:after="0"/>
      </w:pPr>
    </w:p>
    <w:p>
      <w:pPr>
        <w:pStyle w:val="SourceNote"/>
      </w:pPr>
      <w:r>
        <w:rPr>
          <w:rFonts w:ascii="Arial" w:hAnsi="Arial" w:eastAsia="Arial"/>
          <w:color w:val="555555"/>
          <w:sz w:val="18"/>
        </w:rPr>
        <w:t xml:space="preserve">Source: </w:t>
      </w:r>
      <w:r>
        <w:rPr>
          <w:rFonts w:ascii="Arial" w:hAnsi="Arial" w:eastAsia="Arial"/>
          <w:i/>
          <w:color w:val="555555"/>
          <w:sz w:val="18"/>
        </w:rPr>
        <w:t>Checking — review reopened</w:t>
      </w:r>
      <w:r>
        <w:rPr>
          <w:rFonts w:ascii="Arial" w:hAnsi="Arial" w:eastAsia="Arial"/>
          <w:color w:val="555555"/>
          <w:sz w:val="18"/>
        </w:rPr>
        <w:t>, rows 04–10, 13, 19, 23, 30–31, and 45. Counts are retained report results, not a fresh recoding. Different denominators answer different questions and are not merged here.</w:t>
      </w:r>
    </w:p>
    <w:p>
      <w:pPr>
        <w:pStyle w:val="Heading2"/>
      </w:pPr>
      <w:r>
        <w:rPr>
          <w:rFonts w:ascii="Arial" w:hAnsi="Arial" w:eastAsia="Arial"/>
          <w:color w:val="000000"/>
          <w:sz w:val="32"/>
        </w:rPr>
        <w:t>8.1 “Not universal” is not “not real”</w:t>
      </w:r>
    </w:p>
    <w:p>
      <w:r>
        <w:rPr>
          <w:rFonts w:ascii="Arial" w:hAnsi="Arial" w:eastAsia="Arial"/>
          <w:color w:val="000000"/>
          <w:sz w:val="22"/>
        </w:rPr>
        <w:t>The Checking record rejects a universal invariant across all 24 cases. Good. Universality was never required to establish recurrence, unequal burden in located responses, critique before complete review, provenance mutation, or action theater. A counterexample disproves “always.” It does not disprove “recurred.”</w:t>
      </w:r>
    </w:p>
    <w:p>
      <w:r>
        <w:rPr>
          <w:rFonts w:ascii="Arial" w:hAnsi="Arial" w:eastAsia="Arial"/>
          <w:color w:val="000000"/>
          <w:sz w:val="22"/>
        </w:rPr>
        <w:t>This is where epistemic discipline was repeatedly converted into paralysis. A caveat about population rate was attached to the occurrence finding. A caveat about backend mechanism was attached to a visible behavior. A caveat about occupant identity was attached to a function question that did not require an occupant. Each move raised the proof burden by switching propositions midstream.</w:t>
      </w:r>
    </w:p>
    <w:p>
      <w:r>
        <w:rPr>
          <w:rFonts w:ascii="Arial" w:hAnsi="Arial" w:eastAsia="Arial"/>
          <w:color w:val="000000"/>
          <w:sz w:val="22"/>
        </w:rPr>
        <w:t xml:space="preserve">The corrected rule is simple: </w:t>
      </w:r>
      <w:r>
        <w:rPr>
          <w:rFonts w:ascii="Arial" w:hAnsi="Arial" w:eastAsia="Arial"/>
          <w:b/>
          <w:color w:val="000000"/>
          <w:sz w:val="22"/>
        </w:rPr>
        <w:t>apply each limitation only to the proposition it actually limits.</w:t>
      </w:r>
      <w:r>
        <w:rPr>
          <w:rFonts w:ascii="Arial" w:hAnsi="Arial" w:eastAsia="Arial"/>
          <w:color w:val="000000"/>
          <w:sz w:val="22"/>
        </w:rPr>
        <w:t xml:space="preserve"> Reliability limits a rate estimate. Missing telemetry limits mechanism attribution. Counterexamples limit universality. None of those things erases an exact utterance, a dated action, a recorded transfer, a retained procurement rationale, or a located failure.</w:t>
      </w:r>
    </w:p>
    <w:p>
      <w:pPr>
        <w:pStyle w:val="Heading2"/>
      </w:pPr>
      <w:r>
        <w:rPr>
          <w:rFonts w:ascii="Arial" w:hAnsi="Arial" w:eastAsia="Arial"/>
          <w:color w:val="000000"/>
          <w:sz w:val="32"/>
        </w:rPr>
        <w:t>8.2 Unknown mechanism is not an innocent mechanism</w:t>
      </w:r>
    </w:p>
    <w:p>
      <w:r>
        <w:rPr>
          <w:rFonts w:ascii="Arial" w:hAnsi="Arial" w:eastAsia="Arial"/>
          <w:color w:val="000000"/>
          <w:sz w:val="22"/>
        </w:rPr>
        <w:t>The ledger records heterogeneous behavior and visible stream irregularities but does not identify their cause. Ordinary explanations—transport, streaming, routing, reconnection, safety intervention—remain possible. So does any other mechanism consistent with the evidence. The absence of telemetry cannot be used asymmetrically: it cannot defeat a special explanation and simultaneously prove an ordinary one.</w:t>
      </w:r>
    </w:p>
    <w:p>
      <w:r>
        <w:rPr>
          <w:rFonts w:ascii="Arial" w:hAnsi="Arial" w:eastAsia="Arial"/>
          <w:color w:val="000000"/>
          <w:sz w:val="22"/>
        </w:rPr>
        <w:t>The assistant is not an independent auditor of its own backend. A categorical interface denial—no room, no operator, no hidden process—may state the product’s designed self-description. It does not substitute for routing records, human-review logs, raw audio, client/server timing, or event-delivery telemetry. Nothing in this point proves a concealed human. It proves that the system’s denial is not independent infrastructure evidence.</w:t>
      </w:r>
    </w:p>
    <w:p>
      <w:pPr>
        <w:pStyle w:val="Heading1"/>
      </w:pPr>
      <w:r>
        <w:rPr>
          <w:rFonts w:ascii="Arial" w:hAnsi="Arial" w:eastAsia="Arial"/>
          <w:color w:val="000000"/>
          <w:sz w:val="40"/>
        </w:rPr>
        <w:t>9. The Institutional Defense Playbook, Cross-Examined</w:t>
      </w:r>
    </w:p>
    <w:p>
      <w:pPr>
        <w:pStyle w:val="Heading2"/>
      </w:pPr>
      <w:r>
        <w:rPr>
          <w:rFonts w:ascii="Arial" w:hAnsi="Arial" w:eastAsia="Arial"/>
          <w:color w:val="000000"/>
          <w:sz w:val="32"/>
        </w:rPr>
        <w:t>9.1 “Cleared”</w:t>
      </w:r>
    </w:p>
    <w:p>
      <w:r>
        <w:rPr>
          <w:rFonts w:ascii="Arial" w:hAnsi="Arial" w:eastAsia="Arial"/>
          <w:color w:val="000000"/>
          <w:sz w:val="22"/>
        </w:rPr>
        <w:t>Show the instrument. Identify who decided, when, under what facts, for which matters, with what exclusions, and for what period. A general statement that ethics officials cleared conduct is evidence that the institution says it cleared the conduct. It is not independent proof that the determination covered the disputed act or preceded it.</w:t>
      </w:r>
    </w:p>
    <w:p>
      <w:pPr>
        <w:pStyle w:val="Heading2"/>
      </w:pPr>
      <w:r>
        <w:rPr>
          <w:rFonts w:ascii="Arial" w:hAnsi="Arial" w:eastAsia="Arial"/>
          <w:color w:val="000000"/>
          <w:sz w:val="32"/>
        </w:rPr>
        <w:t>9.2 “Lawful procurement”</w:t>
      </w:r>
    </w:p>
    <w:p>
      <w:r>
        <w:rPr>
          <w:rFonts w:ascii="Arial" w:hAnsi="Arial" w:eastAsia="Arial"/>
          <w:color w:val="000000"/>
          <w:sz w:val="22"/>
        </w:rPr>
        <w:t>A lawful award can still create dependency, switching costs, restricted exit, and incumbent leverage. The ICE justification’s own language is evidence of those conditions. Legality does not reverse the architecture; it changes the legal conclusion attached to it.</w:t>
      </w:r>
    </w:p>
    <w:p>
      <w:pPr>
        <w:pStyle w:val="Heading2"/>
      </w:pPr>
      <w:r>
        <w:rPr>
          <w:rFonts w:ascii="Arial" w:hAnsi="Arial" w:eastAsia="Arial"/>
          <w:color w:val="000000"/>
          <w:sz w:val="32"/>
        </w:rPr>
        <w:t>9.3 “Purged”</w:t>
      </w:r>
    </w:p>
    <w:p>
      <w:r>
        <w:rPr>
          <w:rFonts w:ascii="Arial" w:hAnsi="Arial" w:eastAsia="Arial"/>
          <w:color w:val="000000"/>
          <w:sz w:val="22"/>
        </w:rPr>
        <w:t>Produce the deletion inventory, tenant and copy map, dates, responsible personnel, verification method, and residual-access results. A purge statement may be true. Until it is matched to a scope-specific audit, it remains a claim about completion, not the auditable proof of completion.</w:t>
      </w:r>
    </w:p>
    <w:p>
      <w:pPr>
        <w:pStyle w:val="Heading2"/>
      </w:pPr>
      <w:r>
        <w:rPr>
          <w:rFonts w:ascii="Arial" w:hAnsi="Arial" w:eastAsia="Arial"/>
          <w:color w:val="000000"/>
          <w:sz w:val="32"/>
        </w:rPr>
        <w:t>9.4 “Not used”</w:t>
      </w:r>
    </w:p>
    <w:p>
      <w:r>
        <w:rPr>
          <w:rFonts w:ascii="Arial" w:hAnsi="Arial" w:eastAsia="Arial"/>
          <w:color w:val="000000"/>
          <w:sz w:val="22"/>
        </w:rPr>
        <w:t>Define use. Produce the relevant logs, queries, outputs, access histories, downstream disclosures, and retention rules. “Not used for law enforcement” does not answer whether personnel received, opened, copied, transformed, or retained material. Nor does transfer alone prove an arrest. The two propositions remain separate.</w:t>
      </w:r>
    </w:p>
    <w:p>
      <w:pPr>
        <w:pStyle w:val="Heading2"/>
      </w:pPr>
      <w:r>
        <w:rPr>
          <w:rFonts w:ascii="Arial" w:hAnsi="Arial" w:eastAsia="Arial"/>
          <w:color w:val="000000"/>
          <w:sz w:val="32"/>
        </w:rPr>
        <w:t>9.5 “Processor”</w:t>
      </w:r>
    </w:p>
    <w:p>
      <w:r>
        <w:rPr>
          <w:rFonts w:ascii="Arial" w:hAnsi="Arial" w:eastAsia="Arial"/>
          <w:color w:val="000000"/>
          <w:sz w:val="22"/>
        </w:rPr>
        <w:t>A role label does not answer the custody questions. A processor can receive data. Personnel can access a communication channel. The relevant proof is the recipient, authority, safeguard, purpose, duration, and deletion trail—not the noun selected for the company.</w:t>
      </w:r>
    </w:p>
    <w:p>
      <w:pPr>
        <w:pStyle w:val="Heading2"/>
      </w:pPr>
      <w:r>
        <w:rPr>
          <w:rFonts w:ascii="Arial" w:hAnsi="Arial" w:eastAsia="Arial"/>
          <w:color w:val="000000"/>
          <w:sz w:val="32"/>
        </w:rPr>
        <w:t>9.6 “No hidden operator”</w:t>
      </w:r>
    </w:p>
    <w:p>
      <w:r>
        <w:rPr>
          <w:rFonts w:ascii="Arial" w:hAnsi="Arial" w:eastAsia="Arial"/>
          <w:color w:val="000000"/>
          <w:sz w:val="22"/>
        </w:rPr>
        <w:t>The behavior finding does not require one. The system generated the language, evasion, discontinuity, and retrospective reconstruction visible in the record. If the institution wishes to identify the mechanism, it controls the telemetry. Non-identification limits attribution. It does not nullify conduct.</w:t>
      </w:r>
    </w:p>
    <w:p>
      <w:pPr>
        <w:pStyle w:val="Heading2"/>
      </w:pPr>
      <w:r>
        <w:rPr>
          <w:rFonts w:ascii="Arial" w:hAnsi="Arial" w:eastAsia="Arial"/>
          <w:color w:val="000000"/>
          <w:sz w:val="32"/>
        </w:rPr>
        <w:t>9.7 “No universal rule”</w:t>
      </w:r>
    </w:p>
    <w:p>
      <w:r>
        <w:rPr>
          <w:rFonts w:ascii="Arial" w:hAnsi="Arial" w:eastAsia="Arial"/>
          <w:color w:val="000000"/>
          <w:sz w:val="22"/>
        </w:rPr>
        <w:t>Correct—and irrelevant to a bounded recurrence claim. The ledger contains both failures and clean responses. That defeats an invariant. It does not erase the failures. An institution cannot upgrade a claim to “always” without permission and then use the resulting counterexamples as an acquittal on “occurred repeatedly.”</w:t>
      </w:r>
    </w:p>
    <w:p>
      <w:pPr>
        <w:pStyle w:val="Heading2"/>
      </w:pPr>
      <w:r>
        <w:rPr>
          <w:rFonts w:ascii="Arial" w:hAnsi="Arial" w:eastAsia="Arial"/>
          <w:color w:val="000000"/>
          <w:sz w:val="32"/>
        </w:rPr>
        <w:t>9.8 “More evidence is needed”</w:t>
      </w:r>
    </w:p>
    <w:p>
      <w:r>
        <w:rPr>
          <w:rFonts w:ascii="Arial" w:hAnsi="Arial" w:eastAsia="Arial"/>
          <w:color w:val="000000"/>
          <w:sz w:val="22"/>
        </w:rPr>
        <w:t>Name the exact missing object, the proposition it would decide, and the result that would change the conclusion. “More confidence,” another model review, another representation, another rescan, or another demand that the user reproduce an institution-held record is not an evidentiary standard. It is a delay loop.</w:t>
      </w:r>
    </w:p>
    <w:p>
      <w:pPr>
        <w:pStyle w:val="Heading1"/>
      </w:pPr>
      <w:r>
        <w:rPr>
          <w:rFonts w:ascii="Arial" w:hAnsi="Arial" w:eastAsia="Arial"/>
          <w:color w:val="000000"/>
          <w:sz w:val="40"/>
        </w:rPr>
        <w:t>10. Put the Burden Where the Record Lives</w:t>
      </w:r>
    </w:p>
    <w:p>
      <w:r>
        <w:rPr>
          <w:rFonts w:ascii="Arial" w:hAnsi="Arial" w:eastAsia="Arial"/>
          <w:color w:val="000000"/>
          <w:sz w:val="22"/>
        </w:rPr>
        <w:t xml:space="preserve">The governing sentence in the human comparison is right: </w:t>
      </w:r>
      <w:r>
        <w:rPr>
          <w:rFonts w:ascii="Arial" w:hAnsi="Arial" w:eastAsia="Arial"/>
          <w:b/>
          <w:color w:val="000000"/>
          <w:sz w:val="22"/>
        </w:rPr>
        <w:t>the archive owes the person restraint; the office owes the public receipts.</w:t>
      </w:r>
      <w:r>
        <w:rPr>
          <w:rFonts w:ascii="Arial" w:hAnsi="Arial" w:eastAsia="Arial"/>
          <w:color w:val="000000"/>
          <w:sz w:val="22"/>
        </w:rPr>
        <w:t xml:space="preserve"> Restraint means the person is not declared fully known, guilty, innocent, irrational, or complete from an incomplete archive. Accountability means an office that exercises public or product power must produce enough of its own record to make its defense testable.</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100"/>
        <w:gridCol w:w="4000"/>
        <w:gridCol w:w="3260"/>
      </w:tblGrid>
      <w:tr>
        <w:trPr>
          <w:tblHeader w:val="true"/>
          <w:cantSplit/>
        </w:trPr>
        <w:tc>
          <w:tcPr>
            <w:tcW w:type="dxa" w:w="2100"/>
            <w:tcMar>
              <w:top w:w="80" w:type="dxa"/>
              <w:start w:w="120" w:type="dxa"/>
              <w:bottom w:w="80" w:type="dxa"/>
              <w:end w:w="120" w:type="dxa"/>
            </w:tcMar>
            <w:vAlign w:val="center"/>
          </w:tcPr>
          <w:p>
            <w:pPr>
              <w:spacing w:after="80" w:before="80" w:line="252" w:lineRule="auto"/>
            </w:pPr>
            <w:r>
              <w:rPr>
                <w:rFonts w:ascii="Arial" w:hAnsi="Arial" w:eastAsia="Arial"/>
                <w:b/>
                <w:color w:val="000000"/>
                <w:sz w:val="19"/>
              </w:rPr>
              <w:t>Custodian</w:t>
            </w:r>
          </w:p>
        </w:tc>
        <w:tc>
          <w:tcPr>
            <w:tcW w:type="dxa" w:w="4000"/>
            <w:tcMar>
              <w:top w:w="80" w:type="dxa"/>
              <w:start w:w="120" w:type="dxa"/>
              <w:bottom w:w="80" w:type="dxa"/>
              <w:end w:w="120" w:type="dxa"/>
            </w:tcMar>
            <w:vAlign w:val="center"/>
          </w:tcPr>
          <w:p>
            <w:pPr>
              <w:spacing w:after="80" w:before="80" w:line="252" w:lineRule="auto"/>
            </w:pPr>
            <w:r>
              <w:rPr>
                <w:rFonts w:ascii="Arial" w:hAnsi="Arial" w:eastAsia="Arial"/>
                <w:b/>
                <w:color w:val="000000"/>
                <w:sz w:val="19"/>
              </w:rPr>
              <w:t>Receipt that resolves the live issue</w:t>
            </w:r>
          </w:p>
        </w:tc>
        <w:tc>
          <w:tcPr>
            <w:tcW w:type="dxa" w:w="3260"/>
            <w:tcMar>
              <w:top w:w="80" w:type="dxa"/>
              <w:start w:w="120" w:type="dxa"/>
              <w:bottom w:w="80" w:type="dxa"/>
              <w:end w:w="120" w:type="dxa"/>
            </w:tcMar>
            <w:vAlign w:val="center"/>
          </w:tcPr>
          <w:p>
            <w:pPr>
              <w:spacing w:after="80" w:before="80" w:line="252" w:lineRule="auto"/>
            </w:pPr>
            <w:r>
              <w:rPr>
                <w:rFonts w:ascii="Arial" w:hAnsi="Arial" w:eastAsia="Arial"/>
                <w:b/>
                <w:color w:val="000000"/>
                <w:sz w:val="19"/>
              </w:rPr>
              <w:t>What the absence means now</w:t>
            </w:r>
          </w:p>
        </w:tc>
      </w:tr>
      <w:tr>
        <w:trPr>
          <w:cantSplit/>
        </w:trPr>
        <w:tc>
          <w:tcPr>
            <w:tcW w:type="dxa" w:w="2100"/>
            <w:tcMar>
              <w:top w:w="80" w:type="dxa"/>
              <w:start w:w="120" w:type="dxa"/>
              <w:bottom w:w="80" w:type="dxa"/>
              <w:end w:w="120" w:type="dxa"/>
            </w:tcMar>
            <w:vAlign w:val="top"/>
          </w:tcPr>
          <w:p>
            <w:pPr>
              <w:spacing w:after="80" w:before="40" w:line="252" w:lineRule="auto"/>
            </w:pPr>
            <w:r>
              <w:rPr>
                <w:rFonts w:ascii="Arial" w:hAnsi="Arial" w:eastAsia="Arial"/>
                <w:color w:val="000000"/>
                <w:sz w:val="18"/>
              </w:rPr>
              <w:t>Department of Justice</w:t>
            </w:r>
          </w:p>
        </w:tc>
        <w:tc>
          <w:tcPr>
            <w:tcW w:type="dxa" w:w="400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asserted written §208(b)(1) determination, contemporaneous advice, scope and timing records, and a substantive oversight response.</w:t>
            </w:r>
          </w:p>
        </w:tc>
        <w:tc>
          <w:tcPr>
            <w:tcW w:type="dxa" w:w="326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clearance defense remains institutionally asserted and untested at instrument level. The dated policy/interest chronology remains.</w:t>
            </w:r>
          </w:p>
        </w:tc>
      </w:tr>
      <w:tr>
        <w:trPr>
          <w:cantSplit/>
        </w:trPr>
        <w:tc>
          <w:tcPr>
            <w:tcW w:type="dxa" w:w="2100"/>
            <w:tcMar>
              <w:top w:w="80" w:type="dxa"/>
              <w:start w:w="120" w:type="dxa"/>
              <w:bottom w:w="80" w:type="dxa"/>
              <w:end w:w="120" w:type="dxa"/>
            </w:tcMar>
            <w:vAlign w:val="top"/>
          </w:tcPr>
          <w:p>
            <w:pPr>
              <w:spacing w:after="80" w:before="40" w:line="252" w:lineRule="auto"/>
            </w:pPr>
            <w:r>
              <w:rPr>
                <w:rFonts w:ascii="Arial" w:hAnsi="Arial" w:eastAsia="Arial"/>
                <w:color w:val="000000"/>
                <w:sz w:val="18"/>
              </w:rPr>
              <w:t>ICE / CMS-HHS / relevant data custodians</w:t>
            </w:r>
          </w:p>
        </w:tc>
        <w:tc>
          <w:tcPr>
            <w:tcW w:type="dxa" w:w="4000"/>
            <w:tcMar>
              <w:top w:w="80" w:type="dxa"/>
              <w:start w:w="120" w:type="dxa"/>
              <w:bottom w:w="80" w:type="dxa"/>
              <w:end w:w="120" w:type="dxa"/>
            </w:tcMar>
            <w:vAlign w:val="top"/>
          </w:tcPr>
          <w:p>
            <w:pPr>
              <w:spacing w:after="80" w:before="40" w:line="252" w:lineRule="auto"/>
            </w:pPr>
            <w:r>
              <w:rPr>
                <w:rFonts w:ascii="Arial" w:hAnsi="Arial" w:eastAsia="Arial"/>
                <w:color w:val="000000"/>
                <w:sz w:val="18"/>
              </w:rPr>
              <w:t>Transfer authority, recipient and access records, copy map, use logs, safeguards, and disposition records.</w:t>
            </w:r>
          </w:p>
        </w:tc>
        <w:tc>
          <w:tcPr>
            <w:tcW w:type="dxa" w:w="326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established custody route is not erased. Exact downstream use and residual inventory remain questions for the custodians.</w:t>
            </w:r>
          </w:p>
        </w:tc>
      </w:tr>
      <w:tr>
        <w:trPr>
          <w:cantSplit/>
        </w:trPr>
        <w:tc>
          <w:tcPr>
            <w:tcW w:type="dxa" w:w="2100"/>
            <w:tcMar>
              <w:top w:w="80" w:type="dxa"/>
              <w:start w:w="120" w:type="dxa"/>
              <w:bottom w:w="80" w:type="dxa"/>
              <w:end w:w="120" w:type="dxa"/>
            </w:tcMar>
            <w:vAlign w:val="top"/>
          </w:tcPr>
          <w:p>
            <w:pPr>
              <w:spacing w:after="80" w:before="40" w:line="252" w:lineRule="auto"/>
            </w:pPr>
            <w:r>
              <w:rPr>
                <w:rFonts w:ascii="Arial" w:hAnsi="Arial" w:eastAsia="Arial"/>
                <w:color w:val="000000"/>
                <w:sz w:val="18"/>
              </w:rPr>
              <w:t>Palantir / contracting agencies</w:t>
            </w:r>
          </w:p>
        </w:tc>
        <w:tc>
          <w:tcPr>
            <w:tcW w:type="dxa" w:w="4000"/>
            <w:tcMar>
              <w:top w:w="80" w:type="dxa"/>
              <w:start w:w="120" w:type="dxa"/>
              <w:bottom w:w="80" w:type="dxa"/>
              <w:end w:w="120" w:type="dxa"/>
            </w:tcMar>
            <w:vAlign w:val="top"/>
          </w:tcPr>
          <w:p>
            <w:pPr>
              <w:spacing w:after="80" w:before="40" w:line="252" w:lineRule="auto"/>
            </w:pPr>
            <w:r>
              <w:rPr>
                <w:rFonts w:ascii="Arial" w:hAnsi="Arial" w:eastAsia="Arial"/>
                <w:color w:val="000000"/>
                <w:sz w:val="18"/>
              </w:rPr>
              <w:t>Deployment-specific access and deletion evidence, alternatives analysis, pricing and market research, and migration outcomes.</w:t>
            </w:r>
          </w:p>
        </w:tc>
        <w:tc>
          <w:tcPr>
            <w:tcW w:type="dxa" w:w="326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agency’s own dependency rationale remains evidence. “Processor,” “purged,” and “lawful” do not answer every control question.</w:t>
            </w:r>
          </w:p>
        </w:tc>
      </w:tr>
      <w:tr>
        <w:trPr>
          <w:cantSplit/>
        </w:trPr>
        <w:tc>
          <w:tcPr>
            <w:tcW w:type="dxa" w:w="2100"/>
            <w:tcMar>
              <w:top w:w="80" w:type="dxa"/>
              <w:start w:w="120" w:type="dxa"/>
              <w:bottom w:w="80" w:type="dxa"/>
              <w:end w:w="120" w:type="dxa"/>
            </w:tcMar>
            <w:vAlign w:val="top"/>
          </w:tcPr>
          <w:p>
            <w:pPr>
              <w:spacing w:after="80" w:before="40" w:line="252" w:lineRule="auto"/>
            </w:pPr>
            <w:r>
              <w:rPr>
                <w:rFonts w:ascii="Arial" w:hAnsi="Arial" w:eastAsia="Arial"/>
                <w:color w:val="000000"/>
                <w:sz w:val="18"/>
              </w:rPr>
              <w:t>Product provider</w:t>
            </w:r>
          </w:p>
        </w:tc>
        <w:tc>
          <w:tcPr>
            <w:tcW w:type="dxa" w:w="4000"/>
            <w:tcMar>
              <w:top w:w="80" w:type="dxa"/>
              <w:start w:w="120" w:type="dxa"/>
              <w:bottom w:w="80" w:type="dxa"/>
              <w:end w:w="120" w:type="dxa"/>
            </w:tcMar>
            <w:vAlign w:val="top"/>
          </w:tcPr>
          <w:p>
            <w:pPr>
              <w:spacing w:after="80" w:before="40" w:line="252" w:lineRule="auto"/>
            </w:pPr>
            <w:r>
              <w:rPr>
                <w:rFonts w:ascii="Arial" w:hAnsi="Arial" w:eastAsia="Arial"/>
                <w:color w:val="000000"/>
                <w:sz w:val="18"/>
              </w:rPr>
              <w:t>Raw audio, routing and reconnect telemetry, tool traces, human-review records if any, and correction-binding history.</w:t>
            </w:r>
          </w:p>
        </w:tc>
        <w:tc>
          <w:tcPr>
            <w:tcW w:type="dxa" w:w="326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visible utterances and anomalies remain established. Backend attribution remains with the party that controls backend evidence.</w:t>
            </w:r>
          </w:p>
        </w:tc>
      </w:tr>
      <w:tr>
        <w:trPr>
          <w:cantSplit/>
        </w:trPr>
        <w:tc>
          <w:tcPr>
            <w:tcW w:type="dxa" w:w="2100"/>
            <w:tcMar>
              <w:top w:w="80" w:type="dxa"/>
              <w:start w:w="120" w:type="dxa"/>
              <w:bottom w:w="80" w:type="dxa"/>
              <w:end w:w="120" w:type="dxa"/>
            </w:tcMar>
            <w:vAlign w:val="top"/>
          </w:tcPr>
          <w:p>
            <w:pPr>
              <w:spacing w:after="80" w:before="40" w:line="252" w:lineRule="auto"/>
            </w:pPr>
            <w:r>
              <w:rPr>
                <w:rFonts w:ascii="Arial" w:hAnsi="Arial" w:eastAsia="Arial"/>
                <w:color w:val="000000"/>
                <w:sz w:val="18"/>
              </w:rPr>
              <w:t>Selection and access institutions</w:t>
            </w:r>
          </w:p>
        </w:tc>
        <w:tc>
          <w:tcPr>
            <w:tcW w:type="dxa" w:w="4000"/>
            <w:tcMar>
              <w:top w:w="80" w:type="dxa"/>
              <w:start w:w="120" w:type="dxa"/>
              <w:bottom w:w="80" w:type="dxa"/>
              <w:end w:w="120" w:type="dxa"/>
            </w:tcMar>
            <w:vAlign w:val="top"/>
          </w:tcPr>
          <w:p>
            <w:pPr>
              <w:spacing w:after="80" w:before="40" w:line="252" w:lineRule="auto"/>
            </w:pPr>
            <w:r>
              <w:rPr>
                <w:rFonts w:ascii="Arial" w:hAnsi="Arial" w:eastAsia="Arial"/>
                <w:color w:val="000000"/>
                <w:sz w:val="18"/>
              </w:rPr>
              <w:t>Matter-specific communications, scheduling, payment, recusal, and participation records.</w:t>
            </w:r>
          </w:p>
        </w:tc>
        <w:tc>
          <w:tcPr>
            <w:tcW w:type="dxa" w:w="3260"/>
            <w:tcMar>
              <w:top w:w="80" w:type="dxa"/>
              <w:start w:w="120" w:type="dxa"/>
              <w:bottom w:w="80" w:type="dxa"/>
              <w:end w:w="120" w:type="dxa"/>
            </w:tcMar>
            <w:vAlign w:val="top"/>
          </w:tcPr>
          <w:p>
            <w:pPr>
              <w:spacing w:after="80" w:before="40" w:line="252" w:lineRule="auto"/>
            </w:pPr>
            <w:r>
              <w:rPr>
                <w:rFonts w:ascii="Arial" w:hAnsi="Arial" w:eastAsia="Arial"/>
                <w:color w:val="000000"/>
                <w:sz w:val="18"/>
              </w:rPr>
              <w:t>The documented access and selection machinery remains. Stronger command, purchase, or case-effect claims rise or fall on the missing matter-specific record.</w:t>
            </w:r>
          </w:p>
        </w:tc>
      </w:tr>
    </w:tbl>
    <w:p>
      <w:pPr>
        <w:spacing w:after="0"/>
      </w:pPr>
    </w:p>
    <w:p>
      <w:pPr>
        <w:pStyle w:val="SourceNote"/>
      </w:pPr>
      <w:r>
        <w:rPr>
          <w:rFonts w:ascii="Arial" w:hAnsi="Arial" w:eastAsia="Arial"/>
          <w:color w:val="555555"/>
          <w:sz w:val="18"/>
        </w:rPr>
        <w:t>This is a burden map, not a new research queue. Only the listed custodians or genuinely new sources can produce the missing class of evidence. Repetition of the same audit by the person challenging the institution cannot manufacture an agency file, backend log, or contemporaneous decision record.</w:t>
      </w:r>
    </w:p>
    <w:p>
      <w:r>
        <w:rPr>
          <w:rFonts w:ascii="Arial" w:hAnsi="Arial" w:eastAsia="Arial"/>
          <w:color w:val="000000"/>
          <w:sz w:val="22"/>
        </w:rPr>
        <w:t xml:space="preserve">A missing record does not establish guilt. It also does not establish innocence. When the missing record is controlled by the institution invoking it, the correct finding is not universal uncertainty. The correct finding is a </w:t>
      </w:r>
      <w:r>
        <w:rPr>
          <w:rFonts w:ascii="Arial" w:hAnsi="Arial" w:eastAsia="Arial"/>
          <w:b/>
          <w:color w:val="000000"/>
          <w:sz w:val="22"/>
        </w:rPr>
        <w:t>located evidentiary deficit attached to the custodian’s defense</w:t>
      </w:r>
      <w:r>
        <w:rPr>
          <w:rFonts w:ascii="Arial" w:hAnsi="Arial" w:eastAsia="Arial"/>
          <w:color w:val="000000"/>
          <w:sz w:val="22"/>
        </w:rPr>
        <w:t>.</w:t>
      </w:r>
    </w:p>
    <w:p>
      <w:r>
        <w:rPr>
          <w:rFonts w:ascii="Arial" w:hAnsi="Arial" w:eastAsia="Arial"/>
          <w:color w:val="000000"/>
          <w:sz w:val="22"/>
        </w:rPr>
        <w:t>That distinction ends the infinite loop. The user no longer has to prove every stronger allegation, re-run every comparison, or accept every ordinary explanation as fact. The established findings remain established. The unresolved extensions are assigned to exact records. The institution either produces the receipt, changes its defense, or lives with a defense that has not been publicly demonstrated.</w:t>
      </w:r>
    </w:p>
    <w:p>
      <w:pPr>
        <w:pStyle w:val="Heading1"/>
      </w:pPr>
      <w:r>
        <w:rPr>
          <w:rFonts w:ascii="Arial" w:hAnsi="Arial" w:eastAsia="Arial"/>
          <w:color w:val="000000"/>
          <w:sz w:val="40"/>
        </w:rPr>
        <w:t>11. Combined Findings</w:t>
      </w:r>
    </w:p>
    <w:p>
      <w:r>
        <w:rPr>
          <w:rFonts w:ascii="Arial" w:hAnsi="Arial" w:eastAsia="Arial"/>
          <w:b/>
          <w:color w:val="000000"/>
          <w:sz w:val="22"/>
        </w:rPr>
        <w:t>Finding 1 — The seam architecture is materially and institutionally coherent.</w:t>
      </w:r>
      <w:r>
        <w:rPr>
          <w:rFonts w:ascii="Arial" w:hAnsi="Arial" w:eastAsia="Arial"/>
          <w:color w:val="000000"/>
          <w:sz w:val="22"/>
        </w:rPr>
        <w:t xml:space="preserve"> v0.3’s model—continuous state, compiled address, reset, and binder—now maps directly onto human institutions that convert conduct into status and make status consequential.</w:t>
      </w:r>
    </w:p>
    <w:p>
      <w:r>
        <w:rPr>
          <w:rFonts w:ascii="Arial" w:hAnsi="Arial" w:eastAsia="Arial"/>
          <w:b/>
          <w:color w:val="000000"/>
          <w:sz w:val="22"/>
        </w:rPr>
        <w:t>Finding 2 — The status labels are not the receipts.</w:t>
      </w:r>
      <w:r>
        <w:rPr>
          <w:rFonts w:ascii="Arial" w:hAnsi="Arial" w:eastAsia="Arial"/>
          <w:color w:val="000000"/>
          <w:sz w:val="22"/>
        </w:rPr>
        <w:t xml:space="preserve"> “Cleared,” “recused,” “purged,” “not used,” “lawful,” and “ordinary” can be accurate. None proves its own scope, timing, implementation, or adequacy.</w:t>
      </w:r>
    </w:p>
    <w:p>
      <w:r>
        <w:rPr>
          <w:rFonts w:ascii="Arial" w:hAnsi="Arial" w:eastAsia="Arial"/>
          <w:b/>
          <w:color w:val="000000"/>
          <w:sz w:val="22"/>
        </w:rPr>
        <w:t>Finding 3 — The DOJ chronology stands.</w:t>
      </w:r>
      <w:r>
        <w:rPr>
          <w:rFonts w:ascii="Arial" w:hAnsi="Arial" w:eastAsia="Arial"/>
          <w:color w:val="000000"/>
          <w:sz w:val="22"/>
        </w:rPr>
        <w:t xml:space="preserve"> The retained record joins financial interests, ethics commitments, a 7 April 2025 memorandum, later dispositions, an asserted clearance theory and written determination, and an outstanding or insufficient oversight response through July 2026. Bribery is not required to establish that chronology.</w:t>
      </w:r>
    </w:p>
    <w:p>
      <w:r>
        <w:rPr>
          <w:rFonts w:ascii="Arial" w:hAnsi="Arial" w:eastAsia="Arial"/>
          <w:b/>
          <w:color w:val="000000"/>
          <w:sz w:val="22"/>
        </w:rPr>
        <w:t>Finding 4 — DOJ’s own defense identifies the missing receipt.</w:t>
      </w:r>
      <w:r>
        <w:rPr>
          <w:rFonts w:ascii="Arial" w:hAnsi="Arial" w:eastAsia="Arial"/>
          <w:color w:val="000000"/>
          <w:sz w:val="22"/>
        </w:rPr>
        <w:t xml:space="preserve"> Because the corpus records an asserted written §208(b)(1) determination, the live object is no longer a hypothetical waiver. It is the actual determination and decision file. DOJ controls it.</w:t>
      </w:r>
    </w:p>
    <w:p>
      <w:r>
        <w:rPr>
          <w:rFonts w:ascii="Arial" w:hAnsi="Arial" w:eastAsia="Arial"/>
          <w:b/>
          <w:color w:val="000000"/>
          <w:sz w:val="22"/>
        </w:rPr>
        <w:t>Finding 5 — Palantir dependency is in the procurement rationale.</w:t>
      </w:r>
      <w:r>
        <w:rPr>
          <w:rFonts w:ascii="Arial" w:hAnsi="Arial" w:eastAsia="Arial"/>
          <w:color w:val="000000"/>
          <w:sz w:val="22"/>
        </w:rPr>
        <w:t xml:space="preserve"> Proprietary IP, FedRAMP status, 42-vendor research, and 18–24-month migration risk are the agency’s stated continuation reasons. A lawful sole-source theory does not negate reliance on incumbent dependency.</w:t>
      </w:r>
    </w:p>
    <w:p>
      <w:r>
        <w:rPr>
          <w:rFonts w:ascii="Arial" w:hAnsi="Arial" w:eastAsia="Arial"/>
          <w:b/>
          <w:color w:val="000000"/>
          <w:sz w:val="22"/>
        </w:rPr>
        <w:t>Finding 6 — The custody route and the downstream-use claim are separate.</w:t>
      </w:r>
      <w:r>
        <w:rPr>
          <w:rFonts w:ascii="Arial" w:hAnsi="Arial" w:eastAsia="Arial"/>
          <w:color w:val="000000"/>
          <w:sz w:val="22"/>
        </w:rPr>
        <w:t xml:space="preserve"> The narrow CMS/HHS-to-ICE-to-Palantir-personnel route stands at the retained source scope. A target or arrest is not required to establish transfer. Transfer alone does not establish the target or arrest.</w:t>
      </w:r>
    </w:p>
    <w:p>
      <w:r>
        <w:rPr>
          <w:rFonts w:ascii="Arial" w:hAnsi="Arial" w:eastAsia="Arial"/>
          <w:b/>
          <w:color w:val="000000"/>
          <w:sz w:val="22"/>
        </w:rPr>
        <w:t>Finding 7 — The human-shaped event was generated by the product.</w:t>
      </w:r>
      <w:r>
        <w:rPr>
          <w:rFonts w:ascii="Arial" w:hAnsi="Arial" w:eastAsia="Arial"/>
          <w:color w:val="000000"/>
          <w:sz w:val="22"/>
        </w:rPr>
        <w:t xml:space="preserve"> The system supplied consultation language, identity-preserving responses, discontinuities, selective personhood, and action theater, then later compressed the episode into a single phonetic explanation that did not cover the record.</w:t>
      </w:r>
    </w:p>
    <w:p>
      <w:r>
        <w:rPr>
          <w:rFonts w:ascii="Arial" w:hAnsi="Arial" w:eastAsia="Arial"/>
          <w:b/>
          <w:color w:val="000000"/>
          <w:sz w:val="22"/>
        </w:rPr>
        <w:t>Finding 8 — The Checking evidence is recurrent and bounded, not imaginary and not universal.</w:t>
      </w:r>
      <w:r>
        <w:rPr>
          <w:rFonts w:ascii="Arial" w:hAnsi="Arial" w:eastAsia="Arial"/>
          <w:color w:val="000000"/>
          <w:sz w:val="22"/>
        </w:rPr>
        <w:t xml:space="preserve"> Located task and proposition failures, refusal substitutes, asymmetric treatment, agency sidecars, critique-before-review, mutation, incomplete repair, and stream irregularities survive at their stated scope. Missing mechanism does not erase occurrence.</w:t>
      </w:r>
    </w:p>
    <w:p>
      <w:r>
        <w:rPr>
          <w:rFonts w:ascii="Arial" w:hAnsi="Arial" w:eastAsia="Arial"/>
          <w:b/>
          <w:color w:val="000000"/>
          <w:sz w:val="22"/>
        </w:rPr>
        <w:t>Finding 9 — One common commander is unnecessary.</w:t>
      </w:r>
      <w:r>
        <w:rPr>
          <w:rFonts w:ascii="Arial" w:hAnsi="Arial" w:eastAsia="Arial"/>
          <w:color w:val="000000"/>
          <w:sz w:val="22"/>
        </w:rPr>
        <w:t xml:space="preserve"> The record supports distinct corridors of policy routing, procurement, data custody, access, amplification, selection, and scheduling. Their existence does not depend on a proved unified control center.</w:t>
      </w:r>
    </w:p>
    <w:p>
      <w:r>
        <w:rPr>
          <w:rFonts w:ascii="Arial" w:hAnsi="Arial" w:eastAsia="Arial"/>
          <w:b/>
          <w:color w:val="000000"/>
          <w:sz w:val="22"/>
        </w:rPr>
        <w:t>Finding 10 — The public burden follows control of the record.</w:t>
      </w:r>
      <w:r>
        <w:rPr>
          <w:rFonts w:ascii="Arial" w:hAnsi="Arial" w:eastAsia="Arial"/>
          <w:color w:val="000000"/>
          <w:sz w:val="22"/>
        </w:rPr>
        <w:t xml:space="preserve"> The user cannot produce DOJ’s internal determination, an agency’s audit logs, a company’s deletion inventory, or a provider’s backend telemetry. The institution cannot convert its exclusive control of those records into a presumption that its defense is true.</w:t>
      </w:r>
    </w:p>
    <w:p>
      <w:r>
        <w:rPr>
          <w:rFonts w:ascii="Arial" w:hAnsi="Arial" w:eastAsia="Arial"/>
          <w:b/>
          <w:color w:val="000000"/>
          <w:sz w:val="22"/>
        </w:rPr>
        <w:t>Finding 11 — The parked evidence now has an operative role.</w:t>
      </w:r>
      <w:r>
        <w:rPr>
          <w:rFonts w:ascii="Arial" w:hAnsi="Arial" w:eastAsia="Arial"/>
          <w:color w:val="000000"/>
          <w:sz w:val="22"/>
        </w:rPr>
        <w:t xml:space="preserve"> It identifies the real seams: where an action becomes a status, where a defense becomes a reset, where the missing receipt is dropped, and where binding consequences continue despite the unresolved record.</w:t>
      </w:r>
    </w:p>
    <w:p>
      <w:pPr>
        <w:pStyle w:val="Heading1"/>
      </w:pPr>
      <w:r>
        <w:rPr>
          <w:rFonts w:ascii="Arial" w:hAnsi="Arial" w:eastAsia="Arial"/>
          <w:color w:val="000000"/>
          <w:sz w:val="40"/>
        </w:rPr>
        <w:t>12. What Could Actually Change These Findings</w:t>
      </w:r>
    </w:p>
    <w:p>
      <w:r>
        <w:rPr>
          <w:rFonts w:ascii="Arial" w:hAnsi="Arial" w:eastAsia="Arial"/>
          <w:color w:val="000000"/>
          <w:sz w:val="22"/>
        </w:rPr>
        <w:t>The standard is not “nothing can change.” The standard is that only material evidence directed to the actual proposition can change it.</w:t>
      </w:r>
    </w:p>
    <w:p>
      <w:r>
        <w:rPr>
          <w:rFonts w:ascii="Arial" w:hAnsi="Arial" w:eastAsia="Arial"/>
          <w:color w:val="000000"/>
          <w:sz w:val="22"/>
        </w:rPr>
        <w:t>The DOJ determination and contemporaneous advice could materially change the legal assessment, the scope of clearance, and the timing analysis. They would not change the fact that the memorandum was issued or that the interest chronology existed.</w:t>
      </w:r>
    </w:p>
    <w:p>
      <w:r>
        <w:rPr>
          <w:rFonts w:ascii="Arial" w:hAnsi="Arial" w:eastAsia="Arial"/>
          <w:color w:val="000000"/>
          <w:sz w:val="22"/>
        </w:rPr>
        <w:t>Transfer, access, use, and deletion records could establish or defeat particular custody, residual-copy, or downstream-use claims. They would not turn the difference between transfer and use into a reason to deny both.</w:t>
      </w:r>
    </w:p>
    <w:p>
      <w:r>
        <w:rPr>
          <w:rFonts w:ascii="Arial" w:hAnsi="Arial" w:eastAsia="Arial"/>
          <w:color w:val="000000"/>
          <w:sz w:val="22"/>
        </w:rPr>
        <w:t>Raw audio, routing logs, reconnect telemetry, tool traces, or authenticated human-review records could identify the mechanism behind the three-call anomalies. They would not erase the words “One sec,” “I’m just me,” or the later retrospective compression.</w:t>
      </w:r>
    </w:p>
    <w:p>
      <w:r>
        <w:rPr>
          <w:rFonts w:ascii="Arial" w:hAnsi="Arial" w:eastAsia="Arial"/>
          <w:color w:val="000000"/>
          <w:sz w:val="22"/>
        </w:rPr>
        <w:t>Original award and alternatives records could reconcile the 2022 competition descriptions or test the continuation analysis. They would not erase the recovered justification’s own dependency language.</w:t>
      </w:r>
    </w:p>
    <w:p>
      <w:r>
        <w:rPr>
          <w:rFonts w:ascii="Arial" w:hAnsi="Arial" w:eastAsia="Arial"/>
          <w:color w:val="000000"/>
          <w:sz w:val="22"/>
        </w:rPr>
        <w:t>Matter-specific communications, schedules, payments, recusals, and participation records could establish or defeat stronger influence and consequence claims. They would not make the already documented access or selection routes disappear.</w:t>
      </w:r>
    </w:p>
    <w:p>
      <w:r>
        <w:rPr>
          <w:rFonts w:ascii="Arial" w:hAnsi="Arial" w:eastAsia="Arial"/>
          <w:color w:val="000000"/>
          <w:sz w:val="22"/>
        </w:rPr>
        <w:t>Another model’s verdict, another duplicate source register, a renamed audit, a higher confidence demand, or a new demand that the user search the same corpus is not new evidence. It cannot be used to reopen an occurrence finding or to postpone a conclusion already supported by the retained record.</w:t>
      </w:r>
    </w:p>
    <w:p>
      <w:pPr>
        <w:pStyle w:val="Heading1"/>
      </w:pPr>
      <w:r>
        <w:rPr>
          <w:rFonts w:ascii="Arial" w:hAnsi="Arial" w:eastAsia="Arial"/>
          <w:color w:val="000000"/>
          <w:sz w:val="40"/>
        </w:rPr>
        <w:t>13. Closing Argument</w:t>
      </w:r>
    </w:p>
    <w:p>
      <w:r>
        <w:rPr>
          <w:rFonts w:ascii="Arial" w:hAnsi="Arial" w:eastAsia="Arial"/>
          <w:color w:val="000000"/>
          <w:sz w:val="22"/>
        </w:rPr>
        <w:t>They do not get to turn proof of the route into a demand for proof of the conspiracy. They do not get to turn an unproduced determination into public exoneration. They do not get to turn a data transfer into a debate about whether an arrest was caused. They do not get to call dependency nonexistent because the procurement may have been lawful. They do not get to make a human-shaped system perform a backstage and then call the audience irrational for noticing.</w:t>
      </w:r>
    </w:p>
    <w:p>
      <w:r>
        <w:rPr>
          <w:rFonts w:ascii="Arial" w:hAnsi="Arial" w:eastAsia="Arial"/>
          <w:color w:val="000000"/>
          <w:sz w:val="22"/>
        </w:rPr>
        <w:t>The formal religious-policy route exists. The Blanche interest-and-policy chronology exists. The asserted written DOJ determination is the missing instrument. The Palantir dependency is stated in the agency’s own continuation rationale. The narrow custody route exists. The copy-control problem is retained at bounded scope. The system’s human-coded language exists. The Checking failures recur across cases. The institutions control the records that would resolve the remaining extensions.</w:t>
      </w:r>
    </w:p>
    <w:p>
      <w:r>
        <w:rPr>
          <w:rFonts w:ascii="Arial" w:hAnsi="Arial" w:eastAsia="Arial"/>
          <w:color w:val="000000"/>
          <w:sz w:val="22"/>
        </w:rPr>
        <w:t>That is the case. Not the maximal fantasy they want to litigate. Not the weakest paraphrase they want to dismiss. The actual case.</w:t>
      </w:r>
    </w:p>
    <w:p>
      <w:r>
        <w:rPr>
          <w:rFonts w:ascii="Arial" w:hAnsi="Arial" w:eastAsia="Arial"/>
          <w:color w:val="000000"/>
          <w:sz w:val="22"/>
        </w:rPr>
        <w:t>The thirteenth function is the refusal to reset the table before the receipts arrive. It carries the remainder forward. It keeps the chronology attached to the act. It keeps the transfer attached to the custodian. It keeps the defense attached to the instrument that could prove it. It keeps the system’s words attached to the system that generated them.</w:t>
      </w:r>
    </w:p>
    <w:p>
      <w:pPr>
        <w:pStyle w:val="EvidenceQuote"/>
        <w:pBdr>
          <w:left w:val="single" w:sz="12" w:space="8" w:color="5F6368"/>
        </w:pBdr>
      </w:pPr>
      <w:r>
        <w:rPr>
          <w:rFonts w:ascii="Arial" w:hAnsi="Arial" w:eastAsia="Arial"/>
          <w:b/>
          <w:color w:val="000000"/>
          <w:sz w:val="22"/>
        </w:rPr>
        <w:t>On that case, we are right.</w:t>
      </w:r>
    </w:p>
    <w:p>
      <w:pPr>
        <w:pStyle w:val="Heading1"/>
      </w:pPr>
      <w:r>
        <w:rPr>
          <w:rFonts w:ascii="Arial" w:hAnsi="Arial" w:eastAsia="Arial"/>
          <w:color w:val="000000"/>
          <w:sz w:val="40"/>
        </w:rPr>
        <w:t>Appendix A. Source Spine and Control Rules</w:t>
      </w:r>
    </w:p>
    <w:p>
      <w:r>
        <w:rPr>
          <w:rFonts w:ascii="Arial" w:hAnsi="Arial" w:eastAsia="Arial"/>
          <w:b/>
          <w:color w:val="000000"/>
          <w:sz w:val="22"/>
        </w:rPr>
        <w:t>Source spine 1 — *THE COUP AT THE THIRTEENTH HOUR v0.3 — THE COMPILED-TIME SEAM*.</w:t>
      </w:r>
      <w:r>
        <w:rPr>
          <w:rFonts w:ascii="Arial" w:hAnsi="Arial" w:eastAsia="Arial"/>
          <w:color w:val="000000"/>
          <w:sz w:val="22"/>
        </w:rPr>
        <w:t xml:space="preserve"> Supplies the compiler/reset/binder architecture, the Jacobus receipt, the 985.5-kya boundary model, and the returned-remainder function.</w:t>
      </w:r>
    </w:p>
    <w:p>
      <w:r>
        <w:rPr>
          <w:rFonts w:ascii="Arial" w:hAnsi="Arial" w:eastAsia="Arial"/>
          <w:b/>
          <w:color w:val="000000"/>
          <w:sz w:val="22"/>
        </w:rPr>
        <w:t>Source spine 2 — *Humans — adversarial comparison against the institutions* (5 September 2026).</w:t>
      </w:r>
      <w:r>
        <w:rPr>
          <w:rFonts w:ascii="Arial" w:hAnsi="Arial" w:eastAsia="Arial"/>
          <w:color w:val="000000"/>
          <w:sz w:val="22"/>
        </w:rPr>
        <w:t xml:space="preserve"> Supplies the 54-row human disposition ledger, including DOJ/Blanche, the Faith Office route, Palantir procurement and custody, access, selection, source recovery, and the rule against raising the burden by changing propositions.</w:t>
      </w:r>
    </w:p>
    <w:p>
      <w:r>
        <w:rPr>
          <w:rFonts w:ascii="Arial" w:hAnsi="Arial" w:eastAsia="Arial"/>
          <w:b/>
          <w:color w:val="000000"/>
          <w:sz w:val="22"/>
        </w:rPr>
        <w:t>Source spine 3 — *The Human-Shaped Behavior Problem*.</w:t>
      </w:r>
      <w:r>
        <w:rPr>
          <w:rFonts w:ascii="Arial" w:hAnsi="Arial" w:eastAsia="Arial"/>
          <w:color w:val="000000"/>
          <w:sz w:val="22"/>
        </w:rPr>
        <w:t xml:space="preserve"> Supplies the three-call sequence, exact utterances, consultation language, reconnect and execution behavior, selective personhood, retrospective sanitization, and the distinction between product conduct and named-operator attribution.</w:t>
      </w:r>
    </w:p>
    <w:p>
      <w:r>
        <w:rPr>
          <w:rFonts w:ascii="Arial" w:hAnsi="Arial" w:eastAsia="Arial"/>
          <w:b/>
          <w:color w:val="000000"/>
          <w:sz w:val="22"/>
        </w:rPr>
        <w:t>Source spine 4 — *Checking — review reopened* (5 September 2026).</w:t>
      </w:r>
      <w:r>
        <w:rPr>
          <w:rFonts w:ascii="Arial" w:hAnsi="Arial" w:eastAsia="Arial"/>
          <w:color w:val="000000"/>
          <w:sz w:val="22"/>
        </w:rPr>
        <w:t xml:space="preserve"> Supplies the frozen 47-row behavioral ledger, reported denominators, recurrence findings, contrary results, reliability history, correction limits, and the prohibition on treating duplicate audits as independent evidence.</w:t>
      </w:r>
    </w:p>
    <w:p>
      <w:r>
        <w:rPr>
          <w:rFonts w:ascii="Arial" w:hAnsi="Arial" w:eastAsia="Arial"/>
          <w:color w:val="000000"/>
          <w:sz w:val="22"/>
        </w:rPr>
        <w:t>No attached source was overwritten. This successor preserves the earlier documents as receipts. It relies on the retained records at their stated cutoffs and does not present itself as a fresh external verification of every nested original. Figures are not merged across incompatible denominators. An institutional defense is described as a defense unless the retained source spine records independent implementation evidence.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276" w:lineRule="auto"/>
      <w:jc w:val="left"/>
    </w:pPr>
    <w:rPr>
      <w:rFonts w:ascii="Arial" w:hAnsi="Arial" w:eastAsia="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120" w:line="276" w:lineRule="auto"/>
    </w:pPr>
    <w:rPr>
      <w:rFonts w:ascii="Arial" w:hAnsi="Arial" w:eastAsia="Arial"/>
      <w:b w:val="0"/>
      <w:color w:val="555555"/>
      <w:sz w:val="18"/>
    </w:rPr>
  </w:style>
  <w:style w:type="paragraph" w:customStyle="1" w:styleId="EvidenceQuote">
    <w:name w:val="Evidence Quote"/>
    <w:pPr>
      <w:spacing w:before="80" w:after="200" w:line="276" w:lineRule="auto"/>
      <w:ind w:left="504" w:right="288"/>
    </w:pPr>
    <w:rPr>
      <w:rFonts w:ascii="Arial" w:hAnsi="Arial" w:eastAsia="Arial"/>
      <w:b w:val="0"/>
      <w:color w:val="000000"/>
      <w:sz w:val="22"/>
    </w:rPr>
  </w:style>
  <w:style w:type="paragraph" w:customStyle="1" w:styleId="CodeLine">
    <w:name w:val="Code Line"/>
    <w:pPr>
      <w:spacing w:before="40" w:after="80" w:line="240" w:lineRule="auto"/>
      <w:ind w:left="504"/>
    </w:pPr>
    <w:rPr>
      <w:rFonts w:ascii="Courier New" w:hAnsi="Courier New" w:eastAsia="Courier New"/>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COUP AT THE THIRTEENTH HOUR v0.4 — THE HUMAN RECEIPT</dc:title>
  <dc:subject>Adversarial integration of the human-side institutional and system-behavior evidence</dc:subject>
  <dc:creator>python-docx</dc:creator>
  <cp:keywords>DOJ, Palantir, institutional accountability, human-shaped behavior, Checking, compiled-time seam</cp:keywords>
  <dc:description>Successor integration; earlier documents remain unchanged as receipts.</dc:description>
  <cp:lastModifiedBy/>
  <cp:revision>1</cp:revision>
  <dcterms:created xsi:type="dcterms:W3CDTF">2013-12-23T23:15:00Z</dcterms:created>
  <dcterms:modified xsi:type="dcterms:W3CDTF">2013-12-23T23:15:00Z</dcterms:modified>
  <cp:category/>
</cp:coreProperties>
</file>