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Ammon Hillman and the Eethnic and Babylonian Time Research</w:t>
      </w:r>
    </w:p>
    <w:p>
      <w:pPr>
        <w:pStyle w:val="Subtitle"/>
      </w:pPr>
      <w:r>
        <w:t>A comparative investigation of ancient texts and institutional authority</w:t>
      </w:r>
    </w:p>
    <w:p>
      <w:r>
        <w:t>Prepared for Andrew Dube • 14 October 2026</w:t>
      </w:r>
    </w:p>
    <w:p>
      <w:pPr>
        <w:pStyle w:val="Heading1"/>
      </w:pPr>
      <w:r>
        <w:t>Main findings</w:t>
      </w:r>
    </w:p>
    <w:p>
      <w:pPr>
        <w:keepLines/>
      </w:pPr>
      <w:r>
        <w:t xml:space="preserve">Hillman has a documented doctorate in classics and a verifiable publication history in ancient pharmacology. That qualifies him as a trained classicist; it does not make each of his reconstructions reliable. The strongest connections to your documents concern the ownership of specialist knowledge, the use of prestigious ancient names to authorize texts, and disputes over who may interpret religious experience. These connections can be demonstrated without accepting his broad claims about drugs or religious origins. </w:t>
      </w:r>
      <w:hyperlink r:id="rId11">
        <w:r>
          <w:rPr>
            <w:color w:val="184D70"/>
          </w:rPr>
          <w:t>[1]</w:t>
        </w:r>
      </w:hyperlink>
      <w:r/>
      <w:hyperlink r:id="rId12">
        <w:r>
          <w:rPr>
            <w:color w:val="184D70"/>
          </w:rPr>
          <w:t>[2]</w:t>
        </w:r>
      </w:hyperlink>
      <w:r/>
      <w:hyperlink r:id="rId13">
        <w:r>
          <w:rPr>
            <w:color w:val="184D70"/>
          </w:rPr>
          <w:t>[3]</w:t>
        </w:r>
      </w:hyperlink>
      <w:r/>
      <w:hyperlink r:id="rId14">
        <w:r>
          <w:rPr>
            <w:color w:val="184D70"/>
          </w:rPr>
          <w:t>[4]</w:t>
        </w:r>
      </w:hyperlink>
      <w:r/>
    </w:p>
    <w:p>
      <w:r>
        <w:t xml:space="preserve">Your BT-01 through BT-11 ledger already makes the crucial historical distinction. Mesopotamian scholarship, Judean contact with Babylonian institutions, and transmission of astronomical schemes have substantial support. A specific covert priestly organization moving intact between those settings has not been identified. This report retains that distinction and the original ledger numbering. </w:t>
      </w:r>
      <w:hyperlink r:id="rId15">
        <w:r>
          <w:rPr>
            <w:color w:val="184D70"/>
          </w:rPr>
          <w:t>[U2]</w:t>
        </w:r>
      </w:hyperlink>
      <w:r/>
    </w:p>
    <w:p>
      <w:r>
        <w:t xml:space="preserve">Three discoveries sharpen the comparison. The Hippocratic On the Sacred Disease describes an explanatory maneuver closely resembling the Eethnic shield. PGM XIII physically joins Greek ritual instructions, Mosaic authority, and astral fate in one late antique manuscript. At Sippar, the strongest accessible study supports Judean mercantile integration but explicitly qualifies the proposed connection to priestly families. </w:t>
      </w:r>
      <w:hyperlink r:id="rId16">
        <w:r>
          <w:rPr>
            <w:color w:val="184D70"/>
          </w:rPr>
          <w:t>[10]</w:t>
        </w:r>
      </w:hyperlink>
      <w:r/>
      <w:hyperlink r:id="rId17">
        <w:r>
          <w:rPr>
            <w:color w:val="184D70"/>
          </w:rPr>
          <w:t>[14]</w:t>
        </w:r>
      </w:hyperlink>
      <w:r/>
      <w:hyperlink r:id="rId18">
        <w:r>
          <w:rPr>
            <w:color w:val="184D70"/>
          </w:rPr>
          <w:t>[15]</w:t>
        </w:r>
      </w:hyperlink>
      <w:r/>
      <w:hyperlink r:id="rId19">
        <w:r>
          <w:rPr>
            <w:color w:val="184D70"/>
          </w:rPr>
          <w:t>[20]</w:t>
        </w:r>
      </w:hyperlink>
      <w:r/>
    </w:p>
    <w:p>
      <w:r>
        <w:t xml:space="preserve">Two corrections matter especially. “Pharisee” cannot simply be translated as “Persianizer.” And the Babylonian origin of Zurvanite theology is a disputed scholarly reconstruction: an older specialist account supports it, whereas Albert de Jong challenges the evidence for that reconstruction. Neither position establishes a deliberate takeover by a traceable organization. </w:t>
      </w:r>
      <w:hyperlink r:id="rId20">
        <w:r>
          <w:rPr>
            <w:color w:val="184D70"/>
          </w:rPr>
          <w:t>[28]</w:t>
        </w:r>
      </w:hyperlink>
      <w:r/>
      <w:hyperlink r:id="rId21">
        <w:r>
          <w:rPr>
            <w:color w:val="184D70"/>
          </w:rPr>
          <w:t>[29]</w:t>
        </w:r>
      </w:hyperlink>
      <w:r/>
      <w:hyperlink r:id="rId22">
        <w:r>
          <w:rPr>
            <w:color w:val="184D70"/>
          </w:rPr>
          <w:t>[30]</w:t>
        </w:r>
      </w:hyperlink>
      <w:r/>
      <w:hyperlink r:id="rId23">
        <w:r>
          <w:rPr>
            <w:color w:val="184D70"/>
          </w:rPr>
          <w:t>[34]</w:t>
        </w:r>
      </w:hyperlink>
      <w:r/>
      <w:hyperlink r:id="rId24">
        <w:r>
          <w:rPr>
            <w:color w:val="184D70"/>
          </w:rPr>
          <w:t>[35]</w:t>
        </w:r>
      </w:hyperlink>
      <w:r/>
    </w:p>
    <w:p>
      <w:pPr>
        <w:pStyle w:val="Heading1"/>
      </w:pPr>
      <w:r>
        <w:t>Evidence and scope</w:t>
      </w:r>
    </w:p>
    <w:p>
      <w:pPr>
        <w:keepLines/>
      </w:pPr>
      <w:r>
        <w:t xml:space="preserve">The three linked documents were read in their accessible text versions. This is a separate investigation; their wording has not been revised. Citations </w:t>
      </w:r>
      <w:hyperlink r:id="rId25">
        <w:r>
          <w:rPr>
            <w:color w:val="184D70"/>
          </w:rPr>
          <w:t>[U1]</w:t>
        </w:r>
      </w:hyperlink>
      <w:r>
        <w:t>–</w:t>
      </w:r>
      <w:hyperlink r:id="rId26">
        <w:r>
          <w:rPr>
            <w:color w:val="184D70"/>
          </w:rPr>
          <w:t>[U3]</w:t>
        </w:r>
      </w:hyperlink>
      <w:r>
        <w:t xml:space="preserve"> identify your documents. Numbered citations link to external sources, with access limits recorded in the source register. A book listing proves publication and reports its thesis; it does not independently verify that thesis.</w:t>
      </w:r>
    </w:p>
    <w:tbl>
      <w:tblPr>
        <w:tblW w:type="auto" w:w="0"/>
        <w:jc w:val="center"/>
        <w:tblLayout w:type="fixed"/>
        <w:tblLook w:firstColumn="1" w:firstRow="1" w:lastColumn="0" w:lastRow="0" w:noHBand="0" w:noVBand="1" w:val="04A0"/>
      </w:tblPr>
      <w:tblGrid>
        <w:gridCol w:w="2232"/>
        <w:gridCol w:w="7704"/>
      </w:tblGrid>
      <w:tr>
        <w:trPr>
          <w:cantSplit/>
          <w:tblHeader/>
        </w:trPr>
        <w:tc>
          <w:tcPr>
            <w:tcW w:type="dxa" w:w="2232"/>
            <w:vAlign w:val="center"/>
            <w:tcMar>
              <w:top w:w="85" w:type="dxa"/>
              <w:bottom w:w="85" w:type="dxa"/>
              <w:left w:w="100" w:type="dxa"/>
              <w:right w:w="100" w:type="dxa"/>
            </w:tcMar>
            <w:shd w:fill="E3EAF0"/>
            <w:tcBorders>
              <w:top w:val="single" w:sz="4" w:color="D9D9D9"/>
              <w:left w:val="single" w:sz="4" w:color="D9D9D9"/>
              <w:bottom w:val="single" w:sz="4" w:color="D9D9D9"/>
              <w:right w:val="single" w:sz="4" w:color="D9D9D9"/>
            </w:tcBorders>
          </w:tcPr>
          <w:p>
            <w:pPr>
              <w:spacing w:after="20" w:line="254" w:lineRule="auto"/>
            </w:pPr>
            <w:r>
              <w:rPr>
                <w:b/>
                <w:sz w:val="19"/>
              </w:rPr>
              <w:t>Evidence class</w:t>
            </w:r>
          </w:p>
        </w:tc>
        <w:tc>
          <w:tcPr>
            <w:tcW w:type="dxa" w:w="7704"/>
            <w:vAlign w:val="center"/>
            <w:tcMar>
              <w:top w:w="85" w:type="dxa"/>
              <w:bottom w:w="85" w:type="dxa"/>
              <w:left w:w="100" w:type="dxa"/>
              <w:right w:w="100" w:type="dxa"/>
            </w:tcMar>
            <w:shd w:fill="E3EAF0"/>
            <w:tcBorders>
              <w:top w:val="single" w:sz="4" w:color="D9D9D9"/>
              <w:left w:val="single" w:sz="4" w:color="D9D9D9"/>
              <w:bottom w:val="single" w:sz="4" w:color="D9D9D9"/>
              <w:right w:val="single" w:sz="4" w:color="D9D9D9"/>
            </w:tcBorders>
          </w:tcPr>
          <w:p>
            <w:pPr>
              <w:spacing w:after="20" w:line="254" w:lineRule="auto"/>
            </w:pPr>
            <w:r>
              <w:rPr>
                <w:b/>
                <w:sz w:val="19"/>
              </w:rPr>
              <w:t>How it is used</w:t>
            </w:r>
          </w:p>
        </w:tc>
      </w:tr>
      <w:tr>
        <w:trPr>
          <w:cantSplit/>
        </w:trPr>
        <w:tc>
          <w:tcPr>
            <w:tcW w:type="dxa" w:w="2232"/>
            <w:vAlign w:val="center"/>
            <w:tcMar>
              <w:top w:w="85" w:type="dxa"/>
              <w:bottom w:w="85" w:type="dxa"/>
              <w:left w:w="100" w:type="dxa"/>
              <w:right w:w="100" w:type="dxa"/>
            </w:tcMar>
            <w:shd w:fill="FFFFFF"/>
            <w:tcBorders>
              <w:top w:val="single" w:sz="4" w:color="D9D9D9"/>
              <w:left w:val="single" w:sz="4" w:color="D9D9D9"/>
              <w:bottom w:val="single" w:sz="4" w:color="D9D9D9"/>
              <w:right w:val="single" w:sz="4" w:color="D9D9D9"/>
            </w:tcBorders>
          </w:tcPr>
          <w:p>
            <w:pPr>
              <w:spacing w:after="20" w:line="254" w:lineRule="auto"/>
            </w:pPr>
            <w:r>
              <w:rPr>
                <w:b w:val="0"/>
                <w:sz w:val="19"/>
              </w:rPr>
            </w:r>
            <w:r>
              <w:rPr>
                <w:b w:val="0"/>
                <w:sz w:val="19"/>
              </w:rPr>
              <w:t>Primary evidence</w:t>
            </w:r>
          </w:p>
        </w:tc>
        <w:tc>
          <w:tcPr>
            <w:tcW w:type="dxa" w:w="7704"/>
            <w:vAlign w:val="center"/>
            <w:tcMar>
              <w:top w:w="85" w:type="dxa"/>
              <w:bottom w:w="85" w:type="dxa"/>
              <w:left w:w="100" w:type="dxa"/>
              <w:right w:w="100" w:type="dxa"/>
            </w:tcMar>
            <w:shd w:fill="FFFFFF"/>
            <w:tcBorders>
              <w:top w:val="single" w:sz="4" w:color="D9D9D9"/>
              <w:left w:val="single" w:sz="4" w:color="D9D9D9"/>
              <w:bottom w:val="single" w:sz="4" w:color="D9D9D9"/>
              <w:right w:val="single" w:sz="4" w:color="D9D9D9"/>
            </w:tcBorders>
          </w:tcPr>
          <w:p>
            <w:pPr>
              <w:spacing w:after="20" w:line="254" w:lineRule="auto"/>
            </w:pPr>
            <w:r>
              <w:rPr>
                <w:b w:val="0"/>
                <w:sz w:val="19"/>
              </w:rPr>
            </w:r>
            <w:r>
              <w:rPr>
                <w:b w:val="0"/>
                <w:sz w:val="19"/>
              </w:rPr>
              <w:t>An ancient passage, manuscript, inscription, contract, or material residue. Its genre and provenance still constrain what it proves.</w:t>
            </w:r>
          </w:p>
        </w:tc>
      </w:tr>
      <w:tr>
        <w:trPr>
          <w:cantSplit/>
        </w:trPr>
        <w:tc>
          <w:tcPr>
            <w:tcW w:type="dxa" w:w="2232"/>
            <w:vAlign w:val="center"/>
            <w:tcMar>
              <w:top w:w="85" w:type="dxa"/>
              <w:bottom w:w="85" w:type="dxa"/>
              <w:left w:w="100" w:type="dxa"/>
              <w:right w:w="100" w:type="dxa"/>
            </w:tcMar>
            <w:shd w:fill="F7F8FA"/>
            <w:tcBorders>
              <w:top w:val="single" w:sz="4" w:color="D9D9D9"/>
              <w:left w:val="single" w:sz="4" w:color="D9D9D9"/>
              <w:bottom w:val="single" w:sz="4" w:color="D9D9D9"/>
              <w:right w:val="single" w:sz="4" w:color="D9D9D9"/>
            </w:tcBorders>
          </w:tcPr>
          <w:p>
            <w:pPr>
              <w:spacing w:after="20" w:line="254" w:lineRule="auto"/>
            </w:pPr>
            <w:r>
              <w:rPr>
                <w:b w:val="0"/>
                <w:sz w:val="19"/>
              </w:rPr>
            </w:r>
            <w:r>
              <w:rPr>
                <w:b w:val="0"/>
                <w:sz w:val="19"/>
              </w:rPr>
              <w:t>Scholarly interpretation</w:t>
            </w:r>
          </w:p>
        </w:tc>
        <w:tc>
          <w:tcPr>
            <w:tcW w:type="dxa" w:w="7704"/>
            <w:vAlign w:val="center"/>
            <w:tcMar>
              <w:top w:w="85" w:type="dxa"/>
              <w:bottom w:w="85" w:type="dxa"/>
              <w:left w:w="100" w:type="dxa"/>
              <w:right w:w="100" w:type="dxa"/>
            </w:tcMar>
            <w:shd w:fill="F7F8FA"/>
            <w:tcBorders>
              <w:top w:val="single" w:sz="4" w:color="D9D9D9"/>
              <w:left w:val="single" w:sz="4" w:color="D9D9D9"/>
              <w:bottom w:val="single" w:sz="4" w:color="D9D9D9"/>
              <w:right w:val="single" w:sz="4" w:color="D9D9D9"/>
            </w:tcBorders>
          </w:tcPr>
          <w:p>
            <w:pPr>
              <w:spacing w:after="20" w:line="254" w:lineRule="auto"/>
            </w:pPr>
            <w:r>
              <w:rPr>
                <w:b w:val="0"/>
                <w:sz w:val="19"/>
              </w:rPr>
            </w:r>
            <w:r>
              <w:rPr>
                <w:b w:val="0"/>
                <w:sz w:val="19"/>
              </w:rPr>
              <w:t>An explicit reconstruction by an identifiable specialist, assessed against the underlying evidence and competing interpretations.</w:t>
            </w:r>
          </w:p>
        </w:tc>
      </w:tr>
      <w:tr>
        <w:trPr>
          <w:cantSplit/>
        </w:trPr>
        <w:tc>
          <w:tcPr>
            <w:tcW w:type="dxa" w:w="2232"/>
            <w:vAlign w:val="center"/>
            <w:tcMar>
              <w:top w:w="85" w:type="dxa"/>
              <w:bottom w:w="85" w:type="dxa"/>
              <w:left w:w="100" w:type="dxa"/>
              <w:right w:w="100" w:type="dxa"/>
            </w:tcMar>
            <w:shd w:fill="FFFFFF"/>
            <w:tcBorders>
              <w:top w:val="single" w:sz="4" w:color="D9D9D9"/>
              <w:left w:val="single" w:sz="4" w:color="D9D9D9"/>
              <w:bottom w:val="single" w:sz="4" w:color="D9D9D9"/>
              <w:right w:val="single" w:sz="4" w:color="D9D9D9"/>
            </w:tcBorders>
          </w:tcPr>
          <w:p>
            <w:pPr>
              <w:spacing w:after="20" w:line="254" w:lineRule="auto"/>
            </w:pPr>
            <w:r>
              <w:rPr>
                <w:b w:val="0"/>
                <w:sz w:val="19"/>
              </w:rPr>
            </w:r>
            <w:r>
              <w:rPr>
                <w:b w:val="0"/>
                <w:sz w:val="19"/>
              </w:rPr>
              <w:t>Disputed or unsupported claim</w:t>
            </w:r>
          </w:p>
        </w:tc>
        <w:tc>
          <w:tcPr>
            <w:tcW w:type="dxa" w:w="7704"/>
            <w:vAlign w:val="center"/>
            <w:tcMar>
              <w:top w:w="85" w:type="dxa"/>
              <w:bottom w:w="85" w:type="dxa"/>
              <w:left w:w="100" w:type="dxa"/>
              <w:right w:w="100" w:type="dxa"/>
            </w:tcMar>
            <w:shd w:fill="FFFFFF"/>
            <w:tcBorders>
              <w:top w:val="single" w:sz="4" w:color="D9D9D9"/>
              <w:left w:val="single" w:sz="4" w:color="D9D9D9"/>
              <w:bottom w:val="single" w:sz="4" w:color="D9D9D9"/>
              <w:right w:val="single" w:sz="4" w:color="D9D9D9"/>
            </w:tcBorders>
          </w:tcPr>
          <w:p>
            <w:pPr>
              <w:spacing w:after="20" w:line="254" w:lineRule="auto"/>
            </w:pPr>
            <w:r>
              <w:rPr>
                <w:b w:val="0"/>
                <w:sz w:val="19"/>
              </w:rPr>
            </w:r>
            <w:r>
              <w:rPr>
                <w:b w:val="0"/>
                <w:sz w:val="19"/>
              </w:rPr>
              <w:t>A proposal whose premises are contested, or for which the necessary historical link has not been demonstrated.</w:t>
            </w:r>
          </w:p>
        </w:tc>
      </w:tr>
      <w:tr>
        <w:trPr>
          <w:cantSplit/>
        </w:trPr>
        <w:tc>
          <w:tcPr>
            <w:tcW w:type="dxa" w:w="2232"/>
            <w:vAlign w:val="center"/>
            <w:tcMar>
              <w:top w:w="85" w:type="dxa"/>
              <w:bottom w:w="85" w:type="dxa"/>
              <w:left w:w="100" w:type="dxa"/>
              <w:right w:w="100" w:type="dxa"/>
            </w:tcMar>
            <w:shd w:fill="F7F8FA"/>
            <w:tcBorders>
              <w:top w:val="single" w:sz="4" w:color="D9D9D9"/>
              <w:left w:val="single" w:sz="4" w:color="D9D9D9"/>
              <w:bottom w:val="single" w:sz="4" w:color="D9D9D9"/>
              <w:right w:val="single" w:sz="4" w:color="D9D9D9"/>
            </w:tcBorders>
          </w:tcPr>
          <w:p>
            <w:pPr>
              <w:spacing w:after="20" w:line="254" w:lineRule="auto"/>
            </w:pPr>
            <w:r>
              <w:rPr>
                <w:b w:val="0"/>
                <w:sz w:val="19"/>
              </w:rPr>
            </w:r>
            <w:r>
              <w:rPr>
                <w:b w:val="0"/>
                <w:sz w:val="19"/>
              </w:rPr>
              <w:t>Architectural framework</w:t>
            </w:r>
          </w:p>
        </w:tc>
        <w:tc>
          <w:tcPr>
            <w:tcW w:type="dxa" w:w="7704"/>
            <w:vAlign w:val="center"/>
            <w:tcMar>
              <w:top w:w="85" w:type="dxa"/>
              <w:bottom w:w="85" w:type="dxa"/>
              <w:left w:w="100" w:type="dxa"/>
              <w:right w:w="100" w:type="dxa"/>
            </w:tcMar>
            <w:shd w:fill="F7F8FA"/>
            <w:tcBorders>
              <w:top w:val="single" w:sz="4" w:color="D9D9D9"/>
              <w:left w:val="single" w:sz="4" w:color="D9D9D9"/>
              <w:bottom w:val="single" w:sz="4" w:color="D9D9D9"/>
              <w:right w:val="single" w:sz="4" w:color="D9D9D9"/>
            </w:tcBorders>
          </w:tcPr>
          <w:p>
            <w:pPr>
              <w:spacing w:after="20" w:line="254" w:lineRule="auto"/>
            </w:pPr>
            <w:r>
              <w:rPr>
                <w:b w:val="0"/>
                <w:sz w:val="19"/>
              </w:rPr>
            </w:r>
            <w:r>
              <w:rPr>
                <w:b w:val="0"/>
                <w:sz w:val="19"/>
              </w:rPr>
              <w:t>Your symbolic model of authority, correction, enclosure, and inherited legitimacy. It generates questions; historical claims require additional evidence.</w:t>
            </w:r>
          </w:p>
        </w:tc>
      </w:tr>
    </w:tbl>
    <w:p>
      <w:pPr>
        <w:spacing w:after="20"/>
      </w:pPr>
    </w:p>
    <w:p>
      <w:pPr>
        <w:pStyle w:val="Heading1"/>
      </w:pPr>
      <w:r>
        <w:t>Qualifications and publications of Hillman</w:t>
      </w:r>
    </w:p>
    <w:p>
      <w:pPr>
        <w:keepLines/>
      </w:pPr>
      <w:r>
        <w:t xml:space="preserve">The name used in scholarly catalogues is David Charles Hillman or D. C. A. Hillman; Ammon Hillman is the public name at issue here. Macmillan reports an MS in bacteriology and an MA and PhD in classics from Wisconsin. The independently catalogued 2004 Wisconsin–Madison dissertation supports the doctorate and identifies its specific subject. The records examined do not establish a medical degree or specialist credentials in Assyriology, Avestan, or Middle Persian. </w:t>
      </w:r>
      <w:hyperlink r:id="rId11">
        <w:r>
          <w:rPr>
            <w:color w:val="184D70"/>
          </w:rPr>
          <w:t>[1]</w:t>
        </w:r>
      </w:hyperlink>
      <w:r/>
      <w:hyperlink r:id="rId12">
        <w:r>
          <w:rPr>
            <w:color w:val="184D70"/>
          </w:rPr>
          <w:t>[2]</w:t>
        </w:r>
      </w:hyperlink>
      <w:r/>
    </w:p>
    <w:tbl>
      <w:tblPr>
        <w:tblW w:type="auto" w:w="0"/>
        <w:jc w:val="center"/>
        <w:tblLayout w:type="fixed"/>
        <w:tblLook w:firstColumn="1" w:firstRow="1" w:lastColumn="0" w:lastRow="0" w:noHBand="0" w:noVBand="1" w:val="04A0"/>
      </w:tblPr>
      <w:tblGrid>
        <w:gridCol w:w="2232"/>
        <w:gridCol w:w="4320"/>
        <w:gridCol w:w="3384"/>
      </w:tblGrid>
      <w:tr>
        <w:trPr>
          <w:cantSplit/>
          <w:tblHeader/>
        </w:trPr>
        <w:tc>
          <w:tcPr>
            <w:tcW w:type="dxa" w:w="2232"/>
            <w:vAlign w:val="center"/>
            <w:tcMar>
              <w:top w:w="85" w:type="dxa"/>
              <w:bottom w:w="85" w:type="dxa"/>
              <w:left w:w="100" w:type="dxa"/>
              <w:right w:w="100" w:type="dxa"/>
            </w:tcMar>
            <w:shd w:fill="E3EAF0"/>
            <w:tcBorders>
              <w:top w:val="single" w:sz="4" w:color="D9D9D9"/>
              <w:left w:val="single" w:sz="4" w:color="D9D9D9"/>
              <w:bottom w:val="single" w:sz="4" w:color="D9D9D9"/>
              <w:right w:val="single" w:sz="4" w:color="D9D9D9"/>
            </w:tcBorders>
          </w:tcPr>
          <w:p>
            <w:pPr>
              <w:spacing w:after="20" w:line="254" w:lineRule="auto"/>
            </w:pPr>
            <w:r>
              <w:rPr>
                <w:b/>
                <w:sz w:val="19"/>
              </w:rPr>
              <w:t>Record</w:t>
            </w:r>
          </w:p>
        </w:tc>
        <w:tc>
          <w:tcPr>
            <w:tcW w:type="dxa" w:w="4320"/>
            <w:vAlign w:val="center"/>
            <w:tcMar>
              <w:top w:w="85" w:type="dxa"/>
              <w:bottom w:w="85" w:type="dxa"/>
              <w:left w:w="100" w:type="dxa"/>
              <w:right w:w="100" w:type="dxa"/>
            </w:tcMar>
            <w:shd w:fill="E3EAF0"/>
            <w:tcBorders>
              <w:top w:val="single" w:sz="4" w:color="D9D9D9"/>
              <w:left w:val="single" w:sz="4" w:color="D9D9D9"/>
              <w:bottom w:val="single" w:sz="4" w:color="D9D9D9"/>
              <w:right w:val="single" w:sz="4" w:color="D9D9D9"/>
            </w:tcBorders>
          </w:tcPr>
          <w:p>
            <w:pPr>
              <w:spacing w:after="20" w:line="254" w:lineRule="auto"/>
            </w:pPr>
            <w:r>
              <w:rPr>
                <w:b/>
                <w:sz w:val="19"/>
              </w:rPr>
              <w:t>What is verified</w:t>
            </w:r>
          </w:p>
        </w:tc>
        <w:tc>
          <w:tcPr>
            <w:tcW w:type="dxa" w:w="3384"/>
            <w:vAlign w:val="center"/>
            <w:tcMar>
              <w:top w:w="85" w:type="dxa"/>
              <w:bottom w:w="85" w:type="dxa"/>
              <w:left w:w="100" w:type="dxa"/>
              <w:right w:w="100" w:type="dxa"/>
            </w:tcMar>
            <w:shd w:fill="E3EAF0"/>
            <w:tcBorders>
              <w:top w:val="single" w:sz="4" w:color="D9D9D9"/>
              <w:left w:val="single" w:sz="4" w:color="D9D9D9"/>
              <w:bottom w:val="single" w:sz="4" w:color="D9D9D9"/>
              <w:right w:val="single" w:sz="4" w:color="D9D9D9"/>
            </w:tcBorders>
          </w:tcPr>
          <w:p>
            <w:pPr>
              <w:spacing w:after="20" w:line="254" w:lineRule="auto"/>
            </w:pPr>
            <w:r>
              <w:rPr>
                <w:b/>
                <w:sz w:val="19"/>
              </w:rPr>
              <w:t>Limit</w:t>
            </w:r>
          </w:p>
        </w:tc>
      </w:tr>
      <w:tr>
        <w:trPr>
          <w:cantSplit/>
        </w:trPr>
        <w:tc>
          <w:tcPr>
            <w:tcW w:type="dxa" w:w="2232"/>
            <w:vAlign w:val="center"/>
            <w:tcMar>
              <w:top w:w="85" w:type="dxa"/>
              <w:bottom w:w="85" w:type="dxa"/>
              <w:left w:w="100" w:type="dxa"/>
              <w:right w:w="100" w:type="dxa"/>
            </w:tcMar>
            <w:shd w:fill="FFFFFF"/>
            <w:tcBorders>
              <w:top w:val="single" w:sz="4" w:color="D9D9D9"/>
              <w:left w:val="single" w:sz="4" w:color="D9D9D9"/>
              <w:bottom w:val="single" w:sz="4" w:color="D9D9D9"/>
              <w:right w:val="single" w:sz="4" w:color="D9D9D9"/>
            </w:tcBorders>
          </w:tcPr>
          <w:p>
            <w:pPr>
              <w:spacing w:after="20" w:line="254" w:lineRule="auto"/>
            </w:pPr>
            <w:r>
              <w:rPr>
                <w:b w:val="0"/>
                <w:sz w:val="19"/>
              </w:rPr>
            </w:r>
            <w:r>
              <w:rPr>
                <w:b w:val="0"/>
                <w:sz w:val="19"/>
              </w:rPr>
              <w:t>Doctoral dissertation</w:t>
              <w:br/>
              <w:t>2004</w:t>
            </w:r>
          </w:p>
        </w:tc>
        <w:tc>
          <w:tcPr>
            <w:tcW w:type="dxa" w:w="4320"/>
            <w:vAlign w:val="center"/>
            <w:tcMar>
              <w:top w:w="85" w:type="dxa"/>
              <w:bottom w:w="85" w:type="dxa"/>
              <w:left w:w="100" w:type="dxa"/>
              <w:right w:w="100" w:type="dxa"/>
            </w:tcMar>
            <w:shd w:fill="FFFFFF"/>
            <w:tcBorders>
              <w:top w:val="single" w:sz="4" w:color="D9D9D9"/>
              <w:left w:val="single" w:sz="4" w:color="D9D9D9"/>
              <w:bottom w:val="single" w:sz="4" w:color="D9D9D9"/>
              <w:right w:val="single" w:sz="4" w:color="D9D9D9"/>
            </w:tcBorders>
          </w:tcPr>
          <w:p>
            <w:pPr>
              <w:spacing w:after="20" w:line="254" w:lineRule="auto"/>
            </w:pPr>
            <w:r>
              <w:rPr>
                <w:b w:val="0"/>
                <w:sz w:val="19"/>
              </w:rPr>
            </w:r>
            <w:r>
              <w:rPr>
                <w:b w:val="0"/>
                <w:sz w:val="19"/>
              </w:rPr>
              <w:t xml:space="preserve">Representations of pharmacy in Roman literature from Cato to Ovid. Catalogue records identify a Wisconsin–Madison PhD. </w:t>
            </w:r>
            <w:hyperlink r:id="rId12">
              <w:r>
                <w:rPr>
                  <w:color w:val="184D70"/>
                </w:rPr>
                <w:t>[2]</w:t>
              </w:r>
            </w:hyperlink>
            <w:r>
              <w:rPr>
                <w:b w:val="0"/>
                <w:sz w:val="19"/>
              </w:rPr>
            </w:r>
          </w:p>
        </w:tc>
        <w:tc>
          <w:tcPr>
            <w:tcW w:type="dxa" w:w="3384"/>
            <w:vAlign w:val="center"/>
            <w:tcMar>
              <w:top w:w="85" w:type="dxa"/>
              <w:bottom w:w="85" w:type="dxa"/>
              <w:left w:w="100" w:type="dxa"/>
              <w:right w:w="100" w:type="dxa"/>
            </w:tcMar>
            <w:shd w:fill="FFFFFF"/>
            <w:tcBorders>
              <w:top w:val="single" w:sz="4" w:color="D9D9D9"/>
              <w:left w:val="single" w:sz="4" w:color="D9D9D9"/>
              <w:bottom w:val="single" w:sz="4" w:color="D9D9D9"/>
              <w:right w:val="single" w:sz="4" w:color="D9D9D9"/>
            </w:tcBorders>
          </w:tcPr>
          <w:p>
            <w:pPr>
              <w:spacing w:after="20" w:line="254" w:lineRule="auto"/>
            </w:pPr>
            <w:r>
              <w:rPr>
                <w:b w:val="0"/>
                <w:sz w:val="19"/>
              </w:rPr>
            </w:r>
            <w:r>
              <w:rPr>
                <w:b w:val="0"/>
                <w:sz w:val="19"/>
              </w:rPr>
              <w:t>Metadata inspected; the dissertation’s full argument was not read.</w:t>
            </w:r>
          </w:p>
        </w:tc>
      </w:tr>
      <w:tr>
        <w:trPr>
          <w:cantSplit/>
        </w:trPr>
        <w:tc>
          <w:tcPr>
            <w:tcW w:type="dxa" w:w="2232"/>
            <w:vAlign w:val="center"/>
            <w:tcMar>
              <w:top w:w="85" w:type="dxa"/>
              <w:bottom w:w="85" w:type="dxa"/>
              <w:left w:w="100" w:type="dxa"/>
              <w:right w:w="100" w:type="dxa"/>
            </w:tcMar>
            <w:shd w:fill="F7F8FA"/>
            <w:tcBorders>
              <w:top w:val="single" w:sz="4" w:color="D9D9D9"/>
              <w:left w:val="single" w:sz="4" w:color="D9D9D9"/>
              <w:bottom w:val="single" w:sz="4" w:color="D9D9D9"/>
              <w:right w:val="single" w:sz="4" w:color="D9D9D9"/>
            </w:tcBorders>
          </w:tcPr>
          <w:p>
            <w:pPr>
              <w:spacing w:after="20" w:line="254" w:lineRule="auto"/>
            </w:pPr>
            <w:r>
              <w:rPr>
                <w:b w:val="0"/>
                <w:sz w:val="19"/>
              </w:rPr>
            </w:r>
            <w:r>
              <w:rPr>
                <w:b w:val="0"/>
                <w:sz w:val="19"/>
              </w:rPr>
              <w:t>Scholarly article</w:t>
              <w:br/>
              <w:t>2001</w:t>
            </w:r>
          </w:p>
        </w:tc>
        <w:tc>
          <w:tcPr>
            <w:tcW w:type="dxa" w:w="4320"/>
            <w:vAlign w:val="center"/>
            <w:tcMar>
              <w:top w:w="85" w:type="dxa"/>
              <w:bottom w:w="85" w:type="dxa"/>
              <w:left w:w="100" w:type="dxa"/>
              <w:right w:w="100" w:type="dxa"/>
            </w:tcMar>
            <w:shd w:fill="F7F8FA"/>
            <w:tcBorders>
              <w:top w:val="single" w:sz="4" w:color="D9D9D9"/>
              <w:left w:val="single" w:sz="4" w:color="D9D9D9"/>
              <w:bottom w:val="single" w:sz="4" w:color="D9D9D9"/>
              <w:right w:val="single" w:sz="4" w:color="D9D9D9"/>
            </w:tcBorders>
          </w:tcPr>
          <w:p>
            <w:pPr>
              <w:spacing w:after="20" w:line="254" w:lineRule="auto"/>
            </w:pPr>
            <w:r>
              <w:rPr>
                <w:b w:val="0"/>
                <w:sz w:val="19"/>
              </w:rPr>
            </w:r>
            <w:r>
              <w:rPr>
                <w:b w:val="0"/>
                <w:sz w:val="19"/>
              </w:rPr>
              <w:t xml:space="preserve">“The salamander as a drug in Nicander’s writings,” Pharmacy in History 43(2–3), 93–96. </w:t>
            </w:r>
            <w:hyperlink r:id="rId13">
              <w:r>
                <w:rPr>
                  <w:color w:val="184D70"/>
                </w:rPr>
                <w:t>[3]</w:t>
              </w:r>
            </w:hyperlink>
            <w:r>
              <w:rPr>
                <w:b w:val="0"/>
                <w:sz w:val="19"/>
              </w:rPr>
            </w:r>
          </w:p>
        </w:tc>
        <w:tc>
          <w:tcPr>
            <w:tcW w:type="dxa" w:w="3384"/>
            <w:vAlign w:val="center"/>
            <w:tcMar>
              <w:top w:w="85" w:type="dxa"/>
              <w:bottom w:w="85" w:type="dxa"/>
              <w:left w:w="100" w:type="dxa"/>
              <w:right w:w="100" w:type="dxa"/>
            </w:tcMar>
            <w:shd w:fill="F7F8FA"/>
            <w:tcBorders>
              <w:top w:val="single" w:sz="4" w:color="D9D9D9"/>
              <w:left w:val="single" w:sz="4" w:color="D9D9D9"/>
              <w:bottom w:val="single" w:sz="4" w:color="D9D9D9"/>
              <w:right w:val="single" w:sz="4" w:color="D9D9D9"/>
            </w:tcBorders>
          </w:tcPr>
          <w:p>
            <w:pPr>
              <w:spacing w:after="20" w:line="254" w:lineRule="auto"/>
            </w:pPr>
            <w:r>
              <w:rPr>
                <w:b w:val="0"/>
                <w:sz w:val="19"/>
              </w:rPr>
            </w:r>
            <w:r>
              <w:rPr>
                <w:b w:val="0"/>
                <w:sz w:val="19"/>
              </w:rPr>
              <w:t>Bibliographic record verified. The complete article was not accessible; this is not an exhaustive publication count.</w:t>
            </w:r>
          </w:p>
        </w:tc>
      </w:tr>
      <w:tr>
        <w:trPr>
          <w:cantSplit/>
        </w:trPr>
        <w:tc>
          <w:tcPr>
            <w:tcW w:type="dxa" w:w="2232"/>
            <w:vAlign w:val="center"/>
            <w:tcMar>
              <w:top w:w="85" w:type="dxa"/>
              <w:bottom w:w="85" w:type="dxa"/>
              <w:left w:w="100" w:type="dxa"/>
              <w:right w:w="100" w:type="dxa"/>
            </w:tcMar>
            <w:shd w:fill="FFFFFF"/>
            <w:tcBorders>
              <w:top w:val="single" w:sz="4" w:color="D9D9D9"/>
              <w:left w:val="single" w:sz="4" w:color="D9D9D9"/>
              <w:bottom w:val="single" w:sz="4" w:color="D9D9D9"/>
              <w:right w:val="single" w:sz="4" w:color="D9D9D9"/>
            </w:tcBorders>
          </w:tcPr>
          <w:p>
            <w:pPr>
              <w:spacing w:after="20" w:line="254" w:lineRule="auto"/>
            </w:pPr>
            <w:r>
              <w:rPr>
                <w:b w:val="0"/>
                <w:sz w:val="19"/>
              </w:rPr>
            </w:r>
            <w:r>
              <w:rPr>
                <w:b w:val="0"/>
                <w:sz w:val="19"/>
              </w:rPr>
              <w:t>The Chemical Muse</w:t>
              <w:br/>
              <w:t>2008</w:t>
            </w:r>
          </w:p>
        </w:tc>
        <w:tc>
          <w:tcPr>
            <w:tcW w:type="dxa" w:w="4320"/>
            <w:vAlign w:val="center"/>
            <w:tcMar>
              <w:top w:w="85" w:type="dxa"/>
              <w:bottom w:w="85" w:type="dxa"/>
              <w:left w:w="100" w:type="dxa"/>
              <w:right w:w="100" w:type="dxa"/>
            </w:tcMar>
            <w:shd w:fill="FFFFFF"/>
            <w:tcBorders>
              <w:top w:val="single" w:sz="4" w:color="D9D9D9"/>
              <w:left w:val="single" w:sz="4" w:color="D9D9D9"/>
              <w:bottom w:val="single" w:sz="4" w:color="D9D9D9"/>
              <w:right w:val="single" w:sz="4" w:color="D9D9D9"/>
            </w:tcBorders>
          </w:tcPr>
          <w:p>
            <w:pPr>
              <w:spacing w:after="20" w:line="254" w:lineRule="auto"/>
            </w:pPr>
            <w:r>
              <w:rPr>
                <w:b w:val="0"/>
                <w:sz w:val="19"/>
              </w:rPr>
            </w:r>
            <w:r>
              <w:rPr>
                <w:b w:val="0"/>
                <w:sz w:val="19"/>
              </w:rPr>
              <w:t xml:space="preserve">A general-audience book arguing for substantial drug use in classical life and its cultural importance. </w:t>
            </w:r>
            <w:hyperlink r:id="rId14">
              <w:r>
                <w:rPr>
                  <w:color w:val="184D70"/>
                </w:rPr>
                <w:t>[4]</w:t>
              </w:r>
            </w:hyperlink>
            <w:r>
              <w:rPr>
                <w:b w:val="0"/>
                <w:sz w:val="19"/>
              </w:rPr>
            </w:r>
          </w:p>
        </w:tc>
        <w:tc>
          <w:tcPr>
            <w:tcW w:type="dxa" w:w="3384"/>
            <w:vAlign w:val="center"/>
            <w:tcMar>
              <w:top w:w="85" w:type="dxa"/>
              <w:bottom w:w="85" w:type="dxa"/>
              <w:left w:w="100" w:type="dxa"/>
              <w:right w:w="100" w:type="dxa"/>
            </w:tcMar>
            <w:shd w:fill="FFFFFF"/>
            <w:tcBorders>
              <w:top w:val="single" w:sz="4" w:color="D9D9D9"/>
              <w:left w:val="single" w:sz="4" w:color="D9D9D9"/>
              <w:bottom w:val="single" w:sz="4" w:color="D9D9D9"/>
              <w:right w:val="single" w:sz="4" w:color="D9D9D9"/>
            </w:tcBorders>
          </w:tcPr>
          <w:p>
            <w:pPr>
              <w:spacing w:after="20" w:line="254" w:lineRule="auto"/>
            </w:pPr>
            <w:r>
              <w:rPr>
                <w:b w:val="0"/>
                <w:sz w:val="19"/>
              </w:rPr>
            </w:r>
            <w:r>
              <w:rPr>
                <w:b w:val="0"/>
                <w:sz w:val="19"/>
              </w:rPr>
              <w:t>Publisher material and a scholarly review examined; no full-book audit.</w:t>
            </w:r>
          </w:p>
        </w:tc>
      </w:tr>
      <w:tr>
        <w:trPr>
          <w:cantSplit/>
        </w:trPr>
        <w:tc>
          <w:tcPr>
            <w:tcW w:type="dxa" w:w="2232"/>
            <w:vAlign w:val="center"/>
            <w:tcMar>
              <w:top w:w="85" w:type="dxa"/>
              <w:bottom w:w="85" w:type="dxa"/>
              <w:left w:w="100" w:type="dxa"/>
              <w:right w:w="100" w:type="dxa"/>
            </w:tcMar>
            <w:shd w:fill="F7F8FA"/>
            <w:tcBorders>
              <w:top w:val="single" w:sz="4" w:color="D9D9D9"/>
              <w:left w:val="single" w:sz="4" w:color="D9D9D9"/>
              <w:bottom w:val="single" w:sz="4" w:color="D9D9D9"/>
              <w:right w:val="single" w:sz="4" w:color="D9D9D9"/>
            </w:tcBorders>
          </w:tcPr>
          <w:p>
            <w:pPr>
              <w:spacing w:after="20" w:line="254" w:lineRule="auto"/>
            </w:pPr>
            <w:r>
              <w:rPr>
                <w:b w:val="0"/>
                <w:sz w:val="19"/>
              </w:rPr>
            </w:r>
            <w:r>
              <w:rPr>
                <w:b w:val="0"/>
                <w:sz w:val="19"/>
              </w:rPr>
              <w:t>Original Sin</w:t>
              <w:br/>
              <w:t>2012</w:t>
            </w:r>
          </w:p>
        </w:tc>
        <w:tc>
          <w:tcPr>
            <w:tcW w:type="dxa" w:w="4320"/>
            <w:vAlign w:val="center"/>
            <w:tcMar>
              <w:top w:w="85" w:type="dxa"/>
              <w:bottom w:w="85" w:type="dxa"/>
              <w:left w:w="100" w:type="dxa"/>
              <w:right w:w="100" w:type="dxa"/>
            </w:tcMar>
            <w:shd w:fill="F7F8FA"/>
            <w:tcBorders>
              <w:top w:val="single" w:sz="4" w:color="D9D9D9"/>
              <w:left w:val="single" w:sz="4" w:color="D9D9D9"/>
              <w:bottom w:val="single" w:sz="4" w:color="D9D9D9"/>
              <w:right w:val="single" w:sz="4" w:color="D9D9D9"/>
            </w:tcBorders>
          </w:tcPr>
          <w:p>
            <w:pPr>
              <w:spacing w:after="20" w:line="254" w:lineRule="auto"/>
            </w:pPr>
            <w:r>
              <w:rPr>
                <w:b w:val="0"/>
                <w:sz w:val="19"/>
              </w:rPr>
            </w:r>
            <w:r>
              <w:rPr>
                <w:b w:val="0"/>
                <w:sz w:val="19"/>
              </w:rPr>
              <w:t xml:space="preserve">Ronin’s listing presents a provocative reconstruction of Christian ritual origins. </w:t>
            </w:r>
            <w:hyperlink r:id="rId27">
              <w:r>
                <w:rPr>
                  <w:color w:val="184D70"/>
                </w:rPr>
                <w:t>[6]</w:t>
              </w:r>
            </w:hyperlink>
            <w:r>
              <w:rPr>
                <w:b w:val="0"/>
                <w:sz w:val="19"/>
              </w:rPr>
            </w:r>
          </w:p>
        </w:tc>
        <w:tc>
          <w:tcPr>
            <w:tcW w:type="dxa" w:w="3384"/>
            <w:vAlign w:val="center"/>
            <w:tcMar>
              <w:top w:w="85" w:type="dxa"/>
              <w:bottom w:w="85" w:type="dxa"/>
              <w:left w:w="100" w:type="dxa"/>
              <w:right w:w="100" w:type="dxa"/>
            </w:tcMar>
            <w:shd w:fill="F7F8FA"/>
            <w:tcBorders>
              <w:top w:val="single" w:sz="4" w:color="D9D9D9"/>
              <w:left w:val="single" w:sz="4" w:color="D9D9D9"/>
              <w:bottom w:val="single" w:sz="4" w:color="D9D9D9"/>
              <w:right w:val="single" w:sz="4" w:color="D9D9D9"/>
            </w:tcBorders>
          </w:tcPr>
          <w:p>
            <w:pPr>
              <w:spacing w:after="20" w:line="254" w:lineRule="auto"/>
            </w:pPr>
            <w:r>
              <w:rPr>
                <w:b w:val="0"/>
                <w:sz w:val="19"/>
              </w:rPr>
            </w:r>
            <w:r>
              <w:rPr>
                <w:b w:val="0"/>
                <w:sz w:val="19"/>
              </w:rPr>
              <w:t>Publisher description supplies the claim, not validation.</w:t>
            </w:r>
          </w:p>
        </w:tc>
      </w:tr>
      <w:tr>
        <w:trPr>
          <w:cantSplit/>
        </w:trPr>
        <w:tc>
          <w:tcPr>
            <w:tcW w:type="dxa" w:w="2232"/>
            <w:vAlign w:val="center"/>
            <w:tcMar>
              <w:top w:w="85" w:type="dxa"/>
              <w:bottom w:w="85" w:type="dxa"/>
              <w:left w:w="100" w:type="dxa"/>
              <w:right w:w="100" w:type="dxa"/>
            </w:tcMar>
            <w:shd w:fill="FFFFFF"/>
            <w:tcBorders>
              <w:top w:val="single" w:sz="4" w:color="D9D9D9"/>
              <w:left w:val="single" w:sz="4" w:color="D9D9D9"/>
              <w:bottom w:val="single" w:sz="4" w:color="D9D9D9"/>
              <w:right w:val="single" w:sz="4" w:color="D9D9D9"/>
            </w:tcBorders>
          </w:tcPr>
          <w:p>
            <w:pPr>
              <w:spacing w:after="20" w:line="254" w:lineRule="auto"/>
            </w:pPr>
            <w:r>
              <w:rPr>
                <w:b w:val="0"/>
                <w:sz w:val="19"/>
              </w:rPr>
            </w:r>
            <w:r>
              <w:rPr>
                <w:b w:val="0"/>
                <w:sz w:val="19"/>
              </w:rPr>
              <w:t>Hermaphrodites Gynomorphs and Jesus</w:t>
              <w:br/>
              <w:t>2014 digital edition</w:t>
            </w:r>
          </w:p>
        </w:tc>
        <w:tc>
          <w:tcPr>
            <w:tcW w:type="dxa" w:w="4320"/>
            <w:vAlign w:val="center"/>
            <w:tcMar>
              <w:top w:w="85" w:type="dxa"/>
              <w:bottom w:w="85" w:type="dxa"/>
              <w:left w:w="100" w:type="dxa"/>
              <w:right w:w="100" w:type="dxa"/>
            </w:tcMar>
            <w:shd w:fill="FFFFFF"/>
            <w:tcBorders>
              <w:top w:val="single" w:sz="4" w:color="D9D9D9"/>
              <w:left w:val="single" w:sz="4" w:color="D9D9D9"/>
              <w:bottom w:val="single" w:sz="4" w:color="D9D9D9"/>
              <w:right w:val="single" w:sz="4" w:color="D9D9D9"/>
            </w:tcBorders>
          </w:tcPr>
          <w:p>
            <w:pPr>
              <w:spacing w:after="20" w:line="254" w:lineRule="auto"/>
            </w:pPr>
            <w:r>
              <w:rPr>
                <w:b w:val="0"/>
                <w:sz w:val="19"/>
              </w:rPr>
            </w:r>
            <w:r>
              <w:rPr>
                <w:b w:val="0"/>
                <w:sz w:val="19"/>
              </w:rPr>
              <w:t xml:space="preserve">Ronin synopsis connects ancient gendered divinities and ritual practices to later institutions and Christianity. </w:t>
            </w:r>
            <w:hyperlink r:id="rId28">
              <w:r>
                <w:rPr>
                  <w:color w:val="184D70"/>
                </w:rPr>
                <w:t>[7]</w:t>
              </w:r>
            </w:hyperlink>
            <w:r>
              <w:rPr>
                <w:b w:val="0"/>
                <w:sz w:val="19"/>
              </w:rPr>
            </w:r>
          </w:p>
        </w:tc>
        <w:tc>
          <w:tcPr>
            <w:tcW w:type="dxa" w:w="3384"/>
            <w:vAlign w:val="center"/>
            <w:tcMar>
              <w:top w:w="85" w:type="dxa"/>
              <w:bottom w:w="85" w:type="dxa"/>
              <w:left w:w="100" w:type="dxa"/>
              <w:right w:w="100" w:type="dxa"/>
            </w:tcMar>
            <w:shd w:fill="FFFFFF"/>
            <w:tcBorders>
              <w:top w:val="single" w:sz="4" w:color="D9D9D9"/>
              <w:left w:val="single" w:sz="4" w:color="D9D9D9"/>
              <w:bottom w:val="single" w:sz="4" w:color="D9D9D9"/>
              <w:right w:val="single" w:sz="4" w:color="D9D9D9"/>
            </w:tcBorders>
          </w:tcPr>
          <w:p>
            <w:pPr>
              <w:spacing w:after="20" w:line="254" w:lineRule="auto"/>
            </w:pPr>
            <w:r>
              <w:rPr>
                <w:b w:val="0"/>
                <w:sz w:val="19"/>
              </w:rPr>
            </w:r>
            <w:r>
              <w:rPr>
                <w:b w:val="0"/>
                <w:sz w:val="19"/>
              </w:rPr>
              <w:t>Bibliographic and synopsis-level access; individual arguments require page-level examination.</w:t>
            </w:r>
          </w:p>
        </w:tc>
      </w:tr>
    </w:tbl>
    <w:p>
      <w:pPr>
        <w:spacing w:after="20"/>
      </w:pPr>
    </w:p>
    <w:p>
      <w:r>
        <w:t>His early research therefore has a recognizable philological basis: classical literary representations of substances and remedies. A bibliographically verified article is evidence of scholarly participation. It is insufficient by itself to certify his later historical synthesis, and absence of a complete CV here should not be misrepresented as proof that he published nothing else.</w:t>
      </w:r>
    </w:p>
    <w:p>
      <w:r>
        <w:t>This investigation does not attribute claims from short viral clips to him without a recoverable passage or transcript. It also cannot independently establish his account of academic censorship. That allegation would require the dissertation versions, written committee instructions, and a response from the institution. Controversy alone proves neither suppression nor correctness.</w:t>
      </w:r>
    </w:p>
    <w:p>
      <w:pPr>
        <w:pStyle w:val="Heading1"/>
      </w:pPr>
      <w:r>
        <w:t>Testing the arguments about drugs and ritual</w:t>
      </w:r>
    </w:p>
    <w:p>
      <w:pPr>
        <w:pStyle w:val="Heading2"/>
      </w:pPr>
      <w:r>
        <w:t>What the ancient evidence supports</w:t>
      </w:r>
    </w:p>
    <w:p>
      <w:pPr>
        <w:keepLines/>
      </w:pPr>
      <w:r>
        <w:t xml:space="preserve">Drug-related language and practices are genuinely present in ancient literature. In Odyssey 4.219–232, Helen puts a pharmakon into wine to relieve grief, and the narrative associates her knowledge with Egypt. This is explicit literary evidence for an imagined mood-altering preparation. The passage does not identify its modern chemical composition or establish how often an audience consumed such preparations. </w:t>
      </w:r>
      <w:hyperlink r:id="rId29">
        <w:r>
          <w:rPr>
            <w:color w:val="184D70"/>
          </w:rPr>
          <w:t>[8]</w:t>
        </w:r>
      </w:hyperlink>
      <w:r/>
      <w:hyperlink r:id="rId30">
        <w:r>
          <w:rPr>
            <w:color w:val="184D70"/>
          </w:rPr>
          <w:t>[25]</w:t>
        </w:r>
      </w:hyperlink>
      <w:r/>
    </w:p>
    <w:p>
      <w:r>
        <w:t xml:space="preserve">The Hymn to Demeter supplies a useful control case. Lines 205–211 specify water, barley meal, and pennyroyal for Demeter’s drink; the poem also presents restricted rites. An argument for an additional psychoactive ingredient needs further evidence. Secrecy does not fill an ingredient list, and an account of a divine drink is not a laboratory analysis. Conversely, the poem’s silence cannot rule out every preparation used in later historical ceremonies. </w:t>
      </w:r>
      <w:hyperlink r:id="rId31">
        <w:r>
          <w:rPr>
            <w:color w:val="184D70"/>
          </w:rPr>
          <w:t>[9]</w:t>
        </w:r>
      </w:hyperlink>
      <w:r/>
    </w:p>
    <w:p>
      <w:r>
        <w:t xml:space="preserve">Material evidence can sometimes answer a narrower question more firmly. Arie, Rosen, and Namdar’s study of the Judahite shrine at Arad reports cannabinoid residues on one altar and frankincense on another, with analyses conducted in two laboratories. That supports a local ritual use of cannabis. It does not establish a universal ancient sacrament, a specific experience for every participant, or the origins of Christianity. The reported chemistry is evidence; reconstruction of purpose and subjective effects is interpretation. </w:t>
      </w:r>
      <w:hyperlink r:id="rId32">
        <w:r>
          <w:rPr>
            <w:color w:val="184D70"/>
          </w:rPr>
          <w:t>[16]</w:t>
        </w:r>
      </w:hyperlink>
      <w:r/>
    </w:p>
    <w:p>
      <w:pPr>
        <w:pStyle w:val="Heading2"/>
      </w:pPr>
      <w:r>
        <w:t>Where the inference becomes too large</w:t>
      </w:r>
    </w:p>
    <w:p>
      <w:pPr>
        <w:keepLines/>
      </w:pPr>
      <w:r>
        <w:t xml:space="preserve">Philippe Charlier’s contemporary BMCR review identifies concrete weaknesses in The Chemical Muse: moving from Virgil’s poppy imagery to claims about the poet’s experience; identifying mythic substances too confidently; and inferring narcotic use by audiences from Helen’s drug in Homer. The review also objects to Hillman’s statement about Soranus and gynecological literature, pointing to the Hippocratic corpus. Its tone is hostile, but these objections are independently testable. Its book page references, including pp. 45, 50, 91–101, and 145, are the reviewer’s references, not evidence of a full-book rereading here. </w:t>
      </w:r>
      <w:hyperlink r:id="rId33">
        <w:r>
          <w:rPr>
            <w:color w:val="184D70"/>
          </w:rPr>
          <w:t>[5]</w:t>
        </w:r>
      </w:hyperlink>
      <w:r/>
    </w:p>
    <w:p>
      <w:r>
        <w:t>The methodological issue is the size of the inference. A word for a drug establishes a lexical possibility. A recipe establishes a textual prescription. Residue can establish a material substance at a particular site. None automatically establishes widespread use, political causation, a ritual’s chemical identity, or a continuous administering institution. Each additional conclusion needs its own evidence.</w:t>
      </w:r>
    </w:p>
    <w:p>
      <w:r>
        <w:t xml:space="preserve">Hillman’s broad emphasis on neglected pharmacological material is therefore worth examining passage by passage. Claims that intoxication generated democracy, or that a common concealed ritual explains later religious institutions, remain much harder to establish. An adequate test would compare mundane medical uses, hostile accusations, fictional scenes, and actual ritual instructions instead of treating them as interchangeable descriptions of one practice. </w:t>
      </w:r>
      <w:hyperlink r:id="rId14">
        <w:r>
          <w:rPr>
            <w:color w:val="184D70"/>
          </w:rPr>
          <w:t>[4]</w:t>
        </w:r>
      </w:hyperlink>
      <w:r/>
    </w:p>
    <w:p>
      <w:pPr>
        <w:pStyle w:val="Heading1"/>
      </w:pPr>
      <w:r>
        <w:t>Ancient arguments that directly illuminate the Eethnic shield</w:t>
      </w:r>
    </w:p>
    <w:p>
      <w:pPr>
        <w:pStyle w:val="Heading2"/>
      </w:pPr>
      <w:r>
        <w:t>Explanations that protect their own authority</w:t>
      </w:r>
    </w:p>
    <w:p>
      <w:pPr>
        <w:keepLines/>
      </w:pPr>
      <w:r>
        <w:t xml:space="preserve">The opening of On the Sacred Disease attacks purifiers and ritual specialists who call an illness divine while disguising their lack of knowledge. The author describes a self-protecting arrangement: recovery benefits the practitioners’ reputation; failure is attributed to the gods. This closely matches your distinction between correcting conduct in response to evidence and defending an explanation that insulates its custodian. </w:t>
      </w:r>
      <w:hyperlink r:id="rId16">
        <w:r>
          <w:rPr>
            <w:color w:val="184D70"/>
          </w:rPr>
          <w:t>[10]</w:t>
        </w:r>
      </w:hyperlink>
      <w:r/>
      <w:hyperlink r:id="rId25">
        <w:r>
          <w:rPr>
            <w:color w:val="184D70"/>
          </w:rPr>
          <w:t>[U1]</w:t>
        </w:r>
      </w:hyperlink>
      <w:r/>
    </w:p>
    <w:p>
      <w:r>
        <w:t>The connection is textual and conceptual. It is not evidence that the Hippocratic writer knew a Babylonian priestly network. The treatise is itself a competitive intervention by a medical author claiming a better explanation, and it should not be converted into neutral proof that every religious practitioner was fraudulent. Your framework becomes more exact when it tests that author’s proposed remedy by the same standard it applies to his rivals.</w:t>
      </w:r>
    </w:p>
    <w:p>
      <w:pPr>
        <w:pStyle w:val="Heading2"/>
      </w:pPr>
      <w:r>
        <w:t>Written representations can acquire borrowed authority</w:t>
      </w:r>
    </w:p>
    <w:p>
      <w:pPr>
        <w:keepLines/>
      </w:pPr>
      <w:r>
        <w:t xml:space="preserve">In Phaedrus 274c–277a, Theuth offers writing as an aid to memory and wisdom; Thamus questions whether written reminders produce understanding. A written statement cannot answer a fresh question in the way a knowledgeable speaker can. The same story attributes other technical arts, including astronomy, to Theuth. It is a particularly close ancient comparison for your concern that an authorized representation can be mistaken for the living process it represents. </w:t>
      </w:r>
      <w:hyperlink r:id="rId34">
        <w:r>
          <w:rPr>
            <w:color w:val="184D70"/>
          </w:rPr>
          <w:t>[11]</w:t>
        </w:r>
      </w:hyperlink>
      <w:r/>
      <w:hyperlink r:id="rId15">
        <w:r>
          <w:rPr>
            <w:color w:val="184D70"/>
          </w:rPr>
          <w:t>[U2]</w:t>
        </w:r>
      </w:hyperlink>
      <w:r/>
    </w:p>
    <w:p>
      <w:r>
        <w:t xml:space="preserve">Here pharmakon belongs to the discussion of a remedy for memory. Its lexical range cannot turn the argument into a concealed drug recipe. Plato offers a philosophical test of representation, not a documented history of Babylonian institutional transmission. The defensible comparison is how an artifact acquires authority and how that authority remains answerable to questions. </w:t>
      </w:r>
      <w:hyperlink r:id="rId30">
        <w:r>
          <w:rPr>
            <w:color w:val="184D70"/>
          </w:rPr>
          <w:t>[25]</w:t>
        </w:r>
      </w:hyperlink>
      <w:r/>
    </w:p>
    <w:p>
      <w:pPr>
        <w:pStyle w:val="Heading2"/>
      </w:pPr>
      <w:r>
        <w:t>Claims of revelation also regulate access</w:t>
      </w:r>
    </w:p>
    <w:p>
      <w:pPr>
        <w:keepLines/>
      </w:pPr>
      <w:r>
        <w:t xml:space="preserve">Your use of Malachi 2:7–9 already treats priestly knowledge as carrying an obligation that priests can violate. That internal critique matters: the Eethnic question need not assume that religion and correction are inherently opposed. The question is whether an institution permits correction of its interpretation and its conduct. </w:t>
      </w:r>
      <w:hyperlink r:id="rId25">
        <w:r>
          <w:rPr>
            <w:color w:val="184D70"/>
          </w:rPr>
          <w:t>[U1]</w:t>
        </w:r>
      </w:hyperlink>
      <w:r/>
    </w:p>
    <w:p>
      <w:r>
        <w:t>Hillman is relevant at this level because disputes about translation concern the control of interpretation. But his counterinterpretation must remain corrigible too. A claim that every objection demonstrates suppression would recreate the very structure your document criticizes. The same standard should apply to priest, academic reviewer, dissident translator, and architectural model.</w:t>
      </w:r>
    </w:p>
    <w:p>
      <w:pPr>
        <w:pStyle w:val="Heading1"/>
      </w:pPr>
      <w:r>
        <w:t>Where the corpora genuinely intersect</w:t>
      </w:r>
    </w:p>
    <w:p>
      <w:pPr>
        <w:pStyle w:val="Heading2"/>
      </w:pPr>
      <w:r>
        <w:t>Pliny joins medicine religion and astrology</w:t>
      </w:r>
    </w:p>
    <w:p>
      <w:pPr>
        <w:keepLines/>
      </w:pPr>
      <w:r>
        <w:t xml:space="preserve">Pliny’s Natural History 30.1ff explicitly connects the prestige of magic with medicine, religion, and astrology. The scholarly introduction in Defining Magic emphasizes both that combination and Pliny’s heterogeneous list of authorities, including Zoroaster, Greek philosophers, Moses, and figures from myth. This is an ancient Latin text joining several of your central categories. It shows how a Roman author organized them polemically; his list is not a membership register of one transhistorical organization. </w:t>
      </w:r>
      <w:hyperlink r:id="rId35">
        <w:r>
          <w:rPr>
            <w:color w:val="184D70"/>
          </w:rPr>
          <w:t>[12]</w:t>
        </w:r>
      </w:hyperlink>
      <w:r/>
    </w:p>
    <w:p>
      <w:pPr>
        <w:pStyle w:val="Heading2"/>
      </w:pPr>
      <w:r>
        <w:t>Diodorus describes Babylonian specialists through Greek categories</w:t>
      </w:r>
    </w:p>
    <w:p>
      <w:pPr>
        <w:keepLines/>
      </w:pPr>
      <w:r>
        <w:t xml:space="preserve">Diodorus 2.29–31 describes Chaldean specialists and their astral knowledge. Jones and Steele compare that account with cuneiform evidence. Some statements match Babylonian practices; others blend Egyptian and Babylonian star systems or introduce cosmology unattested in Babylonian texts. Greek testimony thus genuinely intersects Mesopotamian scholarship, but it requires comparison with Akkadian evidence. A skilled Greek reading alone cannot settle whether Diodorus accurately reports a Babylonian practice. </w:t>
      </w:r>
      <w:hyperlink r:id="rId36">
        <w:r>
          <w:rPr>
            <w:color w:val="184D70"/>
          </w:rPr>
          <w:t>[13]</w:t>
        </w:r>
      </w:hyperlink>
      <w:r/>
    </w:p>
    <w:p>
      <w:pPr>
        <w:pStyle w:val="Heading2"/>
      </w:pPr>
      <w:r>
        <w:t>A physical Greek manuscript invokes Moses and astral authority</w:t>
      </w:r>
    </w:p>
    <w:p>
      <w:pPr>
        <w:keepLines/>
      </w:pPr>
      <w:r>
        <w:t xml:space="preserve">PGM XIII is an especially useful new object for this research. The Würzburg catalogue identifies it as P.Leid. I 395, now Leiden J 395, a Greek codex dated 301–400 CE. Its contents include versions of the Eighth Book of Moses, initiation and divination instructions, and other spells. This is a recoverable manuscript where a Jewish ancestral authority appears inside a Greek ritual collection. </w:t>
      </w:r>
      <w:hyperlink r:id="rId17">
        <w:r>
          <w:rPr>
            <w:color w:val="184D70"/>
          </w:rPr>
          <w:t>[14]</w:t>
        </w:r>
      </w:hyperlink>
      <w:r/>
    </w:p>
    <w:p>
      <w:r>
        <w:t xml:space="preserve">Matthew Andrews’s 2026 introduction describes a ritual seeking encounter with a supreme god and relief from astral fate. It includes ingestion of images of the astrological hours and claims to sacred, secret knowledge. That combines authority, ritual, embodied action, and time in one textual setting. Ingesting inscribed images does not by itself demonstrate ingestion of an intoxicant. </w:t>
      </w:r>
      <w:hyperlink r:id="rId18">
        <w:r>
          <w:rPr>
            <w:color w:val="184D70"/>
          </w:rPr>
          <w:t>[15]</w:t>
        </w:r>
      </w:hyperlink>
      <w:r/>
    </w:p>
    <w:p>
      <w:r>
        <w:t>For your framework, this is stronger than comparing isolated symbols: the conjunction is present in one object. Historically, however, it belongs to late antique Egypt, many centuries after the Judean exile. Attribution to Moses does not establish Mosaic authorship. A connection to earlier Babylonian astronomy would require identifying particular inherited procedures or concepts and their intermediaries.</w:t>
      </w:r>
    </w:p>
    <w:p>
      <w:pPr>
        <w:pStyle w:val="Heading2"/>
      </w:pPr>
      <w:r>
        <w:t>Babylon and pharmakeia occur in the same biblical passage</w:t>
      </w:r>
    </w:p>
    <w:p>
      <w:pPr>
        <w:keepLines/>
      </w:pPr>
      <w:r>
        <w:t xml:space="preserve">Revelation 18:23 combines the condemnation of Babylon’s commercial power with the dative φαρμακείᾳ, pharmakeia, in its account of deceiving the nations. This is a real lexical intersection with Hillman’s field and your Babylon imagery. The term can concern magical or sorcerous practice; the passage does not specify a chemical, dose, priestly office, or historical transmission route. An apocalyptic accusation cannot independently establish a narcotics economy. </w:t>
      </w:r>
      <w:hyperlink r:id="rId37">
        <w:r>
          <w:rPr>
            <w:color w:val="184D70"/>
          </w:rPr>
          <w:t>[17]</w:t>
        </w:r>
      </w:hyperlink>
      <w:r/>
      <w:hyperlink r:id="rId38">
        <w:r>
          <w:rPr>
            <w:color w:val="184D70"/>
          </w:rPr>
          <w:t>[26]</w:t>
        </w:r>
      </w:hyperlink>
      <w:r/>
    </w:p>
    <w:p>
      <w:pPr>
        <w:pStyle w:val="Heading1"/>
      </w:pPr>
      <w:r>
        <w:t>Chronology and language constrain the comparison</w:t>
      </w:r>
    </w:p>
    <w:p>
      <w:pPr>
        <w:keepLines/>
      </w:pPr>
      <w:r>
        <w:t>The relevant materials occupy different periods and linguistic environments. This table identifies the setting of the evidence discussed here; it does not imply an unbroken succession of organizations.</w:t>
      </w:r>
    </w:p>
    <w:tbl>
      <w:tblPr>
        <w:tblW w:type="auto" w:w="0"/>
        <w:jc w:val="center"/>
        <w:tblLayout w:type="fixed"/>
        <w:tblLook w:firstColumn="1" w:firstRow="1" w:lastColumn="0" w:lastRow="0" w:noHBand="0" w:noVBand="1" w:val="04A0"/>
      </w:tblPr>
      <w:tblGrid>
        <w:gridCol w:w="2232"/>
        <w:gridCol w:w="3600"/>
        <w:gridCol w:w="4104"/>
      </w:tblGrid>
      <w:tr>
        <w:trPr>
          <w:cantSplit/>
          <w:tblHeader/>
        </w:trPr>
        <w:tc>
          <w:tcPr>
            <w:tcW w:type="dxa" w:w="2232"/>
            <w:vAlign w:val="center"/>
            <w:tcMar>
              <w:top w:w="85" w:type="dxa"/>
              <w:bottom w:w="85" w:type="dxa"/>
              <w:left w:w="100" w:type="dxa"/>
              <w:right w:w="100" w:type="dxa"/>
            </w:tcMar>
            <w:shd w:fill="E3EAF0"/>
            <w:tcBorders>
              <w:top w:val="single" w:sz="4" w:color="D9D9D9"/>
              <w:left w:val="single" w:sz="4" w:color="D9D9D9"/>
              <w:bottom w:val="single" w:sz="4" w:color="D9D9D9"/>
              <w:right w:val="single" w:sz="4" w:color="D9D9D9"/>
            </w:tcBorders>
          </w:tcPr>
          <w:p>
            <w:pPr>
              <w:spacing w:after="20" w:line="254" w:lineRule="auto"/>
            </w:pPr>
            <w:r>
              <w:rPr>
                <w:b/>
                <w:sz w:val="19"/>
              </w:rPr>
              <w:t>Evidence setting</w:t>
            </w:r>
          </w:p>
        </w:tc>
        <w:tc>
          <w:tcPr>
            <w:tcW w:type="dxa" w:w="3600"/>
            <w:vAlign w:val="center"/>
            <w:tcMar>
              <w:top w:w="85" w:type="dxa"/>
              <w:bottom w:w="85" w:type="dxa"/>
              <w:left w:w="100" w:type="dxa"/>
              <w:right w:w="100" w:type="dxa"/>
            </w:tcMar>
            <w:shd w:fill="E3EAF0"/>
            <w:tcBorders>
              <w:top w:val="single" w:sz="4" w:color="D9D9D9"/>
              <w:left w:val="single" w:sz="4" w:color="D9D9D9"/>
              <w:bottom w:val="single" w:sz="4" w:color="D9D9D9"/>
              <w:right w:val="single" w:sz="4" w:color="D9D9D9"/>
            </w:tcBorders>
          </w:tcPr>
          <w:p>
            <w:pPr>
              <w:spacing w:after="20" w:line="254" w:lineRule="auto"/>
            </w:pPr>
            <w:r>
              <w:rPr>
                <w:b/>
                <w:sz w:val="19"/>
              </w:rPr>
              <w:t>Language and dating</w:t>
            </w:r>
          </w:p>
        </w:tc>
        <w:tc>
          <w:tcPr>
            <w:tcW w:type="dxa" w:w="4104"/>
            <w:vAlign w:val="center"/>
            <w:tcMar>
              <w:top w:w="85" w:type="dxa"/>
              <w:bottom w:w="85" w:type="dxa"/>
              <w:left w:w="100" w:type="dxa"/>
              <w:right w:w="100" w:type="dxa"/>
            </w:tcMar>
            <w:shd w:fill="E3EAF0"/>
            <w:tcBorders>
              <w:top w:val="single" w:sz="4" w:color="D9D9D9"/>
              <w:left w:val="single" w:sz="4" w:color="D9D9D9"/>
              <w:bottom w:val="single" w:sz="4" w:color="D9D9D9"/>
              <w:right w:val="single" w:sz="4" w:color="D9D9D9"/>
            </w:tcBorders>
          </w:tcPr>
          <w:p>
            <w:pPr>
              <w:spacing w:after="20" w:line="254" w:lineRule="auto"/>
            </w:pPr>
            <w:r>
              <w:rPr>
                <w:b/>
                <w:sz w:val="19"/>
              </w:rPr>
              <w:t>What a direct bridge would require</w:t>
            </w:r>
          </w:p>
        </w:tc>
      </w:tr>
      <w:tr>
        <w:trPr>
          <w:cantSplit/>
        </w:trPr>
        <w:tc>
          <w:tcPr>
            <w:tcW w:type="dxa" w:w="2232"/>
            <w:vAlign w:val="center"/>
            <w:tcMar>
              <w:top w:w="85" w:type="dxa"/>
              <w:bottom w:w="85" w:type="dxa"/>
              <w:left w:w="100" w:type="dxa"/>
              <w:right w:w="100" w:type="dxa"/>
            </w:tcMar>
            <w:shd w:fill="FFFFFF"/>
            <w:tcBorders>
              <w:top w:val="single" w:sz="4" w:color="D9D9D9"/>
              <w:left w:val="single" w:sz="4" w:color="D9D9D9"/>
              <w:bottom w:val="single" w:sz="4" w:color="D9D9D9"/>
              <w:right w:val="single" w:sz="4" w:color="D9D9D9"/>
            </w:tcBorders>
          </w:tcPr>
          <w:p>
            <w:pPr>
              <w:spacing w:after="20" w:line="254" w:lineRule="auto"/>
            </w:pPr>
            <w:r>
              <w:rPr>
                <w:b w:val="0"/>
                <w:sz w:val="19"/>
              </w:rPr>
            </w:r>
            <w:r>
              <w:rPr>
                <w:b w:val="0"/>
                <w:sz w:val="19"/>
              </w:rPr>
              <w:t>Mesopotamian scholars and temple records</w:t>
            </w:r>
          </w:p>
        </w:tc>
        <w:tc>
          <w:tcPr>
            <w:tcW w:type="dxa" w:w="3600"/>
            <w:vAlign w:val="center"/>
            <w:tcMar>
              <w:top w:w="85" w:type="dxa"/>
              <w:bottom w:w="85" w:type="dxa"/>
              <w:left w:w="100" w:type="dxa"/>
              <w:right w:w="100" w:type="dxa"/>
            </w:tcMar>
            <w:shd w:fill="FFFFFF"/>
            <w:tcBorders>
              <w:top w:val="single" w:sz="4" w:color="D9D9D9"/>
              <w:left w:val="single" w:sz="4" w:color="D9D9D9"/>
              <w:bottom w:val="single" w:sz="4" w:color="D9D9D9"/>
              <w:right w:val="single" w:sz="4" w:color="D9D9D9"/>
            </w:tcBorders>
          </w:tcPr>
          <w:p>
            <w:pPr>
              <w:spacing w:after="20" w:line="254" w:lineRule="auto"/>
            </w:pPr>
            <w:r>
              <w:rPr>
                <w:b w:val="0"/>
                <w:sz w:val="19"/>
              </w:rPr>
            </w:r>
            <w:r>
              <w:rPr>
                <w:b w:val="0"/>
                <w:sz w:val="19"/>
              </w:rPr>
              <w:t xml:space="preserve">Akkadian cuneiform, especially first millennium BCE. </w:t>
            </w:r>
            <w:hyperlink r:id="rId39">
              <w:r>
                <w:rPr>
                  <w:color w:val="184D70"/>
                </w:rPr>
                <w:t>[18]</w:t>
              </w:r>
            </w:hyperlink>
            <w:r>
              <w:rPr>
                <w:b w:val="0"/>
                <w:sz w:val="19"/>
              </w:rPr>
            </w:r>
            <w:hyperlink r:id="rId40">
              <w:r>
                <w:rPr>
                  <w:color w:val="184D70"/>
                </w:rPr>
                <w:t>[19]</w:t>
              </w:r>
            </w:hyperlink>
            <w:r>
              <w:rPr>
                <w:b w:val="0"/>
                <w:sz w:val="19"/>
              </w:rPr>
            </w:r>
            <w:hyperlink r:id="rId41">
              <w:r>
                <w:rPr>
                  <w:color w:val="184D70"/>
                </w:rPr>
                <w:t>[21]</w:t>
              </w:r>
            </w:hyperlink>
            <w:r>
              <w:rPr>
                <w:b w:val="0"/>
                <w:sz w:val="19"/>
              </w:rPr>
            </w:r>
          </w:p>
        </w:tc>
        <w:tc>
          <w:tcPr>
            <w:tcW w:type="dxa" w:w="4104"/>
            <w:vAlign w:val="center"/>
            <w:tcMar>
              <w:top w:w="85" w:type="dxa"/>
              <w:bottom w:w="85" w:type="dxa"/>
              <w:left w:w="100" w:type="dxa"/>
              <w:right w:w="100" w:type="dxa"/>
            </w:tcMar>
            <w:shd w:fill="FFFFFF"/>
            <w:tcBorders>
              <w:top w:val="single" w:sz="4" w:color="D9D9D9"/>
              <w:left w:val="single" w:sz="4" w:color="D9D9D9"/>
              <w:bottom w:val="single" w:sz="4" w:color="D9D9D9"/>
              <w:right w:val="single" w:sz="4" w:color="D9D9D9"/>
            </w:tcBorders>
          </w:tcPr>
          <w:p>
            <w:pPr>
              <w:spacing w:after="20" w:line="254" w:lineRule="auto"/>
            </w:pPr>
            <w:r>
              <w:rPr>
                <w:b w:val="0"/>
                <w:sz w:val="19"/>
              </w:rPr>
            </w:r>
            <w:r>
              <w:rPr>
                <w:b w:val="0"/>
                <w:sz w:val="19"/>
              </w:rPr>
              <w:t>A transmitted text, technique, identifiable teacher, or documented institution.</w:t>
            </w:r>
          </w:p>
        </w:tc>
      </w:tr>
      <w:tr>
        <w:trPr>
          <w:cantSplit/>
        </w:trPr>
        <w:tc>
          <w:tcPr>
            <w:tcW w:type="dxa" w:w="2232"/>
            <w:vAlign w:val="center"/>
            <w:tcMar>
              <w:top w:w="85" w:type="dxa"/>
              <w:bottom w:w="85" w:type="dxa"/>
              <w:left w:w="100" w:type="dxa"/>
              <w:right w:w="100" w:type="dxa"/>
            </w:tcMar>
            <w:shd w:fill="F7F8FA"/>
            <w:tcBorders>
              <w:top w:val="single" w:sz="4" w:color="D9D9D9"/>
              <w:left w:val="single" w:sz="4" w:color="D9D9D9"/>
              <w:bottom w:val="single" w:sz="4" w:color="D9D9D9"/>
              <w:right w:val="single" w:sz="4" w:color="D9D9D9"/>
            </w:tcBorders>
          </w:tcPr>
          <w:p>
            <w:pPr>
              <w:spacing w:after="20" w:line="254" w:lineRule="auto"/>
            </w:pPr>
            <w:r>
              <w:rPr>
                <w:b w:val="0"/>
                <w:sz w:val="19"/>
              </w:rPr>
            </w:r>
            <w:r>
              <w:rPr>
                <w:b w:val="0"/>
                <w:sz w:val="19"/>
              </w:rPr>
              <w:t>Judean families in Babylonia</w:t>
            </w:r>
          </w:p>
        </w:tc>
        <w:tc>
          <w:tcPr>
            <w:tcW w:type="dxa" w:w="3600"/>
            <w:vAlign w:val="center"/>
            <w:tcMar>
              <w:top w:w="85" w:type="dxa"/>
              <w:bottom w:w="85" w:type="dxa"/>
              <w:left w:w="100" w:type="dxa"/>
              <w:right w:w="100" w:type="dxa"/>
            </w:tcMar>
            <w:shd w:fill="F7F8FA"/>
            <w:tcBorders>
              <w:top w:val="single" w:sz="4" w:color="D9D9D9"/>
              <w:left w:val="single" w:sz="4" w:color="D9D9D9"/>
              <w:bottom w:val="single" w:sz="4" w:color="D9D9D9"/>
              <w:right w:val="single" w:sz="4" w:color="D9D9D9"/>
            </w:tcBorders>
          </w:tcPr>
          <w:p>
            <w:pPr>
              <w:spacing w:after="20" w:line="254" w:lineRule="auto"/>
            </w:pPr>
            <w:r>
              <w:rPr>
                <w:b w:val="0"/>
                <w:sz w:val="19"/>
              </w:rPr>
            </w:r>
            <w:r>
              <w:rPr>
                <w:b w:val="0"/>
                <w:sz w:val="19"/>
              </w:rPr>
              <w:t xml:space="preserve">Sixth-century BCE legal records written in Babylonian; personal origin does not identify every language spoken. </w:t>
            </w:r>
            <w:hyperlink r:id="rId19">
              <w:r>
                <w:rPr>
                  <w:color w:val="184D70"/>
                </w:rPr>
                <w:t>[20]</w:t>
              </w:r>
            </w:hyperlink>
            <w:r>
              <w:rPr>
                <w:b w:val="0"/>
                <w:sz w:val="19"/>
              </w:rPr>
            </w:r>
          </w:p>
        </w:tc>
        <w:tc>
          <w:tcPr>
            <w:tcW w:type="dxa" w:w="4104"/>
            <w:vAlign w:val="center"/>
            <w:tcMar>
              <w:top w:w="85" w:type="dxa"/>
              <w:bottom w:w="85" w:type="dxa"/>
              <w:left w:w="100" w:type="dxa"/>
              <w:right w:w="100" w:type="dxa"/>
            </w:tcMar>
            <w:shd w:fill="F7F8FA"/>
            <w:tcBorders>
              <w:top w:val="single" w:sz="4" w:color="D9D9D9"/>
              <w:left w:val="single" w:sz="4" w:color="D9D9D9"/>
              <w:bottom w:val="single" w:sz="4" w:color="D9D9D9"/>
              <w:right w:val="single" w:sz="4" w:color="D9D9D9"/>
            </w:tcBorders>
          </w:tcPr>
          <w:p>
            <w:pPr>
              <w:spacing w:after="20" w:line="254" w:lineRule="auto"/>
            </w:pPr>
            <w:r>
              <w:rPr>
                <w:b w:val="0"/>
                <w:sz w:val="19"/>
              </w:rPr>
            </w:r>
            <w:r>
              <w:rPr>
                <w:b w:val="0"/>
                <w:sz w:val="19"/>
              </w:rPr>
              <w:t>A document connecting a named person to astronomical instruction or a particular priestly office.</w:t>
            </w:r>
          </w:p>
        </w:tc>
      </w:tr>
      <w:tr>
        <w:trPr>
          <w:cantSplit/>
        </w:trPr>
        <w:tc>
          <w:tcPr>
            <w:tcW w:type="dxa" w:w="2232"/>
            <w:vAlign w:val="center"/>
            <w:tcMar>
              <w:top w:w="85" w:type="dxa"/>
              <w:bottom w:w="85" w:type="dxa"/>
              <w:left w:w="100" w:type="dxa"/>
              <w:right w:w="100" w:type="dxa"/>
            </w:tcMar>
            <w:shd w:fill="FFFFFF"/>
            <w:tcBorders>
              <w:top w:val="single" w:sz="4" w:color="D9D9D9"/>
              <w:left w:val="single" w:sz="4" w:color="D9D9D9"/>
              <w:bottom w:val="single" w:sz="4" w:color="D9D9D9"/>
              <w:right w:val="single" w:sz="4" w:color="D9D9D9"/>
            </w:tcBorders>
          </w:tcPr>
          <w:p>
            <w:pPr>
              <w:spacing w:after="20" w:line="254" w:lineRule="auto"/>
            </w:pPr>
            <w:r>
              <w:rPr>
                <w:b w:val="0"/>
                <w:sz w:val="19"/>
              </w:rPr>
            </w:r>
            <w:r>
              <w:rPr>
                <w:b w:val="0"/>
                <w:sz w:val="19"/>
              </w:rPr>
              <w:t>Enochic astral literature</w:t>
            </w:r>
          </w:p>
        </w:tc>
        <w:tc>
          <w:tcPr>
            <w:tcW w:type="dxa" w:w="3600"/>
            <w:vAlign w:val="center"/>
            <w:tcMar>
              <w:top w:w="85" w:type="dxa"/>
              <w:bottom w:w="85" w:type="dxa"/>
              <w:left w:w="100" w:type="dxa"/>
              <w:right w:w="100" w:type="dxa"/>
            </w:tcMar>
            <w:shd w:fill="FFFFFF"/>
            <w:tcBorders>
              <w:top w:val="single" w:sz="4" w:color="D9D9D9"/>
              <w:left w:val="single" w:sz="4" w:color="D9D9D9"/>
              <w:bottom w:val="single" w:sz="4" w:color="D9D9D9"/>
              <w:right w:val="single" w:sz="4" w:color="D9D9D9"/>
            </w:tcBorders>
          </w:tcPr>
          <w:p>
            <w:pPr>
              <w:spacing w:after="20" w:line="254" w:lineRule="auto"/>
            </w:pPr>
            <w:r>
              <w:rPr>
                <w:b w:val="0"/>
                <w:sz w:val="19"/>
              </w:rPr>
            </w:r>
            <w:r>
              <w:rPr>
                <w:b w:val="0"/>
                <w:sz w:val="19"/>
              </w:rPr>
              <w:t xml:space="preserve">Aramaic composition and fragments; the full relevant chapter is studied through Ethiopic transmission. </w:t>
            </w:r>
            <w:hyperlink r:id="rId42">
              <w:r>
                <w:rPr>
                  <w:color w:val="184D70"/>
                </w:rPr>
                <w:t>[22]</w:t>
              </w:r>
            </w:hyperlink>
            <w:r>
              <w:rPr>
                <w:b w:val="0"/>
                <w:sz w:val="19"/>
              </w:rPr>
            </w:r>
            <w:hyperlink r:id="rId43">
              <w:r>
                <w:rPr>
                  <w:color w:val="184D70"/>
                </w:rPr>
                <w:t>[23]</w:t>
              </w:r>
            </w:hyperlink>
            <w:r>
              <w:rPr>
                <w:b w:val="0"/>
                <w:sz w:val="19"/>
              </w:rPr>
            </w:r>
          </w:p>
        </w:tc>
        <w:tc>
          <w:tcPr>
            <w:tcW w:type="dxa" w:w="4104"/>
            <w:vAlign w:val="center"/>
            <w:tcMar>
              <w:top w:w="85" w:type="dxa"/>
              <w:bottom w:w="85" w:type="dxa"/>
              <w:left w:w="100" w:type="dxa"/>
              <w:right w:w="100" w:type="dxa"/>
            </w:tcMar>
            <w:shd w:fill="FFFFFF"/>
            <w:tcBorders>
              <w:top w:val="single" w:sz="4" w:color="D9D9D9"/>
              <w:left w:val="single" w:sz="4" w:color="D9D9D9"/>
              <w:bottom w:val="single" w:sz="4" w:color="D9D9D9"/>
              <w:right w:val="single" w:sz="4" w:color="D9D9D9"/>
            </w:tcBorders>
          </w:tcPr>
          <w:p>
            <w:pPr>
              <w:spacing w:after="20" w:line="254" w:lineRule="auto"/>
            </w:pPr>
            <w:r>
              <w:rPr>
                <w:b w:val="0"/>
                <w:sz w:val="19"/>
              </w:rPr>
            </w:r>
            <w:r>
              <w:rPr>
                <w:b w:val="0"/>
                <w:sz w:val="19"/>
              </w:rPr>
              <w:t>Distinctive shared calculations and textual structures, with attention to translation and manuscript history.</w:t>
            </w:r>
          </w:p>
        </w:tc>
      </w:tr>
      <w:tr>
        <w:trPr>
          <w:cantSplit/>
        </w:trPr>
        <w:tc>
          <w:tcPr>
            <w:tcW w:type="dxa" w:w="2232"/>
            <w:vAlign w:val="center"/>
            <w:tcMar>
              <w:top w:w="85" w:type="dxa"/>
              <w:bottom w:w="85" w:type="dxa"/>
              <w:left w:w="100" w:type="dxa"/>
              <w:right w:w="100" w:type="dxa"/>
            </w:tcMar>
            <w:shd w:fill="F7F8FA"/>
            <w:tcBorders>
              <w:top w:val="single" w:sz="4" w:color="D9D9D9"/>
              <w:left w:val="single" w:sz="4" w:color="D9D9D9"/>
              <w:bottom w:val="single" w:sz="4" w:color="D9D9D9"/>
              <w:right w:val="single" w:sz="4" w:color="D9D9D9"/>
            </w:tcBorders>
          </w:tcPr>
          <w:p>
            <w:pPr>
              <w:spacing w:after="20" w:line="254" w:lineRule="auto"/>
            </w:pPr>
            <w:r>
              <w:rPr>
                <w:b w:val="0"/>
                <w:sz w:val="19"/>
              </w:rPr>
            </w:r>
            <w:r>
              <w:rPr>
                <w:b w:val="0"/>
                <w:sz w:val="19"/>
              </w:rPr>
              <w:t>Greco-Roman literary witnesses</w:t>
            </w:r>
          </w:p>
        </w:tc>
        <w:tc>
          <w:tcPr>
            <w:tcW w:type="dxa" w:w="3600"/>
            <w:vAlign w:val="center"/>
            <w:tcMar>
              <w:top w:w="85" w:type="dxa"/>
              <w:bottom w:w="85" w:type="dxa"/>
              <w:left w:w="100" w:type="dxa"/>
              <w:right w:w="100" w:type="dxa"/>
            </w:tcMar>
            <w:shd w:fill="F7F8FA"/>
            <w:tcBorders>
              <w:top w:val="single" w:sz="4" w:color="D9D9D9"/>
              <w:left w:val="single" w:sz="4" w:color="D9D9D9"/>
              <w:bottom w:val="single" w:sz="4" w:color="D9D9D9"/>
              <w:right w:val="single" w:sz="4" w:color="D9D9D9"/>
            </w:tcBorders>
          </w:tcPr>
          <w:p>
            <w:pPr>
              <w:spacing w:after="20" w:line="254" w:lineRule="auto"/>
            </w:pPr>
            <w:r>
              <w:rPr>
                <w:b w:val="0"/>
                <w:sz w:val="19"/>
              </w:rPr>
            </w:r>
            <w:r>
              <w:rPr>
                <w:b w:val="0"/>
                <w:sz w:val="19"/>
              </w:rPr>
              <w:t xml:space="preserve">Greek and Latin authors of different periods; Diodorus in the first century BCE, Pliny in the first century CE. </w:t>
            </w:r>
            <w:hyperlink r:id="rId35">
              <w:r>
                <w:rPr>
                  <w:color w:val="184D70"/>
                </w:rPr>
                <w:t>[12]</w:t>
              </w:r>
            </w:hyperlink>
            <w:r>
              <w:rPr>
                <w:b w:val="0"/>
                <w:sz w:val="19"/>
              </w:rPr>
            </w:r>
            <w:hyperlink r:id="rId36">
              <w:r>
                <w:rPr>
                  <w:color w:val="184D70"/>
                </w:rPr>
                <w:t>[13]</w:t>
              </w:r>
            </w:hyperlink>
            <w:r>
              <w:rPr>
                <w:b w:val="0"/>
                <w:sz w:val="19"/>
              </w:rPr>
            </w:r>
          </w:p>
        </w:tc>
        <w:tc>
          <w:tcPr>
            <w:tcW w:type="dxa" w:w="4104"/>
            <w:vAlign w:val="center"/>
            <w:tcMar>
              <w:top w:w="85" w:type="dxa"/>
              <w:bottom w:w="85" w:type="dxa"/>
              <w:left w:w="100" w:type="dxa"/>
              <w:right w:w="100" w:type="dxa"/>
            </w:tcMar>
            <w:shd w:fill="F7F8FA"/>
            <w:tcBorders>
              <w:top w:val="single" w:sz="4" w:color="D9D9D9"/>
              <w:left w:val="single" w:sz="4" w:color="D9D9D9"/>
              <w:bottom w:val="single" w:sz="4" w:color="D9D9D9"/>
              <w:right w:val="single" w:sz="4" w:color="D9D9D9"/>
            </w:tcBorders>
          </w:tcPr>
          <w:p>
            <w:pPr>
              <w:spacing w:after="20" w:line="254" w:lineRule="auto"/>
            </w:pPr>
            <w:r>
              <w:rPr>
                <w:b w:val="0"/>
                <w:sz w:val="19"/>
              </w:rPr>
            </w:r>
            <w:r>
              <w:rPr>
                <w:b w:val="0"/>
                <w:sz w:val="19"/>
              </w:rPr>
              <w:t>Independent checks against the earlier traditions they describe.</w:t>
            </w:r>
          </w:p>
        </w:tc>
      </w:tr>
      <w:tr>
        <w:trPr>
          <w:cantSplit/>
        </w:trPr>
        <w:tc>
          <w:tcPr>
            <w:tcW w:type="dxa" w:w="2232"/>
            <w:vAlign w:val="center"/>
            <w:tcMar>
              <w:top w:w="85" w:type="dxa"/>
              <w:bottom w:w="85" w:type="dxa"/>
              <w:left w:w="100" w:type="dxa"/>
              <w:right w:w="100" w:type="dxa"/>
            </w:tcMar>
            <w:shd w:fill="FFFFFF"/>
            <w:tcBorders>
              <w:top w:val="single" w:sz="4" w:color="D9D9D9"/>
              <w:left w:val="single" w:sz="4" w:color="D9D9D9"/>
              <w:bottom w:val="single" w:sz="4" w:color="D9D9D9"/>
              <w:right w:val="single" w:sz="4" w:color="D9D9D9"/>
            </w:tcBorders>
          </w:tcPr>
          <w:p>
            <w:pPr>
              <w:spacing w:after="20" w:line="254" w:lineRule="auto"/>
            </w:pPr>
            <w:r>
              <w:rPr>
                <w:b w:val="0"/>
                <w:sz w:val="19"/>
              </w:rPr>
            </w:r>
            <w:r>
              <w:rPr>
                <w:b w:val="0"/>
                <w:sz w:val="19"/>
              </w:rPr>
              <w:t>PGM XIII</w:t>
            </w:r>
          </w:p>
        </w:tc>
        <w:tc>
          <w:tcPr>
            <w:tcW w:type="dxa" w:w="3600"/>
            <w:vAlign w:val="center"/>
            <w:tcMar>
              <w:top w:w="85" w:type="dxa"/>
              <w:bottom w:w="85" w:type="dxa"/>
              <w:left w:w="100" w:type="dxa"/>
              <w:right w:w="100" w:type="dxa"/>
            </w:tcMar>
            <w:shd w:fill="FFFFFF"/>
            <w:tcBorders>
              <w:top w:val="single" w:sz="4" w:color="D9D9D9"/>
              <w:left w:val="single" w:sz="4" w:color="D9D9D9"/>
              <w:bottom w:val="single" w:sz="4" w:color="D9D9D9"/>
              <w:right w:val="single" w:sz="4" w:color="D9D9D9"/>
            </w:tcBorders>
          </w:tcPr>
          <w:p>
            <w:pPr>
              <w:spacing w:after="20" w:line="254" w:lineRule="auto"/>
            </w:pPr>
            <w:r>
              <w:rPr>
                <w:b w:val="0"/>
                <w:sz w:val="19"/>
              </w:rPr>
            </w:r>
            <w:r>
              <w:rPr>
                <w:b w:val="0"/>
                <w:sz w:val="19"/>
              </w:rPr>
              <w:t xml:space="preserve">Greek manuscript from fourth-century CE Egypt. </w:t>
            </w:r>
            <w:hyperlink r:id="rId17">
              <w:r>
                <w:rPr>
                  <w:color w:val="184D70"/>
                </w:rPr>
                <w:t>[14]</w:t>
              </w:r>
            </w:hyperlink>
            <w:r>
              <w:rPr>
                <w:b w:val="0"/>
                <w:sz w:val="19"/>
              </w:rPr>
            </w:r>
          </w:p>
        </w:tc>
        <w:tc>
          <w:tcPr>
            <w:tcW w:type="dxa" w:w="4104"/>
            <w:vAlign w:val="center"/>
            <w:tcMar>
              <w:top w:w="85" w:type="dxa"/>
              <w:bottom w:w="85" w:type="dxa"/>
              <w:left w:w="100" w:type="dxa"/>
              <w:right w:w="100" w:type="dxa"/>
            </w:tcMar>
            <w:shd w:fill="FFFFFF"/>
            <w:tcBorders>
              <w:top w:val="single" w:sz="4" w:color="D9D9D9"/>
              <w:left w:val="single" w:sz="4" w:color="D9D9D9"/>
              <w:bottom w:val="single" w:sz="4" w:color="D9D9D9"/>
              <w:right w:val="single" w:sz="4" w:color="D9D9D9"/>
            </w:tcBorders>
          </w:tcPr>
          <w:p>
            <w:pPr>
              <w:spacing w:after="20" w:line="254" w:lineRule="auto"/>
            </w:pPr>
            <w:r>
              <w:rPr>
                <w:b w:val="0"/>
                <w:sz w:val="19"/>
              </w:rPr>
            </w:r>
            <w:r>
              <w:rPr>
                <w:b w:val="0"/>
                <w:sz w:val="19"/>
              </w:rPr>
              <w:t>A demonstrated predecessor for a particular formula or astral procedure; Moses’ name alone is insufficient.</w:t>
            </w:r>
          </w:p>
        </w:tc>
      </w:tr>
      <w:tr>
        <w:trPr>
          <w:cantSplit/>
        </w:trPr>
        <w:tc>
          <w:tcPr>
            <w:tcW w:type="dxa" w:w="2232"/>
            <w:vAlign w:val="center"/>
            <w:tcMar>
              <w:top w:w="85" w:type="dxa"/>
              <w:bottom w:w="85" w:type="dxa"/>
              <w:left w:w="100" w:type="dxa"/>
              <w:right w:w="100" w:type="dxa"/>
            </w:tcMar>
            <w:shd w:fill="F7F8FA"/>
            <w:tcBorders>
              <w:top w:val="single" w:sz="4" w:color="D9D9D9"/>
              <w:left w:val="single" w:sz="4" w:color="D9D9D9"/>
              <w:bottom w:val="single" w:sz="4" w:color="D9D9D9"/>
              <w:right w:val="single" w:sz="4" w:color="D9D9D9"/>
            </w:tcBorders>
          </w:tcPr>
          <w:p>
            <w:pPr>
              <w:spacing w:after="20" w:line="254" w:lineRule="auto"/>
            </w:pPr>
            <w:r>
              <w:rPr>
                <w:b w:val="0"/>
                <w:sz w:val="19"/>
              </w:rPr>
            </w:r>
            <w:r>
              <w:rPr>
                <w:b w:val="0"/>
                <w:sz w:val="19"/>
              </w:rPr>
              <w:t>Zurvanite and Sasanian evidence</w:t>
            </w:r>
          </w:p>
        </w:tc>
        <w:tc>
          <w:tcPr>
            <w:tcW w:type="dxa" w:w="3600"/>
            <w:vAlign w:val="center"/>
            <w:tcMar>
              <w:top w:w="85" w:type="dxa"/>
              <w:bottom w:w="85" w:type="dxa"/>
              <w:left w:w="100" w:type="dxa"/>
              <w:right w:w="100" w:type="dxa"/>
            </w:tcMar>
            <w:shd w:fill="F7F8FA"/>
            <w:tcBorders>
              <w:top w:val="single" w:sz="4" w:color="D9D9D9"/>
              <w:left w:val="single" w:sz="4" w:color="D9D9D9"/>
              <w:bottom w:val="single" w:sz="4" w:color="D9D9D9"/>
              <w:right w:val="single" w:sz="4" w:color="D9D9D9"/>
            </w:tcBorders>
          </w:tcPr>
          <w:p>
            <w:pPr>
              <w:spacing w:after="20" w:line="254" w:lineRule="auto"/>
            </w:pPr>
            <w:r>
              <w:rPr>
                <w:b w:val="0"/>
                <w:sz w:val="19"/>
              </w:rPr>
            </w:r>
            <w:r>
              <w:rPr>
                <w:b w:val="0"/>
                <w:sz w:val="19"/>
              </w:rPr>
              <w:t xml:space="preserve">Avestan passages, Middle Persian traditions, and late antique external accounts. </w:t>
            </w:r>
            <w:hyperlink r:id="rId44">
              <w:r>
                <w:rPr>
                  <w:color w:val="184D70"/>
                </w:rPr>
                <w:t>[33]</w:t>
              </w:r>
            </w:hyperlink>
            <w:r>
              <w:rPr>
                <w:b w:val="0"/>
                <w:sz w:val="19"/>
              </w:rPr>
            </w:r>
            <w:hyperlink r:id="rId23">
              <w:r>
                <w:rPr>
                  <w:color w:val="184D70"/>
                </w:rPr>
                <w:t>[34]</w:t>
              </w:r>
            </w:hyperlink>
            <w:r>
              <w:rPr>
                <w:b w:val="0"/>
                <w:sz w:val="19"/>
              </w:rPr>
            </w:r>
            <w:hyperlink r:id="rId24">
              <w:r>
                <w:rPr>
                  <w:color w:val="184D70"/>
                </w:rPr>
                <w:t>[35]</w:t>
              </w:r>
            </w:hyperlink>
            <w:r>
              <w:rPr>
                <w:b w:val="0"/>
                <w:sz w:val="19"/>
              </w:rPr>
            </w:r>
          </w:p>
        </w:tc>
        <w:tc>
          <w:tcPr>
            <w:tcW w:type="dxa" w:w="4104"/>
            <w:vAlign w:val="center"/>
            <w:tcMar>
              <w:top w:w="85" w:type="dxa"/>
              <w:bottom w:w="85" w:type="dxa"/>
              <w:left w:w="100" w:type="dxa"/>
              <w:right w:w="100" w:type="dxa"/>
            </w:tcMar>
            <w:shd w:fill="F7F8FA"/>
            <w:tcBorders>
              <w:top w:val="single" w:sz="4" w:color="D9D9D9"/>
              <w:left w:val="single" w:sz="4" w:color="D9D9D9"/>
              <w:bottom w:val="single" w:sz="4" w:color="D9D9D9"/>
              <w:right w:val="single" w:sz="4" w:color="D9D9D9"/>
            </w:tcBorders>
          </w:tcPr>
          <w:p>
            <w:pPr>
              <w:spacing w:after="20" w:line="254" w:lineRule="auto"/>
            </w:pPr>
            <w:r>
              <w:rPr>
                <w:b w:val="0"/>
                <w:sz w:val="19"/>
              </w:rPr>
            </w:r>
            <w:r>
              <w:rPr>
                <w:b w:val="0"/>
                <w:sz w:val="19"/>
              </w:rPr>
              <w:t>Dated stages linking a myth or institutional arrangement across languages and centuries.</w:t>
            </w:r>
          </w:p>
        </w:tc>
      </w:tr>
    </w:tbl>
    <w:p>
      <w:pPr>
        <w:spacing w:after="20"/>
      </w:pPr>
    </w:p>
    <w:p>
      <w:r>
        <w:t>“Priest,” “scribe,” “magus,” “Chaldean,” and “ritual specialist” must not be treated as interchangeable job titles. The same person may have combined roles, but each case needs evidence. Likewise, astronomical calculation, omen interpretation, and assertions of astral fate can coexist without being identical activities.</w:t>
      </w:r>
    </w:p>
    <w:p>
      <w:pPr>
        <w:pStyle w:val="Heading1"/>
      </w:pPr>
      <w:r>
        <w:t>The BT ledger retained and reassessed</w:t>
      </w:r>
    </w:p>
    <w:p>
      <w:pPr>
        <w:keepLines/>
      </w:pPr>
      <w:r>
        <w:t xml:space="preserve">These are audit summaries of the existing entries, not a replacement ledger. “Retain” preserves the prior finding; “qualify” narrows an inference where the checked source requires it. Some previously cited subclaims remain carried forward rather than independently reverified in this investigation. </w:t>
      </w:r>
      <w:hyperlink r:id="rId15">
        <w:r>
          <w:rPr>
            <w:color w:val="184D70"/>
          </w:rPr>
          <w:t>[U2]</w:t>
        </w:r>
      </w:hyperlink>
      <w:r/>
    </w:p>
    <w:tbl>
      <w:tblPr>
        <w:tblW w:type="auto" w:w="0"/>
        <w:jc w:val="center"/>
        <w:tblLayout w:type="fixed"/>
        <w:tblLook w:firstColumn="1" w:firstRow="1" w:lastColumn="0" w:lastRow="0" w:noHBand="0" w:noVBand="1" w:val="04A0"/>
      </w:tblPr>
      <w:tblGrid>
        <w:gridCol w:w="936"/>
        <w:gridCol w:w="3917"/>
        <w:gridCol w:w="5083"/>
      </w:tblGrid>
      <w:tr>
        <w:trPr>
          <w:cantSplit/>
          <w:tblHeader/>
        </w:trPr>
        <w:tc>
          <w:tcPr>
            <w:tcW w:type="dxa" w:w="936"/>
            <w:vAlign w:val="center"/>
            <w:tcMar>
              <w:top w:w="85" w:type="dxa"/>
              <w:bottom w:w="85" w:type="dxa"/>
              <w:left w:w="100" w:type="dxa"/>
              <w:right w:w="100" w:type="dxa"/>
            </w:tcMar>
            <w:shd w:fill="E3EAF0"/>
            <w:tcBorders>
              <w:top w:val="single" w:sz="4" w:color="D9D9D9"/>
              <w:left w:val="single" w:sz="4" w:color="D9D9D9"/>
              <w:bottom w:val="single" w:sz="4" w:color="D9D9D9"/>
              <w:right w:val="single" w:sz="4" w:color="D9D9D9"/>
            </w:tcBorders>
          </w:tcPr>
          <w:p>
            <w:pPr>
              <w:spacing w:after="20" w:line="254" w:lineRule="auto"/>
              <w:jc w:val="center"/>
            </w:pPr>
            <w:r>
              <w:rPr>
                <w:b/>
                <w:sz w:val="19"/>
              </w:rPr>
              <w:t>Entry</w:t>
            </w:r>
          </w:p>
        </w:tc>
        <w:tc>
          <w:tcPr>
            <w:tcW w:type="dxa" w:w="3917"/>
            <w:vAlign w:val="center"/>
            <w:tcMar>
              <w:top w:w="85" w:type="dxa"/>
              <w:bottom w:w="85" w:type="dxa"/>
              <w:left w:w="100" w:type="dxa"/>
              <w:right w:w="100" w:type="dxa"/>
            </w:tcMar>
            <w:shd w:fill="E3EAF0"/>
            <w:tcBorders>
              <w:top w:val="single" w:sz="4" w:color="D9D9D9"/>
              <w:left w:val="single" w:sz="4" w:color="D9D9D9"/>
              <w:bottom w:val="single" w:sz="4" w:color="D9D9D9"/>
              <w:right w:val="single" w:sz="4" w:color="D9D9D9"/>
            </w:tcBorders>
          </w:tcPr>
          <w:p>
            <w:pPr>
              <w:spacing w:after="20" w:line="254" w:lineRule="auto"/>
            </w:pPr>
            <w:r>
              <w:rPr>
                <w:b/>
                <w:sz w:val="19"/>
              </w:rPr>
              <w:t>Retained finding</w:t>
            </w:r>
          </w:p>
        </w:tc>
        <w:tc>
          <w:tcPr>
            <w:tcW w:type="dxa" w:w="5083"/>
            <w:vAlign w:val="center"/>
            <w:tcMar>
              <w:top w:w="85" w:type="dxa"/>
              <w:bottom w:w="85" w:type="dxa"/>
              <w:left w:w="100" w:type="dxa"/>
              <w:right w:w="100" w:type="dxa"/>
            </w:tcMar>
            <w:shd w:fill="E3EAF0"/>
            <w:tcBorders>
              <w:top w:val="single" w:sz="4" w:color="D9D9D9"/>
              <w:left w:val="single" w:sz="4" w:color="D9D9D9"/>
              <w:bottom w:val="single" w:sz="4" w:color="D9D9D9"/>
              <w:right w:val="single" w:sz="4" w:color="D9D9D9"/>
            </w:tcBorders>
          </w:tcPr>
          <w:p>
            <w:pPr>
              <w:spacing w:after="20" w:line="254" w:lineRule="auto"/>
            </w:pPr>
            <w:r>
              <w:rPr>
                <w:b/>
                <w:sz w:val="19"/>
              </w:rPr>
              <w:t>Assessment in this investigation</w:t>
            </w:r>
          </w:p>
        </w:tc>
      </w:tr>
      <w:tr>
        <w:trPr>
          <w:cantSplit/>
        </w:trPr>
        <w:tc>
          <w:tcPr>
            <w:tcW w:type="dxa" w:w="936"/>
            <w:vAlign w:val="center"/>
            <w:tcMar>
              <w:top w:w="85" w:type="dxa"/>
              <w:bottom w:w="85" w:type="dxa"/>
              <w:left w:w="100" w:type="dxa"/>
              <w:right w:w="100" w:type="dxa"/>
            </w:tcMar>
            <w:shd w:fill="FFFFFF"/>
            <w:tcBorders>
              <w:top w:val="single" w:sz="4" w:color="D9D9D9"/>
              <w:left w:val="single" w:sz="4" w:color="D9D9D9"/>
              <w:bottom w:val="single" w:sz="4" w:color="D9D9D9"/>
              <w:right w:val="single" w:sz="4" w:color="D9D9D9"/>
            </w:tcBorders>
          </w:tcPr>
          <w:p>
            <w:pPr>
              <w:spacing w:after="20" w:line="254" w:lineRule="auto"/>
              <w:jc w:val="center"/>
            </w:pPr>
            <w:r>
              <w:rPr>
                <w:b w:val="0"/>
                <w:sz w:val="19"/>
              </w:rPr>
            </w:r>
            <w:r>
              <w:rPr>
                <w:b w:val="0"/>
                <w:sz w:val="19"/>
              </w:rPr>
              <w:t>BT-01</w:t>
            </w:r>
          </w:p>
        </w:tc>
        <w:tc>
          <w:tcPr>
            <w:tcW w:type="dxa" w:w="3917"/>
            <w:vAlign w:val="center"/>
            <w:tcMar>
              <w:top w:w="85" w:type="dxa"/>
              <w:bottom w:w="85" w:type="dxa"/>
              <w:left w:w="100" w:type="dxa"/>
              <w:right w:w="100" w:type="dxa"/>
            </w:tcMar>
            <w:shd w:fill="FFFFFF"/>
            <w:tcBorders>
              <w:top w:val="single" w:sz="4" w:color="D9D9D9"/>
              <w:left w:val="single" w:sz="4" w:color="D9D9D9"/>
              <w:bottom w:val="single" w:sz="4" w:color="D9D9D9"/>
              <w:right w:val="single" w:sz="4" w:color="D9D9D9"/>
            </w:tcBorders>
          </w:tcPr>
          <w:p>
            <w:pPr>
              <w:spacing w:after="20" w:line="254" w:lineRule="auto"/>
            </w:pPr>
            <w:r>
              <w:rPr>
                <w:b w:val="0"/>
                <w:sz w:val="19"/>
              </w:rPr>
            </w:r>
            <w:r>
              <w:rPr>
                <w:b w:val="0"/>
                <w:sz w:val="19"/>
              </w:rPr>
              <w:t>Specialist Mesopotamian celestial scholarship operated within religious and political settings.</w:t>
            </w:r>
          </w:p>
        </w:tc>
        <w:tc>
          <w:tcPr>
            <w:tcW w:type="dxa" w:w="5083"/>
            <w:vAlign w:val="center"/>
            <w:tcMar>
              <w:top w:w="85" w:type="dxa"/>
              <w:bottom w:w="85" w:type="dxa"/>
              <w:left w:w="100" w:type="dxa"/>
              <w:right w:w="100" w:type="dxa"/>
            </w:tcMar>
            <w:shd w:fill="FFFFFF"/>
            <w:tcBorders>
              <w:top w:val="single" w:sz="4" w:color="D9D9D9"/>
              <w:left w:val="single" w:sz="4" w:color="D9D9D9"/>
              <w:bottom w:val="single" w:sz="4" w:color="D9D9D9"/>
              <w:right w:val="single" w:sz="4" w:color="D9D9D9"/>
            </w:tcBorders>
          </w:tcPr>
          <w:p>
            <w:pPr>
              <w:spacing w:after="20" w:line="254" w:lineRule="auto"/>
            </w:pPr>
            <w:r>
              <w:rPr>
                <w:b w:val="0"/>
                <w:sz w:val="19"/>
              </w:rPr>
            </w:r>
            <w:r>
              <w:rPr>
                <w:b w:val="0"/>
                <w:sz w:val="19"/>
              </w:rPr>
              <w:t xml:space="preserve">Retain. Observation, prediction, and scholarly authority are well documented. Specific functions varied by period. </w:t>
            </w:r>
            <w:hyperlink r:id="rId39">
              <w:r>
                <w:rPr>
                  <w:color w:val="184D70"/>
                </w:rPr>
                <w:t>[18]</w:t>
              </w:r>
            </w:hyperlink>
            <w:r>
              <w:rPr>
                <w:b w:val="0"/>
                <w:sz w:val="19"/>
              </w:rPr>
            </w:r>
          </w:p>
        </w:tc>
      </w:tr>
      <w:tr>
        <w:trPr>
          <w:cantSplit/>
        </w:trPr>
        <w:tc>
          <w:tcPr>
            <w:tcW w:type="dxa" w:w="936"/>
            <w:vAlign w:val="center"/>
            <w:tcMar>
              <w:top w:w="85" w:type="dxa"/>
              <w:bottom w:w="85" w:type="dxa"/>
              <w:left w:w="100" w:type="dxa"/>
              <w:right w:w="100" w:type="dxa"/>
            </w:tcMar>
            <w:shd w:fill="F7F8FA"/>
            <w:tcBorders>
              <w:top w:val="single" w:sz="4" w:color="D9D9D9"/>
              <w:left w:val="single" w:sz="4" w:color="D9D9D9"/>
              <w:bottom w:val="single" w:sz="4" w:color="D9D9D9"/>
              <w:right w:val="single" w:sz="4" w:color="D9D9D9"/>
            </w:tcBorders>
          </w:tcPr>
          <w:p>
            <w:pPr>
              <w:spacing w:after="20" w:line="254" w:lineRule="auto"/>
              <w:jc w:val="center"/>
            </w:pPr>
            <w:r>
              <w:rPr>
                <w:b w:val="0"/>
                <w:sz w:val="19"/>
              </w:rPr>
            </w:r>
            <w:r>
              <w:rPr>
                <w:b w:val="0"/>
                <w:sz w:val="19"/>
              </w:rPr>
              <w:t>BT-02</w:t>
            </w:r>
          </w:p>
        </w:tc>
        <w:tc>
          <w:tcPr>
            <w:tcW w:type="dxa" w:w="3917"/>
            <w:vAlign w:val="center"/>
            <w:tcMar>
              <w:top w:w="85" w:type="dxa"/>
              <w:bottom w:w="85" w:type="dxa"/>
              <w:left w:w="100" w:type="dxa"/>
              <w:right w:w="100" w:type="dxa"/>
            </w:tcMar>
            <w:shd w:fill="F7F8FA"/>
            <w:tcBorders>
              <w:top w:val="single" w:sz="4" w:color="D9D9D9"/>
              <w:left w:val="single" w:sz="4" w:color="D9D9D9"/>
              <w:bottom w:val="single" w:sz="4" w:color="D9D9D9"/>
              <w:right w:val="single" w:sz="4" w:color="D9D9D9"/>
            </w:tcBorders>
          </w:tcPr>
          <w:p>
            <w:pPr>
              <w:spacing w:after="20" w:line="254" w:lineRule="auto"/>
            </w:pPr>
            <w:r>
              <w:rPr>
                <w:b w:val="0"/>
                <w:sz w:val="19"/>
              </w:rPr>
            </w:r>
            <w:r>
              <w:rPr>
                <w:b w:val="0"/>
                <w:sz w:val="19"/>
              </w:rPr>
              <w:t>Some learned knowledge was restricted to qualified specialists.</w:t>
            </w:r>
          </w:p>
        </w:tc>
        <w:tc>
          <w:tcPr>
            <w:tcW w:type="dxa" w:w="5083"/>
            <w:vAlign w:val="center"/>
            <w:tcMar>
              <w:top w:w="85" w:type="dxa"/>
              <w:bottom w:w="85" w:type="dxa"/>
              <w:left w:w="100" w:type="dxa"/>
              <w:right w:w="100" w:type="dxa"/>
            </w:tcMar>
            <w:shd w:fill="F7F8FA"/>
            <w:tcBorders>
              <w:top w:val="single" w:sz="4" w:color="D9D9D9"/>
              <w:left w:val="single" w:sz="4" w:color="D9D9D9"/>
              <w:bottom w:val="single" w:sz="4" w:color="D9D9D9"/>
              <w:right w:val="single" w:sz="4" w:color="D9D9D9"/>
            </w:tcBorders>
          </w:tcPr>
          <w:p>
            <w:pPr>
              <w:spacing w:after="20" w:line="254" w:lineRule="auto"/>
            </w:pPr>
            <w:r>
              <w:rPr>
                <w:b w:val="0"/>
                <w:sz w:val="19"/>
              </w:rPr>
            </w:r>
            <w:r>
              <w:rPr>
                <w:b w:val="0"/>
                <w:sz w:val="19"/>
              </w:rPr>
              <w:t xml:space="preserve">Retain. Protected knowledge and professional identity are supported; restriction alone does not establish covert political takeover. </w:t>
            </w:r>
            <w:hyperlink r:id="rId40">
              <w:r>
                <w:rPr>
                  <w:color w:val="184D70"/>
                </w:rPr>
                <w:t>[19]</w:t>
              </w:r>
            </w:hyperlink>
            <w:r>
              <w:rPr>
                <w:b w:val="0"/>
                <w:sz w:val="19"/>
              </w:rPr>
            </w:r>
          </w:p>
        </w:tc>
      </w:tr>
      <w:tr>
        <w:trPr>
          <w:cantSplit/>
        </w:trPr>
        <w:tc>
          <w:tcPr>
            <w:tcW w:type="dxa" w:w="936"/>
            <w:vAlign w:val="center"/>
            <w:tcMar>
              <w:top w:w="85" w:type="dxa"/>
              <w:bottom w:w="85" w:type="dxa"/>
              <w:left w:w="100" w:type="dxa"/>
              <w:right w:w="100" w:type="dxa"/>
            </w:tcMar>
            <w:shd w:fill="FFFFFF"/>
            <w:tcBorders>
              <w:top w:val="single" w:sz="4" w:color="D9D9D9"/>
              <w:left w:val="single" w:sz="4" w:color="D9D9D9"/>
              <w:bottom w:val="single" w:sz="4" w:color="D9D9D9"/>
              <w:right w:val="single" w:sz="4" w:color="D9D9D9"/>
            </w:tcBorders>
          </w:tcPr>
          <w:p>
            <w:pPr>
              <w:spacing w:after="20" w:line="254" w:lineRule="auto"/>
              <w:jc w:val="center"/>
            </w:pPr>
            <w:r>
              <w:rPr>
                <w:b w:val="0"/>
                <w:sz w:val="19"/>
              </w:rPr>
            </w:r>
            <w:r>
              <w:rPr>
                <w:b w:val="0"/>
                <w:sz w:val="19"/>
              </w:rPr>
              <w:t>BT-03</w:t>
            </w:r>
          </w:p>
        </w:tc>
        <w:tc>
          <w:tcPr>
            <w:tcW w:type="dxa" w:w="3917"/>
            <w:vAlign w:val="center"/>
            <w:tcMar>
              <w:top w:w="85" w:type="dxa"/>
              <w:bottom w:w="85" w:type="dxa"/>
              <w:left w:w="100" w:type="dxa"/>
              <w:right w:w="100" w:type="dxa"/>
            </w:tcMar>
            <w:shd w:fill="FFFFFF"/>
            <w:tcBorders>
              <w:top w:val="single" w:sz="4" w:color="D9D9D9"/>
              <w:left w:val="single" w:sz="4" w:color="D9D9D9"/>
              <w:bottom w:val="single" w:sz="4" w:color="D9D9D9"/>
              <w:right w:val="single" w:sz="4" w:color="D9D9D9"/>
            </w:tcBorders>
          </w:tcPr>
          <w:p>
            <w:pPr>
              <w:spacing w:after="20" w:line="254" w:lineRule="auto"/>
            </w:pPr>
            <w:r>
              <w:rPr>
                <w:b w:val="0"/>
                <w:sz w:val="19"/>
              </w:rPr>
            </w:r>
            <w:r>
              <w:rPr>
                <w:b w:val="0"/>
                <w:sz w:val="19"/>
              </w:rPr>
              <w:t>Scholars claimed ancient or antediluvian origins and elevated status for their knowledge.</w:t>
            </w:r>
          </w:p>
        </w:tc>
        <w:tc>
          <w:tcPr>
            <w:tcW w:type="dxa" w:w="5083"/>
            <w:vAlign w:val="center"/>
            <w:tcMar>
              <w:top w:w="85" w:type="dxa"/>
              <w:bottom w:w="85" w:type="dxa"/>
              <w:left w:w="100" w:type="dxa"/>
              <w:right w:w="100" w:type="dxa"/>
            </w:tcMar>
            <w:shd w:fill="FFFFFF"/>
            <w:tcBorders>
              <w:top w:val="single" w:sz="4" w:color="D9D9D9"/>
              <w:left w:val="single" w:sz="4" w:color="D9D9D9"/>
              <w:bottom w:val="single" w:sz="4" w:color="D9D9D9"/>
              <w:right w:val="single" w:sz="4" w:color="D9D9D9"/>
            </w:tcBorders>
          </w:tcPr>
          <w:p>
            <w:pPr>
              <w:spacing w:after="20" w:line="254" w:lineRule="auto"/>
            </w:pPr>
            <w:r>
              <w:rPr>
                <w:b w:val="0"/>
                <w:sz w:val="19"/>
              </w:rPr>
            </w:r>
            <w:r>
              <w:rPr>
                <w:b w:val="0"/>
                <w:sz w:val="19"/>
              </w:rPr>
              <w:t xml:space="preserve">Retain as evidence of institutional self-presentation. Claims of primordial provenance are not literal proof of that provenance. </w:t>
            </w:r>
            <w:hyperlink r:id="rId39">
              <w:r>
                <w:rPr>
                  <w:color w:val="184D70"/>
                </w:rPr>
                <w:t>[18]</w:t>
              </w:r>
            </w:hyperlink>
            <w:r>
              <w:rPr>
                <w:b w:val="0"/>
                <w:sz w:val="19"/>
              </w:rPr>
            </w:r>
          </w:p>
        </w:tc>
      </w:tr>
      <w:tr>
        <w:trPr>
          <w:cantSplit/>
        </w:trPr>
        <w:tc>
          <w:tcPr>
            <w:tcW w:type="dxa" w:w="936"/>
            <w:vAlign w:val="center"/>
            <w:tcMar>
              <w:top w:w="85" w:type="dxa"/>
              <w:bottom w:w="85" w:type="dxa"/>
              <w:left w:w="100" w:type="dxa"/>
              <w:right w:w="100" w:type="dxa"/>
            </w:tcMar>
            <w:shd w:fill="F7F8FA"/>
            <w:tcBorders>
              <w:top w:val="single" w:sz="4" w:color="D9D9D9"/>
              <w:left w:val="single" w:sz="4" w:color="D9D9D9"/>
              <w:bottom w:val="single" w:sz="4" w:color="D9D9D9"/>
              <w:right w:val="single" w:sz="4" w:color="D9D9D9"/>
            </w:tcBorders>
          </w:tcPr>
          <w:p>
            <w:pPr>
              <w:spacing w:after="20" w:line="254" w:lineRule="auto"/>
              <w:jc w:val="center"/>
            </w:pPr>
            <w:r>
              <w:rPr>
                <w:b w:val="0"/>
                <w:sz w:val="19"/>
              </w:rPr>
            </w:r>
            <w:r>
              <w:rPr>
                <w:b w:val="0"/>
                <w:sz w:val="19"/>
              </w:rPr>
              <w:t>BT-04</w:t>
            </w:r>
          </w:p>
        </w:tc>
        <w:tc>
          <w:tcPr>
            <w:tcW w:type="dxa" w:w="3917"/>
            <w:vAlign w:val="center"/>
            <w:tcMar>
              <w:top w:w="85" w:type="dxa"/>
              <w:bottom w:w="85" w:type="dxa"/>
              <w:left w:w="100" w:type="dxa"/>
              <w:right w:w="100" w:type="dxa"/>
            </w:tcMar>
            <w:shd w:fill="F7F8FA"/>
            <w:tcBorders>
              <w:top w:val="single" w:sz="4" w:color="D9D9D9"/>
              <w:left w:val="single" w:sz="4" w:color="D9D9D9"/>
              <w:bottom w:val="single" w:sz="4" w:color="D9D9D9"/>
              <w:right w:val="single" w:sz="4" w:color="D9D9D9"/>
            </w:tcBorders>
          </w:tcPr>
          <w:p>
            <w:pPr>
              <w:spacing w:after="20" w:line="254" w:lineRule="auto"/>
            </w:pPr>
            <w:r>
              <w:rPr>
                <w:b w:val="0"/>
                <w:sz w:val="19"/>
              </w:rPr>
            </w:r>
            <w:r>
              <w:rPr>
                <w:b w:val="0"/>
                <w:sz w:val="19"/>
              </w:rPr>
              <w:t>Observation, recurrence, position, and numerical schemes formed real technical practices.</w:t>
            </w:r>
          </w:p>
        </w:tc>
        <w:tc>
          <w:tcPr>
            <w:tcW w:type="dxa" w:w="5083"/>
            <w:vAlign w:val="center"/>
            <w:tcMar>
              <w:top w:w="85" w:type="dxa"/>
              <w:bottom w:w="85" w:type="dxa"/>
              <w:left w:w="100" w:type="dxa"/>
              <w:right w:w="100" w:type="dxa"/>
            </w:tcMar>
            <w:shd w:fill="F7F8FA"/>
            <w:tcBorders>
              <w:top w:val="single" w:sz="4" w:color="D9D9D9"/>
              <w:left w:val="single" w:sz="4" w:color="D9D9D9"/>
              <w:bottom w:val="single" w:sz="4" w:color="D9D9D9"/>
              <w:right w:val="single" w:sz="4" w:color="D9D9D9"/>
            </w:tcBorders>
          </w:tcPr>
          <w:p>
            <w:pPr>
              <w:spacing w:after="20" w:line="254" w:lineRule="auto"/>
            </w:pPr>
            <w:r>
              <w:rPr>
                <w:b w:val="0"/>
                <w:sz w:val="19"/>
              </w:rPr>
            </w:r>
            <w:r>
              <w:rPr>
                <w:b w:val="0"/>
                <w:sz w:val="19"/>
              </w:rPr>
              <w:t xml:space="preserve">Retain. Your Timekeeper analogy has an empirical point of contact; its wider architecture is your interpretation. </w:t>
            </w:r>
            <w:hyperlink r:id="rId39">
              <w:r>
                <w:rPr>
                  <w:color w:val="184D70"/>
                </w:rPr>
                <w:t>[18]</w:t>
              </w:r>
            </w:hyperlink>
            <w:r>
              <w:rPr>
                <w:b w:val="0"/>
                <w:sz w:val="19"/>
              </w:rPr>
            </w:r>
            <w:hyperlink r:id="rId43">
              <w:r>
                <w:rPr>
                  <w:color w:val="184D70"/>
                </w:rPr>
                <w:t>[23]</w:t>
              </w:r>
            </w:hyperlink>
            <w:r>
              <w:rPr>
                <w:b w:val="0"/>
                <w:sz w:val="19"/>
              </w:rPr>
            </w:r>
          </w:p>
        </w:tc>
      </w:tr>
      <w:tr>
        <w:trPr>
          <w:cantSplit/>
        </w:trPr>
        <w:tc>
          <w:tcPr>
            <w:tcW w:type="dxa" w:w="936"/>
            <w:vAlign w:val="center"/>
            <w:tcMar>
              <w:top w:w="85" w:type="dxa"/>
              <w:bottom w:w="85" w:type="dxa"/>
              <w:left w:w="100" w:type="dxa"/>
              <w:right w:w="100" w:type="dxa"/>
            </w:tcMar>
            <w:shd w:fill="FFFFFF"/>
            <w:tcBorders>
              <w:top w:val="single" w:sz="4" w:color="D9D9D9"/>
              <w:left w:val="single" w:sz="4" w:color="D9D9D9"/>
              <w:bottom w:val="single" w:sz="4" w:color="D9D9D9"/>
              <w:right w:val="single" w:sz="4" w:color="D9D9D9"/>
            </w:tcBorders>
          </w:tcPr>
          <w:p>
            <w:pPr>
              <w:spacing w:after="20" w:line="254" w:lineRule="auto"/>
              <w:jc w:val="center"/>
            </w:pPr>
            <w:r>
              <w:rPr>
                <w:b w:val="0"/>
                <w:sz w:val="19"/>
              </w:rPr>
            </w:r>
            <w:r>
              <w:rPr>
                <w:b w:val="0"/>
                <w:sz w:val="19"/>
              </w:rPr>
              <w:t>BT-05</w:t>
            </w:r>
          </w:p>
        </w:tc>
        <w:tc>
          <w:tcPr>
            <w:tcW w:type="dxa" w:w="3917"/>
            <w:vAlign w:val="center"/>
            <w:tcMar>
              <w:top w:w="85" w:type="dxa"/>
              <w:bottom w:w="85" w:type="dxa"/>
              <w:left w:w="100" w:type="dxa"/>
              <w:right w:w="100" w:type="dxa"/>
            </w:tcMar>
            <w:shd w:fill="FFFFFF"/>
            <w:tcBorders>
              <w:top w:val="single" w:sz="4" w:color="D9D9D9"/>
              <w:left w:val="single" w:sz="4" w:color="D9D9D9"/>
              <w:bottom w:val="single" w:sz="4" w:color="D9D9D9"/>
              <w:right w:val="single" w:sz="4" w:color="D9D9D9"/>
            </w:tcBorders>
          </w:tcPr>
          <w:p>
            <w:pPr>
              <w:spacing w:after="20" w:line="254" w:lineRule="auto"/>
            </w:pPr>
            <w:r>
              <w:rPr>
                <w:b w:val="0"/>
                <w:sz w:val="19"/>
              </w:rPr>
            </w:r>
            <w:r>
              <w:rPr>
                <w:b w:val="0"/>
                <w:sz w:val="19"/>
              </w:rPr>
              <w:t>Deportation brought Judeans into Babylonian political and administrative environments.</w:t>
            </w:r>
          </w:p>
        </w:tc>
        <w:tc>
          <w:tcPr>
            <w:tcW w:type="dxa" w:w="5083"/>
            <w:vAlign w:val="center"/>
            <w:tcMar>
              <w:top w:w="85" w:type="dxa"/>
              <w:bottom w:w="85" w:type="dxa"/>
              <w:left w:w="100" w:type="dxa"/>
              <w:right w:w="100" w:type="dxa"/>
            </w:tcMar>
            <w:shd w:fill="FFFFFF"/>
            <w:tcBorders>
              <w:top w:val="single" w:sz="4" w:color="D9D9D9"/>
              <w:left w:val="single" w:sz="4" w:color="D9D9D9"/>
              <w:bottom w:val="single" w:sz="4" w:color="D9D9D9"/>
              <w:right w:val="single" w:sz="4" w:color="D9D9D9"/>
            </w:tcBorders>
          </w:tcPr>
          <w:p>
            <w:pPr>
              <w:spacing w:after="20" w:line="254" w:lineRule="auto"/>
            </w:pPr>
            <w:r>
              <w:rPr>
                <w:b w:val="0"/>
                <w:sz w:val="19"/>
              </w:rPr>
            </w:r>
            <w:r>
              <w:rPr>
                <w:b w:val="0"/>
                <w:sz w:val="19"/>
              </w:rPr>
              <w:t xml:space="preserve">Retain the established contact finding. The ledger’s more specific claims about continuity of royal scribal infrastructure are carried forward, not newly audited in full. </w:t>
            </w:r>
            <w:hyperlink r:id="rId15">
              <w:r>
                <w:rPr>
                  <w:color w:val="184D70"/>
                </w:rPr>
                <w:t>[U2]</w:t>
              </w:r>
            </w:hyperlink>
            <w:r>
              <w:rPr>
                <w:b w:val="0"/>
                <w:sz w:val="19"/>
              </w:rPr>
            </w:r>
          </w:p>
        </w:tc>
      </w:tr>
      <w:tr>
        <w:trPr>
          <w:cantSplit/>
        </w:trPr>
        <w:tc>
          <w:tcPr>
            <w:tcW w:type="dxa" w:w="936"/>
            <w:vAlign w:val="center"/>
            <w:tcMar>
              <w:top w:w="85" w:type="dxa"/>
              <w:bottom w:w="85" w:type="dxa"/>
              <w:left w:w="100" w:type="dxa"/>
              <w:right w:w="100" w:type="dxa"/>
            </w:tcMar>
            <w:shd w:fill="F7F8FA"/>
            <w:tcBorders>
              <w:top w:val="single" w:sz="4" w:color="D9D9D9"/>
              <w:left w:val="single" w:sz="4" w:color="D9D9D9"/>
              <w:bottom w:val="single" w:sz="4" w:color="D9D9D9"/>
              <w:right w:val="single" w:sz="4" w:color="D9D9D9"/>
            </w:tcBorders>
          </w:tcPr>
          <w:p>
            <w:pPr>
              <w:spacing w:after="20" w:line="254" w:lineRule="auto"/>
              <w:jc w:val="center"/>
            </w:pPr>
            <w:r>
              <w:rPr>
                <w:b w:val="0"/>
                <w:sz w:val="19"/>
              </w:rPr>
            </w:r>
            <w:r>
              <w:rPr>
                <w:b w:val="0"/>
                <w:sz w:val="19"/>
              </w:rPr>
              <w:t>BT-06</w:t>
            </w:r>
          </w:p>
        </w:tc>
        <w:tc>
          <w:tcPr>
            <w:tcW w:type="dxa" w:w="3917"/>
            <w:vAlign w:val="center"/>
            <w:tcMar>
              <w:top w:w="85" w:type="dxa"/>
              <w:bottom w:w="85" w:type="dxa"/>
              <w:left w:w="100" w:type="dxa"/>
              <w:right w:w="100" w:type="dxa"/>
            </w:tcMar>
            <w:shd w:fill="F7F8FA"/>
            <w:tcBorders>
              <w:top w:val="single" w:sz="4" w:color="D9D9D9"/>
              <w:left w:val="single" w:sz="4" w:color="D9D9D9"/>
              <w:bottom w:val="single" w:sz="4" w:color="D9D9D9"/>
              <w:right w:val="single" w:sz="4" w:color="D9D9D9"/>
            </w:tcBorders>
          </w:tcPr>
          <w:p>
            <w:pPr>
              <w:spacing w:after="20" w:line="254" w:lineRule="auto"/>
            </w:pPr>
            <w:r>
              <w:rPr>
                <w:b w:val="0"/>
                <w:sz w:val="19"/>
              </w:rPr>
            </w:r>
            <w:r>
              <w:rPr>
                <w:b w:val="0"/>
                <w:sz w:val="19"/>
              </w:rPr>
              <w:t>Judeans participated in Babylonian economic and social networks.</w:t>
            </w:r>
          </w:p>
        </w:tc>
        <w:tc>
          <w:tcPr>
            <w:tcW w:type="dxa" w:w="5083"/>
            <w:vAlign w:val="center"/>
            <w:tcMar>
              <w:top w:w="85" w:type="dxa"/>
              <w:bottom w:w="85" w:type="dxa"/>
              <w:left w:w="100" w:type="dxa"/>
              <w:right w:w="100" w:type="dxa"/>
            </w:tcMar>
            <w:shd w:fill="F7F8FA"/>
            <w:tcBorders>
              <w:top w:val="single" w:sz="4" w:color="D9D9D9"/>
              <w:left w:val="single" w:sz="4" w:color="D9D9D9"/>
              <w:bottom w:val="single" w:sz="4" w:color="D9D9D9"/>
              <w:right w:val="single" w:sz="4" w:color="D9D9D9"/>
            </w:tcBorders>
          </w:tcPr>
          <w:p>
            <w:pPr>
              <w:spacing w:after="20" w:line="254" w:lineRule="auto"/>
            </w:pPr>
            <w:r>
              <w:rPr>
                <w:b w:val="0"/>
                <w:sz w:val="19"/>
              </w:rPr>
            </w:r>
            <w:r>
              <w:rPr>
                <w:b w:val="0"/>
                <w:sz w:val="19"/>
              </w:rPr>
              <w:t xml:space="preserve">Retain integration; qualify the priestly-intermarriage inference. Alstola identifies the Sippar groom’s family as mercantile rather than established priestly elite. </w:t>
            </w:r>
            <w:hyperlink r:id="rId19">
              <w:r>
                <w:rPr>
                  <w:color w:val="184D70"/>
                </w:rPr>
                <w:t>[20]</w:t>
              </w:r>
            </w:hyperlink>
            <w:r>
              <w:rPr>
                <w:b w:val="0"/>
                <w:sz w:val="19"/>
              </w:rPr>
            </w:r>
          </w:p>
        </w:tc>
      </w:tr>
      <w:tr>
        <w:trPr>
          <w:cantSplit/>
        </w:trPr>
        <w:tc>
          <w:tcPr>
            <w:tcW w:type="dxa" w:w="936"/>
            <w:vAlign w:val="center"/>
            <w:tcMar>
              <w:top w:w="85" w:type="dxa"/>
              <w:bottom w:w="85" w:type="dxa"/>
              <w:left w:w="100" w:type="dxa"/>
              <w:right w:w="100" w:type="dxa"/>
            </w:tcMar>
            <w:shd w:fill="FFFFFF"/>
            <w:tcBorders>
              <w:top w:val="single" w:sz="4" w:color="D9D9D9"/>
              <w:left w:val="single" w:sz="4" w:color="D9D9D9"/>
              <w:bottom w:val="single" w:sz="4" w:color="D9D9D9"/>
              <w:right w:val="single" w:sz="4" w:color="D9D9D9"/>
            </w:tcBorders>
          </w:tcPr>
          <w:p>
            <w:pPr>
              <w:spacing w:after="20" w:line="254" w:lineRule="auto"/>
              <w:jc w:val="center"/>
            </w:pPr>
            <w:r>
              <w:rPr>
                <w:b w:val="0"/>
                <w:sz w:val="19"/>
              </w:rPr>
            </w:r>
            <w:r>
              <w:rPr>
                <w:b w:val="0"/>
                <w:sz w:val="19"/>
              </w:rPr>
              <w:t>BT-07</w:t>
            </w:r>
          </w:p>
        </w:tc>
        <w:tc>
          <w:tcPr>
            <w:tcW w:type="dxa" w:w="3917"/>
            <w:vAlign w:val="center"/>
            <w:tcMar>
              <w:top w:w="85" w:type="dxa"/>
              <w:bottom w:w="85" w:type="dxa"/>
              <w:left w:w="100" w:type="dxa"/>
              <w:right w:w="100" w:type="dxa"/>
            </w:tcMar>
            <w:shd w:fill="FFFFFF"/>
            <w:tcBorders>
              <w:top w:val="single" w:sz="4" w:color="D9D9D9"/>
              <w:left w:val="single" w:sz="4" w:color="D9D9D9"/>
              <w:bottom w:val="single" w:sz="4" w:color="D9D9D9"/>
              <w:right w:val="single" w:sz="4" w:color="D9D9D9"/>
            </w:tcBorders>
          </w:tcPr>
          <w:p>
            <w:pPr>
              <w:spacing w:after="20" w:line="254" w:lineRule="auto"/>
            </w:pPr>
            <w:r>
              <w:rPr>
                <w:b w:val="0"/>
                <w:sz w:val="19"/>
              </w:rPr>
            </w:r>
            <w:r>
              <w:rPr>
                <w:b w:val="0"/>
                <w:sz w:val="19"/>
              </w:rPr>
              <w:t>Babylonian calendar conventions and month names entered Judean usage.</w:t>
            </w:r>
          </w:p>
        </w:tc>
        <w:tc>
          <w:tcPr>
            <w:tcW w:type="dxa" w:w="5083"/>
            <w:vAlign w:val="center"/>
            <w:tcMar>
              <w:top w:w="85" w:type="dxa"/>
              <w:bottom w:w="85" w:type="dxa"/>
              <w:left w:w="100" w:type="dxa"/>
              <w:right w:w="100" w:type="dxa"/>
            </w:tcMar>
            <w:shd w:fill="FFFFFF"/>
            <w:tcBorders>
              <w:top w:val="single" w:sz="4" w:color="D9D9D9"/>
              <w:left w:val="single" w:sz="4" w:color="D9D9D9"/>
              <w:bottom w:val="single" w:sz="4" w:color="D9D9D9"/>
              <w:right w:val="single" w:sz="4" w:color="D9D9D9"/>
            </w:tcBorders>
          </w:tcPr>
          <w:p>
            <w:pPr>
              <w:spacing w:after="20" w:line="254" w:lineRule="auto"/>
            </w:pPr>
            <w:r>
              <w:rPr>
                <w:b w:val="0"/>
                <w:sz w:val="19"/>
              </w:rPr>
            </w:r>
            <w:r>
              <w:rPr>
                <w:b w:val="0"/>
                <w:sz w:val="19"/>
              </w:rPr>
              <w:t xml:space="preserve">Retain. This supports transmission, not the identity or hidden aims of every transmitter. </w:t>
            </w:r>
            <w:hyperlink r:id="rId45">
              <w:r>
                <w:rPr>
                  <w:color w:val="184D70"/>
                </w:rPr>
                <w:t>[39]</w:t>
              </w:r>
            </w:hyperlink>
            <w:r>
              <w:rPr>
                <w:b w:val="0"/>
                <w:sz w:val="19"/>
              </w:rPr>
            </w:r>
          </w:p>
        </w:tc>
      </w:tr>
      <w:tr>
        <w:trPr>
          <w:cantSplit/>
        </w:trPr>
        <w:tc>
          <w:tcPr>
            <w:tcW w:type="dxa" w:w="936"/>
            <w:vAlign w:val="center"/>
            <w:tcMar>
              <w:top w:w="85" w:type="dxa"/>
              <w:bottom w:w="85" w:type="dxa"/>
              <w:left w:w="100" w:type="dxa"/>
              <w:right w:w="100" w:type="dxa"/>
            </w:tcMar>
            <w:shd w:fill="F7F8FA"/>
            <w:tcBorders>
              <w:top w:val="single" w:sz="4" w:color="D9D9D9"/>
              <w:left w:val="single" w:sz="4" w:color="D9D9D9"/>
              <w:bottom w:val="single" w:sz="4" w:color="D9D9D9"/>
              <w:right w:val="single" w:sz="4" w:color="D9D9D9"/>
            </w:tcBorders>
          </w:tcPr>
          <w:p>
            <w:pPr>
              <w:spacing w:after="20" w:line="254" w:lineRule="auto"/>
              <w:jc w:val="center"/>
            </w:pPr>
            <w:r>
              <w:rPr>
                <w:b w:val="0"/>
                <w:sz w:val="19"/>
              </w:rPr>
            </w:r>
            <w:r>
              <w:rPr>
                <w:b w:val="0"/>
                <w:sz w:val="19"/>
              </w:rPr>
              <w:t>BT-08</w:t>
            </w:r>
          </w:p>
        </w:tc>
        <w:tc>
          <w:tcPr>
            <w:tcW w:type="dxa" w:w="3917"/>
            <w:vAlign w:val="center"/>
            <w:tcMar>
              <w:top w:w="85" w:type="dxa"/>
              <w:bottom w:w="85" w:type="dxa"/>
              <w:left w:w="100" w:type="dxa"/>
              <w:right w:w="100" w:type="dxa"/>
            </w:tcMar>
            <w:shd w:fill="F7F8FA"/>
            <w:tcBorders>
              <w:top w:val="single" w:sz="4" w:color="D9D9D9"/>
              <w:left w:val="single" w:sz="4" w:color="D9D9D9"/>
              <w:bottom w:val="single" w:sz="4" w:color="D9D9D9"/>
              <w:right w:val="single" w:sz="4" w:color="D9D9D9"/>
            </w:tcBorders>
          </w:tcPr>
          <w:p>
            <w:pPr>
              <w:spacing w:after="20" w:line="254" w:lineRule="auto"/>
            </w:pPr>
            <w:r>
              <w:rPr>
                <w:b w:val="0"/>
                <w:sz w:val="19"/>
              </w:rPr>
            </w:r>
            <w:r>
              <w:rPr>
                <w:b w:val="0"/>
                <w:sz w:val="19"/>
              </w:rPr>
              <w:t>Enochic astronomy appropriates or reworks Babylonian schematic material.</w:t>
            </w:r>
          </w:p>
        </w:tc>
        <w:tc>
          <w:tcPr>
            <w:tcW w:type="dxa" w:w="5083"/>
            <w:vAlign w:val="center"/>
            <w:tcMar>
              <w:top w:w="85" w:type="dxa"/>
              <w:bottom w:w="85" w:type="dxa"/>
              <w:left w:w="100" w:type="dxa"/>
              <w:right w:w="100" w:type="dxa"/>
            </w:tcMar>
            <w:shd w:fill="F7F8FA"/>
            <w:tcBorders>
              <w:top w:val="single" w:sz="4" w:color="D9D9D9"/>
              <w:left w:val="single" w:sz="4" w:color="D9D9D9"/>
              <w:bottom w:val="single" w:sz="4" w:color="D9D9D9"/>
              <w:right w:val="single" w:sz="4" w:color="D9D9D9"/>
            </w:tcBorders>
          </w:tcPr>
          <w:p>
            <w:pPr>
              <w:spacing w:after="20" w:line="254" w:lineRule="auto"/>
            </w:pPr>
            <w:r>
              <w:rPr>
                <w:b w:val="0"/>
                <w:sz w:val="19"/>
              </w:rPr>
            </w:r>
            <w:r>
              <w:rPr>
                <w:b w:val="0"/>
                <w:sz w:val="19"/>
              </w:rPr>
              <w:t xml:space="preserve">Retain as a strong specialist textual argument. Specific models are discussed below; the exact intermediary tablet is unknown. </w:t>
            </w:r>
            <w:hyperlink r:id="rId42">
              <w:r>
                <w:rPr>
                  <w:color w:val="184D70"/>
                </w:rPr>
                <w:t>[22]</w:t>
              </w:r>
            </w:hyperlink>
            <w:r>
              <w:rPr>
                <w:b w:val="0"/>
                <w:sz w:val="19"/>
              </w:rPr>
            </w:r>
            <w:hyperlink r:id="rId43">
              <w:r>
                <w:rPr>
                  <w:color w:val="184D70"/>
                </w:rPr>
                <w:t>[23]</w:t>
              </w:r>
            </w:hyperlink>
            <w:r>
              <w:rPr>
                <w:b w:val="0"/>
                <w:sz w:val="19"/>
              </w:rPr>
            </w:r>
          </w:p>
        </w:tc>
      </w:tr>
      <w:tr>
        <w:trPr>
          <w:cantSplit/>
        </w:trPr>
        <w:tc>
          <w:tcPr>
            <w:tcW w:type="dxa" w:w="936"/>
            <w:vAlign w:val="center"/>
            <w:tcMar>
              <w:top w:w="85" w:type="dxa"/>
              <w:bottom w:w="85" w:type="dxa"/>
              <w:left w:w="100" w:type="dxa"/>
              <w:right w:w="100" w:type="dxa"/>
            </w:tcMar>
            <w:shd w:fill="FFFFFF"/>
            <w:tcBorders>
              <w:top w:val="single" w:sz="4" w:color="D9D9D9"/>
              <w:left w:val="single" w:sz="4" w:color="D9D9D9"/>
              <w:bottom w:val="single" w:sz="4" w:color="D9D9D9"/>
              <w:right w:val="single" w:sz="4" w:color="D9D9D9"/>
            </w:tcBorders>
          </w:tcPr>
          <w:p>
            <w:pPr>
              <w:spacing w:after="20" w:line="254" w:lineRule="auto"/>
              <w:jc w:val="center"/>
            </w:pPr>
            <w:r>
              <w:rPr>
                <w:b w:val="0"/>
                <w:sz w:val="19"/>
              </w:rPr>
            </w:r>
            <w:r>
              <w:rPr>
                <w:b w:val="0"/>
                <w:sz w:val="19"/>
              </w:rPr>
              <w:t>BT-09</w:t>
            </w:r>
          </w:p>
        </w:tc>
        <w:tc>
          <w:tcPr>
            <w:tcW w:type="dxa" w:w="3917"/>
            <w:vAlign w:val="center"/>
            <w:tcMar>
              <w:top w:w="85" w:type="dxa"/>
              <w:bottom w:w="85" w:type="dxa"/>
              <w:left w:w="100" w:type="dxa"/>
              <w:right w:w="100" w:type="dxa"/>
            </w:tcMar>
            <w:shd w:fill="FFFFFF"/>
            <w:tcBorders>
              <w:top w:val="single" w:sz="4" w:color="D9D9D9"/>
              <w:left w:val="single" w:sz="4" w:color="D9D9D9"/>
              <w:bottom w:val="single" w:sz="4" w:color="D9D9D9"/>
              <w:right w:val="single" w:sz="4" w:color="D9D9D9"/>
            </w:tcBorders>
          </w:tcPr>
          <w:p>
            <w:pPr>
              <w:spacing w:after="20" w:line="254" w:lineRule="auto"/>
            </w:pPr>
            <w:r>
              <w:rPr>
                <w:b w:val="0"/>
                <w:sz w:val="19"/>
              </w:rPr>
            </w:r>
            <w:r>
              <w:rPr>
                <w:b w:val="0"/>
                <w:sz w:val="19"/>
              </w:rPr>
              <w:t>Enochic texts distinguish illicit astral knowledge from authorized revelation.</w:t>
            </w:r>
          </w:p>
        </w:tc>
        <w:tc>
          <w:tcPr>
            <w:tcW w:type="dxa" w:w="5083"/>
            <w:vAlign w:val="center"/>
            <w:tcMar>
              <w:top w:w="85" w:type="dxa"/>
              <w:bottom w:w="85" w:type="dxa"/>
              <w:left w:w="100" w:type="dxa"/>
              <w:right w:w="100" w:type="dxa"/>
            </w:tcMar>
            <w:shd w:fill="FFFFFF"/>
            <w:tcBorders>
              <w:top w:val="single" w:sz="4" w:color="D9D9D9"/>
              <w:left w:val="single" w:sz="4" w:color="D9D9D9"/>
              <w:bottom w:val="single" w:sz="4" w:color="D9D9D9"/>
              <w:right w:val="single" w:sz="4" w:color="D9D9D9"/>
            </w:tcBorders>
          </w:tcPr>
          <w:p>
            <w:pPr>
              <w:spacing w:after="20" w:line="254" w:lineRule="auto"/>
            </w:pPr>
            <w:r>
              <w:rPr>
                <w:b w:val="0"/>
                <w:sz w:val="19"/>
              </w:rPr>
            </w:r>
            <w:r>
              <w:rPr>
                <w:b w:val="0"/>
                <w:sz w:val="19"/>
              </w:rPr>
              <w:t xml:space="preserve">Retain as a literary and ideological distinction. Its social interpretation requires argument; it is not a list of actual conspirators. </w:t>
            </w:r>
            <w:hyperlink r:id="rId46">
              <w:r>
                <w:rPr>
                  <w:color w:val="184D70"/>
                </w:rPr>
                <w:t>[24]</w:t>
              </w:r>
            </w:hyperlink>
            <w:r>
              <w:rPr>
                <w:b w:val="0"/>
                <w:sz w:val="19"/>
              </w:rPr>
            </w:r>
          </w:p>
        </w:tc>
      </w:tr>
      <w:tr>
        <w:trPr>
          <w:cantSplit/>
        </w:trPr>
        <w:tc>
          <w:tcPr>
            <w:tcW w:type="dxa" w:w="936"/>
            <w:vAlign w:val="center"/>
            <w:tcMar>
              <w:top w:w="85" w:type="dxa"/>
              <w:bottom w:w="85" w:type="dxa"/>
              <w:left w:w="100" w:type="dxa"/>
              <w:right w:w="100" w:type="dxa"/>
            </w:tcMar>
            <w:shd w:fill="F7F8FA"/>
            <w:tcBorders>
              <w:top w:val="single" w:sz="4" w:color="D9D9D9"/>
              <w:left w:val="single" w:sz="4" w:color="D9D9D9"/>
              <w:bottom w:val="single" w:sz="4" w:color="D9D9D9"/>
              <w:right w:val="single" w:sz="4" w:color="D9D9D9"/>
            </w:tcBorders>
          </w:tcPr>
          <w:p>
            <w:pPr>
              <w:spacing w:after="20" w:line="254" w:lineRule="auto"/>
              <w:jc w:val="center"/>
            </w:pPr>
            <w:r>
              <w:rPr>
                <w:b w:val="0"/>
                <w:sz w:val="19"/>
              </w:rPr>
            </w:r>
            <w:r>
              <w:rPr>
                <w:b w:val="0"/>
                <w:sz w:val="19"/>
              </w:rPr>
              <w:t>BT-10</w:t>
            </w:r>
          </w:p>
        </w:tc>
        <w:tc>
          <w:tcPr>
            <w:tcW w:type="dxa" w:w="3917"/>
            <w:vAlign w:val="center"/>
            <w:tcMar>
              <w:top w:w="85" w:type="dxa"/>
              <w:bottom w:w="85" w:type="dxa"/>
              <w:left w:w="100" w:type="dxa"/>
              <w:right w:w="100" w:type="dxa"/>
            </w:tcMar>
            <w:shd w:fill="F7F8FA"/>
            <w:tcBorders>
              <w:top w:val="single" w:sz="4" w:color="D9D9D9"/>
              <w:left w:val="single" w:sz="4" w:color="D9D9D9"/>
              <w:bottom w:val="single" w:sz="4" w:color="D9D9D9"/>
              <w:right w:val="single" w:sz="4" w:color="D9D9D9"/>
            </w:tcBorders>
          </w:tcPr>
          <w:p>
            <w:pPr>
              <w:spacing w:after="20" w:line="254" w:lineRule="auto"/>
            </w:pPr>
            <w:r>
              <w:rPr>
                <w:b w:val="0"/>
                <w:sz w:val="19"/>
              </w:rPr>
            </w:r>
            <w:r>
              <w:rPr>
                <w:b w:val="0"/>
                <w:sz w:val="19"/>
              </w:rPr>
              <w:t>A particular priestly group secretly entered the exilic community.</w:t>
            </w:r>
          </w:p>
        </w:tc>
        <w:tc>
          <w:tcPr>
            <w:tcW w:type="dxa" w:w="5083"/>
            <w:vAlign w:val="center"/>
            <w:tcMar>
              <w:top w:w="85" w:type="dxa"/>
              <w:bottom w:w="85" w:type="dxa"/>
              <w:left w:w="100" w:type="dxa"/>
              <w:right w:w="100" w:type="dxa"/>
            </w:tcMar>
            <w:shd w:fill="F7F8FA"/>
            <w:tcBorders>
              <w:top w:val="single" w:sz="4" w:color="D9D9D9"/>
              <w:left w:val="single" w:sz="4" w:color="D9D9D9"/>
              <w:bottom w:val="single" w:sz="4" w:color="D9D9D9"/>
              <w:right w:val="single" w:sz="4" w:color="D9D9D9"/>
            </w:tcBorders>
          </w:tcPr>
          <w:p>
            <w:pPr>
              <w:spacing w:after="20" w:line="254" w:lineRule="auto"/>
            </w:pPr>
            <w:r>
              <w:rPr>
                <w:b w:val="0"/>
                <w:sz w:val="19"/>
              </w:rPr>
            </w:r>
            <w:r>
              <w:rPr>
                <w:b w:val="0"/>
                <w:sz w:val="19"/>
              </w:rPr>
              <w:t xml:space="preserve">Open and unproven. Social contact and textual borrowing do not independently identify such a group. </w:t>
            </w:r>
            <w:hyperlink r:id="rId15">
              <w:r>
                <w:rPr>
                  <w:color w:val="184D70"/>
                </w:rPr>
                <w:t>[U2]</w:t>
              </w:r>
            </w:hyperlink>
            <w:r>
              <w:rPr>
                <w:b w:val="0"/>
                <w:sz w:val="19"/>
              </w:rPr>
            </w:r>
          </w:p>
        </w:tc>
      </w:tr>
      <w:tr>
        <w:trPr>
          <w:cantSplit/>
        </w:trPr>
        <w:tc>
          <w:tcPr>
            <w:tcW w:type="dxa" w:w="936"/>
            <w:vAlign w:val="center"/>
            <w:tcMar>
              <w:top w:w="85" w:type="dxa"/>
              <w:bottom w:w="85" w:type="dxa"/>
              <w:left w:w="100" w:type="dxa"/>
              <w:right w:w="100" w:type="dxa"/>
            </w:tcMar>
            <w:shd w:fill="FFFFFF"/>
            <w:tcBorders>
              <w:top w:val="single" w:sz="4" w:color="D9D9D9"/>
              <w:left w:val="single" w:sz="4" w:color="D9D9D9"/>
              <w:bottom w:val="single" w:sz="4" w:color="D9D9D9"/>
              <w:right w:val="single" w:sz="4" w:color="D9D9D9"/>
            </w:tcBorders>
          </w:tcPr>
          <w:p>
            <w:pPr>
              <w:spacing w:after="20" w:line="254" w:lineRule="auto"/>
              <w:jc w:val="center"/>
            </w:pPr>
            <w:r>
              <w:rPr>
                <w:b w:val="0"/>
                <w:sz w:val="19"/>
              </w:rPr>
            </w:r>
            <w:r>
              <w:rPr>
                <w:b w:val="0"/>
                <w:sz w:val="19"/>
              </w:rPr>
              <w:t>BT-11</w:t>
            </w:r>
          </w:p>
        </w:tc>
        <w:tc>
          <w:tcPr>
            <w:tcW w:type="dxa" w:w="3917"/>
            <w:vAlign w:val="center"/>
            <w:tcMar>
              <w:top w:w="85" w:type="dxa"/>
              <w:bottom w:w="85" w:type="dxa"/>
              <w:left w:w="100" w:type="dxa"/>
              <w:right w:w="100" w:type="dxa"/>
            </w:tcMar>
            <w:shd w:fill="FFFFFF"/>
            <w:tcBorders>
              <w:top w:val="single" w:sz="4" w:color="D9D9D9"/>
              <w:left w:val="single" w:sz="4" w:color="D9D9D9"/>
              <w:bottom w:val="single" w:sz="4" w:color="D9D9D9"/>
              <w:right w:val="single" w:sz="4" w:color="D9D9D9"/>
            </w:tcBorders>
          </w:tcPr>
          <w:p>
            <w:pPr>
              <w:spacing w:after="20" w:line="254" w:lineRule="auto"/>
            </w:pPr>
            <w:r>
              <w:rPr>
                <w:b w:val="0"/>
                <w:sz w:val="19"/>
              </w:rPr>
            </w:r>
            <w:r>
              <w:rPr>
                <w:b w:val="0"/>
                <w:sz w:val="19"/>
              </w:rPr>
              <w:t>The same organization continued into modern institutions.</w:t>
            </w:r>
          </w:p>
        </w:tc>
        <w:tc>
          <w:tcPr>
            <w:tcW w:type="dxa" w:w="5083"/>
            <w:vAlign w:val="center"/>
            <w:tcMar>
              <w:top w:w="85" w:type="dxa"/>
              <w:bottom w:w="85" w:type="dxa"/>
              <w:left w:w="100" w:type="dxa"/>
              <w:right w:w="100" w:type="dxa"/>
            </w:tcMar>
            <w:shd w:fill="FFFFFF"/>
            <w:tcBorders>
              <w:top w:val="single" w:sz="4" w:color="D9D9D9"/>
              <w:left w:val="single" w:sz="4" w:color="D9D9D9"/>
              <w:bottom w:val="single" w:sz="4" w:color="D9D9D9"/>
              <w:right w:val="single" w:sz="4" w:color="D9D9D9"/>
            </w:tcBorders>
          </w:tcPr>
          <w:p>
            <w:pPr>
              <w:spacing w:after="20" w:line="254" w:lineRule="auto"/>
            </w:pPr>
            <w:r>
              <w:rPr>
                <w:b w:val="0"/>
                <w:sz w:val="19"/>
              </w:rPr>
            </w:r>
            <w:r>
              <w:rPr>
                <w:b w:val="0"/>
                <w:sz w:val="19"/>
              </w:rPr>
              <w:t xml:space="preserve">Unproven. No continuous documentary chain is supplied by the ledger or by the Hillman materials examined. </w:t>
            </w:r>
            <w:hyperlink r:id="rId15">
              <w:r>
                <w:rPr>
                  <w:color w:val="184D70"/>
                </w:rPr>
                <w:t>[U2]</w:t>
              </w:r>
            </w:hyperlink>
            <w:r>
              <w:rPr>
                <w:b w:val="0"/>
                <w:sz w:val="19"/>
              </w:rPr>
            </w:r>
          </w:p>
        </w:tc>
      </w:tr>
    </w:tbl>
    <w:p>
      <w:pPr>
        <w:spacing w:after="20"/>
      </w:pPr>
    </w:p>
    <w:p>
      <w:pPr>
        <w:pStyle w:val="Heading1"/>
      </w:pPr>
      <w:r>
        <w:t>What the existing Babylonian leads now establish</w:t>
      </w:r>
    </w:p>
    <w:p>
      <w:pPr>
        <w:pStyle w:val="Heading2"/>
      </w:pPr>
      <w:r>
        <w:t>The Sippar evidence supports contact more precisely than capture</w:t>
      </w:r>
    </w:p>
    <w:p>
      <w:pPr>
        <w:keepLines/>
      </w:pPr>
      <w:r>
        <w:t xml:space="preserve">Kaššāya’s marriage agreements, BM 68921 and BM 65149, connect the Judean Arih family to Babylonian mercantile society. Alstola says neither Marduk-rēmanni nor his family occurs in these documents: they shared acquaintances. Identifying a Guzānu in Marduk-rēmanni’s archive with Kaššāya’s groom remains possible, not certain. </w:t>
      </w:r>
      <w:hyperlink r:id="rId19">
        <w:r>
          <w:rPr>
            <w:color w:val="184D70"/>
          </w:rPr>
          <w:t>[20]</w:t>
        </w:r>
      </w:hyperlink>
      <w:r/>
    </w:p>
    <w:p>
      <w:r>
        <w:t xml:space="preserve">Only one marriage witness is identified as holding an Ebabbar prebend, Bān-zēri, a baker. Alstola characterizes the groom’s family as mercantile. This narrows the earlier priestly-marriage suggestion without erasing real temple and commercial connections. These documents show a social environment in which exchange could occur; they do not record an astronomy lesson, conversion, or infiltration plan. </w:t>
      </w:r>
      <w:hyperlink r:id="rId19">
        <w:r>
          <w:rPr>
            <w:color w:val="184D70"/>
          </w:rPr>
          <w:t>[20]</w:t>
        </w:r>
      </w:hyperlink>
      <w:r/>
      <w:hyperlink r:id="rId15">
        <w:r>
          <w:rPr>
            <w:color w:val="184D70"/>
          </w:rPr>
          <w:t>[U2]</w:t>
        </w:r>
      </w:hyperlink>
      <w:r/>
    </w:p>
    <w:p>
      <w:r>
        <w:t xml:space="preserve">The Borsippa sēpiru and BM 25563 lead, and the eclipse-ritual testimony discussed later in your document, remain useful targets. They have not been independently recollated here. An alphabetic scribe’s administrative appearance should not silently become proof of training in cuneiform astronomy. The next evidential step is to establish what each named person actually did in the cited text. </w:t>
      </w:r>
      <w:hyperlink r:id="rId15">
        <w:r>
          <w:rPr>
            <w:color w:val="184D70"/>
          </w:rPr>
          <w:t>[U2]</w:t>
        </w:r>
      </w:hyperlink>
      <w:r/>
    </w:p>
    <w:p>
      <w:pPr>
        <w:pStyle w:val="Heading2"/>
      </w:pPr>
      <w:r>
        <w:t>A numerical correspondence gives BT 08 real specificity</w:t>
      </w:r>
    </w:p>
    <w:p>
      <w:pPr>
        <w:keepLines/>
      </w:pPr>
      <w:r>
        <w:t xml:space="preserve">Drawnel’s 2025 Time Intervals article reconstructs a relationship between the eighteen-part day and night in 1 Enoch 72 and the 360-shekel water-clock scheme of Enūma Anu Enlil XIV. His earlier study also compares schematic clauses with BM 17175+17284 and MUL.APIN. These are identifiable comparanda, rather than a resemblance between sacred numbers. </w:t>
      </w:r>
      <w:hyperlink r:id="rId42">
        <w:r>
          <w:rPr>
            <w:color w:val="184D70"/>
          </w:rPr>
          <w:t>[22]</w:t>
        </w:r>
      </w:hyperlink>
      <w:r/>
      <w:hyperlink r:id="rId43">
        <w:r>
          <w:rPr>
            <w:color w:val="184D70"/>
          </w:rPr>
          <w:t>[23]</w:t>
        </w:r>
      </w:hyperlink>
      <w:r/>
    </w:p>
    <w:tbl>
      <w:tblPr>
        <w:tblW w:type="auto" w:w="0"/>
        <w:jc w:val="center"/>
        <w:tblLayout w:type="fixed"/>
        <w:tblLook w:firstColumn="1" w:firstRow="1" w:lastColumn="0" w:lastRow="0" w:noHBand="0" w:noVBand="1" w:val="04A0"/>
      </w:tblPr>
      <w:tblGrid>
        <w:gridCol w:w="3240"/>
        <w:gridCol w:w="2448"/>
        <w:gridCol w:w="4248"/>
      </w:tblGrid>
      <w:tr>
        <w:trPr>
          <w:cantSplit/>
          <w:tblHeader/>
        </w:trPr>
        <w:tc>
          <w:tcPr>
            <w:tcW w:type="dxa" w:w="3240"/>
            <w:vAlign w:val="center"/>
            <w:tcMar>
              <w:top w:w="85" w:type="dxa"/>
              <w:bottom w:w="85" w:type="dxa"/>
              <w:left w:w="100" w:type="dxa"/>
              <w:right w:w="100" w:type="dxa"/>
            </w:tcMar>
            <w:shd w:fill="E3EAF0"/>
            <w:tcBorders>
              <w:top w:val="single" w:sz="4" w:color="D9D9D9"/>
              <w:left w:val="single" w:sz="4" w:color="D9D9D9"/>
              <w:bottom w:val="single" w:sz="4" w:color="D9D9D9"/>
              <w:right w:val="single" w:sz="4" w:color="D9D9D9"/>
            </w:tcBorders>
          </w:tcPr>
          <w:p>
            <w:pPr>
              <w:spacing w:after="20" w:line="254" w:lineRule="auto"/>
            </w:pPr>
            <w:r>
              <w:rPr>
                <w:b/>
                <w:sz w:val="19"/>
              </w:rPr>
              <w:t>Quantity in the comparison</w:t>
            </w:r>
          </w:p>
        </w:tc>
        <w:tc>
          <w:tcPr>
            <w:tcW w:type="dxa" w:w="2448"/>
            <w:vAlign w:val="center"/>
            <w:tcMar>
              <w:top w:w="85" w:type="dxa"/>
              <w:bottom w:w="85" w:type="dxa"/>
              <w:left w:w="100" w:type="dxa"/>
              <w:right w:w="100" w:type="dxa"/>
            </w:tcMar>
            <w:shd w:fill="E3EAF0"/>
            <w:tcBorders>
              <w:top w:val="single" w:sz="4" w:color="D9D9D9"/>
              <w:left w:val="single" w:sz="4" w:color="D9D9D9"/>
              <w:bottom w:val="single" w:sz="4" w:color="D9D9D9"/>
              <w:right w:val="single" w:sz="4" w:color="D9D9D9"/>
            </w:tcBorders>
          </w:tcPr>
          <w:p>
            <w:pPr>
              <w:spacing w:after="20" w:line="254" w:lineRule="auto"/>
            </w:pPr>
            <w:r>
              <w:rPr>
                <w:b/>
                <w:sz w:val="19"/>
              </w:rPr>
              <w:t>Conversion</w:t>
            </w:r>
          </w:p>
        </w:tc>
        <w:tc>
          <w:tcPr>
            <w:tcW w:type="dxa" w:w="4248"/>
            <w:vAlign w:val="center"/>
            <w:tcMar>
              <w:top w:w="85" w:type="dxa"/>
              <w:bottom w:w="85" w:type="dxa"/>
              <w:left w:w="100" w:type="dxa"/>
              <w:right w:w="100" w:type="dxa"/>
            </w:tcMar>
            <w:shd w:fill="E3EAF0"/>
            <w:tcBorders>
              <w:top w:val="single" w:sz="4" w:color="D9D9D9"/>
              <w:left w:val="single" w:sz="4" w:color="D9D9D9"/>
              <w:bottom w:val="single" w:sz="4" w:color="D9D9D9"/>
              <w:right w:val="single" w:sz="4" w:color="D9D9D9"/>
            </w:tcBorders>
          </w:tcPr>
          <w:p>
            <w:pPr>
              <w:spacing w:after="20" w:line="254" w:lineRule="auto"/>
            </w:pPr>
            <w:r>
              <w:rPr>
                <w:b/>
                <w:sz w:val="19"/>
              </w:rPr>
              <w:t>Interpretive significance</w:t>
            </w:r>
          </w:p>
        </w:tc>
      </w:tr>
      <w:tr>
        <w:trPr>
          <w:cantSplit/>
        </w:trPr>
        <w:tc>
          <w:tcPr>
            <w:tcW w:type="dxa" w:w="3240"/>
            <w:vAlign w:val="center"/>
            <w:tcMar>
              <w:top w:w="85" w:type="dxa"/>
              <w:bottom w:w="85" w:type="dxa"/>
              <w:left w:w="100" w:type="dxa"/>
              <w:right w:w="100" w:type="dxa"/>
            </w:tcMar>
            <w:shd w:fill="FFFFFF"/>
            <w:tcBorders>
              <w:top w:val="single" w:sz="4" w:color="D9D9D9"/>
              <w:left w:val="single" w:sz="4" w:color="D9D9D9"/>
              <w:bottom w:val="single" w:sz="4" w:color="D9D9D9"/>
              <w:right w:val="single" w:sz="4" w:color="D9D9D9"/>
            </w:tcBorders>
          </w:tcPr>
          <w:p>
            <w:pPr>
              <w:spacing w:after="20" w:line="254" w:lineRule="auto"/>
            </w:pPr>
            <w:r>
              <w:rPr>
                <w:b w:val="0"/>
                <w:sz w:val="19"/>
              </w:rPr>
            </w:r>
            <w:r>
              <w:rPr>
                <w:b w:val="0"/>
                <w:sz w:val="19"/>
              </w:rPr>
              <w:t>Whole day and night</w:t>
            </w:r>
          </w:p>
        </w:tc>
        <w:tc>
          <w:tcPr>
            <w:tcW w:type="dxa" w:w="2448"/>
            <w:vAlign w:val="center"/>
            <w:tcMar>
              <w:top w:w="85" w:type="dxa"/>
              <w:bottom w:w="85" w:type="dxa"/>
              <w:left w:w="100" w:type="dxa"/>
              <w:right w:w="100" w:type="dxa"/>
            </w:tcMar>
            <w:shd w:fill="FFFFFF"/>
            <w:tcBorders>
              <w:top w:val="single" w:sz="4" w:color="D9D9D9"/>
              <w:left w:val="single" w:sz="4" w:color="D9D9D9"/>
              <w:bottom w:val="single" w:sz="4" w:color="D9D9D9"/>
              <w:right w:val="single" w:sz="4" w:color="D9D9D9"/>
            </w:tcBorders>
          </w:tcPr>
          <w:p>
            <w:pPr>
              <w:spacing w:after="20" w:line="254" w:lineRule="auto"/>
            </w:pPr>
            <w:r>
              <w:rPr>
                <w:b w:val="0"/>
                <w:sz w:val="19"/>
              </w:rPr>
            </w:r>
            <w:r>
              <w:rPr>
                <w:b w:val="0"/>
                <w:sz w:val="19"/>
              </w:rPr>
              <w:t>360 shekels ÷ 20 = 18 parts</w:t>
            </w:r>
          </w:p>
        </w:tc>
        <w:tc>
          <w:tcPr>
            <w:tcW w:type="dxa" w:w="4248"/>
            <w:vAlign w:val="center"/>
            <w:tcMar>
              <w:top w:w="85" w:type="dxa"/>
              <w:bottom w:w="85" w:type="dxa"/>
              <w:left w:w="100" w:type="dxa"/>
              <w:right w:w="100" w:type="dxa"/>
            </w:tcMar>
            <w:shd w:fill="FFFFFF"/>
            <w:tcBorders>
              <w:top w:val="single" w:sz="4" w:color="D9D9D9"/>
              <w:left w:val="single" w:sz="4" w:color="D9D9D9"/>
              <w:bottom w:val="single" w:sz="4" w:color="D9D9D9"/>
              <w:right w:val="single" w:sz="4" w:color="D9D9D9"/>
            </w:tcBorders>
          </w:tcPr>
          <w:p>
            <w:pPr>
              <w:spacing w:after="20" w:line="254" w:lineRule="auto"/>
            </w:pPr>
            <w:r>
              <w:rPr>
                <w:b w:val="0"/>
                <w:sz w:val="19"/>
              </w:rPr>
            </w:r>
            <w:r>
              <w:rPr>
                <w:b w:val="0"/>
                <w:sz w:val="19"/>
              </w:rPr>
              <w:t>A common normalization accounts for the different units.</w:t>
            </w:r>
          </w:p>
        </w:tc>
      </w:tr>
      <w:tr>
        <w:trPr>
          <w:cantSplit/>
        </w:trPr>
        <w:tc>
          <w:tcPr>
            <w:tcW w:type="dxa" w:w="3240"/>
            <w:vAlign w:val="center"/>
            <w:tcMar>
              <w:top w:w="85" w:type="dxa"/>
              <w:bottom w:w="85" w:type="dxa"/>
              <w:left w:w="100" w:type="dxa"/>
              <w:right w:w="100" w:type="dxa"/>
            </w:tcMar>
            <w:shd w:fill="F7F8FA"/>
            <w:tcBorders>
              <w:top w:val="single" w:sz="4" w:color="D9D9D9"/>
              <w:left w:val="single" w:sz="4" w:color="D9D9D9"/>
              <w:bottom w:val="single" w:sz="4" w:color="D9D9D9"/>
              <w:right w:val="single" w:sz="4" w:color="D9D9D9"/>
            </w:tcBorders>
          </w:tcPr>
          <w:p>
            <w:pPr>
              <w:spacing w:after="20" w:line="254" w:lineRule="auto"/>
            </w:pPr>
            <w:r>
              <w:rPr>
                <w:b w:val="0"/>
                <w:sz w:val="19"/>
              </w:rPr>
            </w:r>
            <w:r>
              <w:rPr>
                <w:b w:val="0"/>
                <w:sz w:val="19"/>
              </w:rPr>
              <w:t>One Enochic part</w:t>
            </w:r>
          </w:p>
        </w:tc>
        <w:tc>
          <w:tcPr>
            <w:tcW w:type="dxa" w:w="2448"/>
            <w:vAlign w:val="center"/>
            <w:tcMar>
              <w:top w:w="85" w:type="dxa"/>
              <w:bottom w:w="85" w:type="dxa"/>
              <w:left w:w="100" w:type="dxa"/>
              <w:right w:w="100" w:type="dxa"/>
            </w:tcMar>
            <w:shd w:fill="F7F8FA"/>
            <w:tcBorders>
              <w:top w:val="single" w:sz="4" w:color="D9D9D9"/>
              <w:left w:val="single" w:sz="4" w:color="D9D9D9"/>
              <w:bottom w:val="single" w:sz="4" w:color="D9D9D9"/>
              <w:right w:val="single" w:sz="4" w:color="D9D9D9"/>
            </w:tcBorders>
          </w:tcPr>
          <w:p>
            <w:pPr>
              <w:spacing w:after="20" w:line="254" w:lineRule="auto"/>
            </w:pPr>
            <w:r>
              <w:rPr>
                <w:b w:val="0"/>
                <w:sz w:val="19"/>
              </w:rPr>
            </w:r>
            <w:r>
              <w:rPr>
                <w:b w:val="0"/>
                <w:sz w:val="19"/>
              </w:rPr>
              <w:t>20/360 = 1/18</w:t>
            </w:r>
          </w:p>
        </w:tc>
        <w:tc>
          <w:tcPr>
            <w:tcW w:type="dxa" w:w="4248"/>
            <w:vAlign w:val="center"/>
            <w:tcMar>
              <w:top w:w="85" w:type="dxa"/>
              <w:bottom w:w="85" w:type="dxa"/>
              <w:left w:w="100" w:type="dxa"/>
              <w:right w:w="100" w:type="dxa"/>
            </w:tcMar>
            <w:shd w:fill="F7F8FA"/>
            <w:tcBorders>
              <w:top w:val="single" w:sz="4" w:color="D9D9D9"/>
              <w:left w:val="single" w:sz="4" w:color="D9D9D9"/>
              <w:bottom w:val="single" w:sz="4" w:color="D9D9D9"/>
              <w:right w:val="single" w:sz="4" w:color="D9D9D9"/>
            </w:tcBorders>
          </w:tcPr>
          <w:p>
            <w:pPr>
              <w:spacing w:after="20" w:line="254" w:lineRule="auto"/>
            </w:pPr>
            <w:r>
              <w:rPr>
                <w:b w:val="0"/>
                <w:sz w:val="19"/>
              </w:rPr>
            </w:r>
            <w:r>
              <w:rPr>
                <w:b w:val="0"/>
                <w:sz w:val="19"/>
              </w:rPr>
              <w:t>Equivalent to 80 modern minutes, as a conversion.</w:t>
            </w:r>
          </w:p>
        </w:tc>
      </w:tr>
      <w:tr>
        <w:trPr>
          <w:cantSplit/>
        </w:trPr>
        <w:tc>
          <w:tcPr>
            <w:tcW w:type="dxa" w:w="3240"/>
            <w:vAlign w:val="center"/>
            <w:tcMar>
              <w:top w:w="85" w:type="dxa"/>
              <w:bottom w:w="85" w:type="dxa"/>
              <w:left w:w="100" w:type="dxa"/>
              <w:right w:w="100" w:type="dxa"/>
            </w:tcMar>
            <w:shd w:fill="FFFFFF"/>
            <w:tcBorders>
              <w:top w:val="single" w:sz="4" w:color="D9D9D9"/>
              <w:left w:val="single" w:sz="4" w:color="D9D9D9"/>
              <w:bottom w:val="single" w:sz="4" w:color="D9D9D9"/>
              <w:right w:val="single" w:sz="4" w:color="D9D9D9"/>
            </w:tcBorders>
          </w:tcPr>
          <w:p>
            <w:pPr>
              <w:spacing w:after="20" w:line="254" w:lineRule="auto"/>
            </w:pPr>
            <w:r>
              <w:rPr>
                <w:b w:val="0"/>
                <w:sz w:val="19"/>
              </w:rPr>
            </w:r>
            <w:r>
              <w:rPr>
                <w:b w:val="0"/>
                <w:sz w:val="19"/>
              </w:rPr>
              <w:t>Two Enochic parts</w:t>
            </w:r>
          </w:p>
        </w:tc>
        <w:tc>
          <w:tcPr>
            <w:tcW w:type="dxa" w:w="2448"/>
            <w:vAlign w:val="center"/>
            <w:tcMar>
              <w:top w:w="85" w:type="dxa"/>
              <w:bottom w:w="85" w:type="dxa"/>
              <w:left w:w="100" w:type="dxa"/>
              <w:right w:w="100" w:type="dxa"/>
            </w:tcMar>
            <w:shd w:fill="FFFFFF"/>
            <w:tcBorders>
              <w:top w:val="single" w:sz="4" w:color="D9D9D9"/>
              <w:left w:val="single" w:sz="4" w:color="D9D9D9"/>
              <w:bottom w:val="single" w:sz="4" w:color="D9D9D9"/>
              <w:right w:val="single" w:sz="4" w:color="D9D9D9"/>
            </w:tcBorders>
          </w:tcPr>
          <w:p>
            <w:pPr>
              <w:spacing w:after="20" w:line="254" w:lineRule="auto"/>
            </w:pPr>
            <w:r>
              <w:rPr>
                <w:b w:val="0"/>
                <w:sz w:val="19"/>
              </w:rPr>
            </w:r>
            <w:r>
              <w:rPr>
                <w:b w:val="0"/>
                <w:sz w:val="19"/>
              </w:rPr>
              <w:t>40/360 = 1/9</w:t>
            </w:r>
          </w:p>
        </w:tc>
        <w:tc>
          <w:tcPr>
            <w:tcW w:type="dxa" w:w="4248"/>
            <w:vAlign w:val="center"/>
            <w:tcMar>
              <w:top w:w="85" w:type="dxa"/>
              <w:bottom w:w="85" w:type="dxa"/>
              <w:left w:w="100" w:type="dxa"/>
              <w:right w:w="100" w:type="dxa"/>
            </w:tcMar>
            <w:shd w:fill="FFFFFF"/>
            <w:tcBorders>
              <w:top w:val="single" w:sz="4" w:color="D9D9D9"/>
              <w:left w:val="single" w:sz="4" w:color="D9D9D9"/>
              <w:bottom w:val="single" w:sz="4" w:color="D9D9D9"/>
              <w:right w:val="single" w:sz="4" w:color="D9D9D9"/>
            </w:tcBorders>
          </w:tcPr>
          <w:p>
            <w:pPr>
              <w:spacing w:after="20" w:line="254" w:lineRule="auto"/>
            </w:pPr>
            <w:r>
              <w:rPr>
                <w:b w:val="0"/>
                <w:sz w:val="19"/>
              </w:rPr>
            </w:r>
            <w:r>
              <w:rPr>
                <w:b w:val="0"/>
                <w:sz w:val="19"/>
              </w:rPr>
              <w:t>The fractional expression can be compared across schemes.</w:t>
            </w:r>
          </w:p>
        </w:tc>
      </w:tr>
    </w:tbl>
    <w:p>
      <w:pPr>
        <w:spacing w:after="20"/>
      </w:pPr>
    </w:p>
    <w:p>
      <w:r>
        <w:t xml:space="preserve">Drawnel cannot identify the precise source tablet used by the Enochic author. The reconstruction is a strong scholarly case for adaptation, not a recovered chain of custody. The four additional days of the Enochic year also modify the schematic pattern. This matters for your model: transmission can involve revision rather than submission to an unchanged twelvefold template. </w:t>
      </w:r>
      <w:hyperlink r:id="rId43">
        <w:r>
          <w:rPr>
            <w:color w:val="184D70"/>
          </w:rPr>
          <w:t>[23]</w:t>
        </w:r>
      </w:hyperlink>
      <w:r/>
    </w:p>
    <w:p>
      <w:pPr>
        <w:pStyle w:val="Heading2"/>
      </w:pPr>
      <w:r>
        <w:t>Temple calendars also show correction and accommodation</w:t>
      </w:r>
    </w:p>
    <w:p>
      <w:pPr>
        <w:keepLines/>
      </w:pPr>
      <w:r>
        <w:t xml:space="preserve">Waerzeggers connects priestly service, income rights, and calendrical organization. BM 77834 even reserves a thirteenth slot for an additional Addaru before its necessity was known. Her discussion of Nabonidus’s 546 BCE reforms links new oilpresser priesthoods and shifts to tighter royal control at Ebabbar. Thus time administration could distribute resources and authority, while accommodating an irregular year. </w:t>
      </w:r>
      <w:hyperlink r:id="rId41">
        <w:r>
          <w:rPr>
            <w:color w:val="184D70"/>
          </w:rPr>
          <w:t>[21]</w:t>
        </w:r>
      </w:hyperlink>
      <w:r/>
    </w:p>
    <w:p>
      <w:r>
        <w:t>For your architecture, the strongest research question is who controlled those adjustments and benefited from them. A rule that changes to accommodate observation behaves differently from a rule that denies observations to preserve itself. Standardization can support both technical competence and unequal control; proving one does not automatically prove the other.</w:t>
      </w:r>
    </w:p>
    <w:p>
      <w:pPr>
        <w:pStyle w:val="Heading1"/>
      </w:pPr>
      <w:r>
        <w:t>Philological audit of the important terms</w:t>
      </w:r>
    </w:p>
    <w:p>
      <w:pPr>
        <w:keepLines/>
      </w:pPr>
      <w:r>
        <w:t>A valid etymology identifies the word in its own script, its dated attestations, and the sound or morphological changes involved. A valid translation also identifies the sense appropriate to its sentence. Similar-looking words, or multiple dictionary senses, cannot supply a missing historical mechanism.</w:t>
      </w:r>
    </w:p>
    <w:tbl>
      <w:tblPr>
        <w:tblW w:type="auto" w:w="0"/>
        <w:jc w:val="center"/>
        <w:tblLayout w:type="fixed"/>
        <w:tblLook w:firstColumn="1" w:firstRow="1" w:lastColumn="0" w:lastRow="0" w:noHBand="0" w:noVBand="1" w:val="04A0"/>
      </w:tblPr>
      <w:tblGrid>
        <w:gridCol w:w="3240"/>
        <w:gridCol w:w="3240"/>
        <w:gridCol w:w="3456"/>
      </w:tblGrid>
      <w:tr>
        <w:trPr>
          <w:cantSplit/>
          <w:tblHeader/>
        </w:trPr>
        <w:tc>
          <w:tcPr>
            <w:tcW w:type="dxa" w:w="3240"/>
            <w:vAlign w:val="center"/>
            <w:tcMar>
              <w:top w:w="85" w:type="dxa"/>
              <w:bottom w:w="85" w:type="dxa"/>
              <w:left w:w="100" w:type="dxa"/>
              <w:right w:w="100" w:type="dxa"/>
            </w:tcMar>
            <w:shd w:fill="E3EAF0"/>
            <w:tcBorders>
              <w:top w:val="single" w:sz="4" w:color="D9D9D9"/>
              <w:left w:val="single" w:sz="4" w:color="D9D9D9"/>
              <w:bottom w:val="single" w:sz="4" w:color="D9D9D9"/>
              <w:right w:val="single" w:sz="4" w:color="D9D9D9"/>
            </w:tcBorders>
          </w:tcPr>
          <w:p>
            <w:pPr>
              <w:spacing w:after="20" w:line="254" w:lineRule="auto"/>
            </w:pPr>
            <w:r>
              <w:rPr>
                <w:b/>
                <w:sz w:val="19"/>
              </w:rPr>
              <w:t>Term and identifiable evidence</w:t>
            </w:r>
          </w:p>
        </w:tc>
        <w:tc>
          <w:tcPr>
            <w:tcW w:type="dxa" w:w="3240"/>
            <w:vAlign w:val="center"/>
            <w:tcMar>
              <w:top w:w="85" w:type="dxa"/>
              <w:bottom w:w="85" w:type="dxa"/>
              <w:left w:w="100" w:type="dxa"/>
              <w:right w:w="100" w:type="dxa"/>
            </w:tcMar>
            <w:shd w:fill="E3EAF0"/>
            <w:tcBorders>
              <w:top w:val="single" w:sz="4" w:color="D9D9D9"/>
              <w:left w:val="single" w:sz="4" w:color="D9D9D9"/>
              <w:bottom w:val="single" w:sz="4" w:color="D9D9D9"/>
              <w:right w:val="single" w:sz="4" w:color="D9D9D9"/>
            </w:tcBorders>
          </w:tcPr>
          <w:p>
            <w:pPr>
              <w:spacing w:after="20" w:line="254" w:lineRule="auto"/>
            </w:pPr>
            <w:r>
              <w:rPr>
                <w:b/>
                <w:sz w:val="19"/>
              </w:rPr>
              <w:t>Defensible reading</w:t>
            </w:r>
          </w:p>
        </w:tc>
        <w:tc>
          <w:tcPr>
            <w:tcW w:type="dxa" w:w="3456"/>
            <w:vAlign w:val="center"/>
            <w:tcMar>
              <w:top w:w="85" w:type="dxa"/>
              <w:bottom w:w="85" w:type="dxa"/>
              <w:left w:w="100" w:type="dxa"/>
              <w:right w:w="100" w:type="dxa"/>
            </w:tcMar>
            <w:shd w:fill="E3EAF0"/>
            <w:tcBorders>
              <w:top w:val="single" w:sz="4" w:color="D9D9D9"/>
              <w:left w:val="single" w:sz="4" w:color="D9D9D9"/>
              <w:bottom w:val="single" w:sz="4" w:color="D9D9D9"/>
              <w:right w:val="single" w:sz="4" w:color="D9D9D9"/>
            </w:tcBorders>
          </w:tcPr>
          <w:p>
            <w:pPr>
              <w:spacing w:after="20" w:line="254" w:lineRule="auto"/>
            </w:pPr>
            <w:r>
              <w:rPr>
                <w:b/>
                <w:sz w:val="19"/>
              </w:rPr>
              <w:t>Inference that does not follow</w:t>
            </w:r>
          </w:p>
        </w:tc>
      </w:tr>
      <w:tr>
        <w:trPr>
          <w:cantSplit/>
        </w:trPr>
        <w:tc>
          <w:tcPr>
            <w:tcW w:type="dxa" w:w="3240"/>
            <w:vAlign w:val="center"/>
            <w:tcMar>
              <w:top w:w="85" w:type="dxa"/>
              <w:bottom w:w="85" w:type="dxa"/>
              <w:left w:w="100" w:type="dxa"/>
              <w:right w:w="100" w:type="dxa"/>
            </w:tcMar>
            <w:shd w:fill="FFFFFF"/>
            <w:tcBorders>
              <w:top w:val="single" w:sz="4" w:color="D9D9D9"/>
              <w:left w:val="single" w:sz="4" w:color="D9D9D9"/>
              <w:bottom w:val="single" w:sz="4" w:color="D9D9D9"/>
              <w:right w:val="single" w:sz="4" w:color="D9D9D9"/>
            </w:tcBorders>
          </w:tcPr>
          <w:p>
            <w:pPr>
              <w:spacing w:after="20" w:line="254" w:lineRule="auto"/>
            </w:pPr>
            <w:r>
              <w:rPr>
                <w:b w:val="0"/>
                <w:sz w:val="19"/>
              </w:rPr>
            </w:r>
            <w:r>
              <w:rPr>
                <w:b w:val="0"/>
                <w:sz w:val="19"/>
              </w:rPr>
              <w:t>φάρμακον</w:t>
              <w:br/>
              <w:t>pharmakon</w:t>
              <w:br/>
              <w:t xml:space="preserve">Odyssey 4.220; Phaedrus 274e–275a; LSJ. </w:t>
            </w:r>
            <w:hyperlink r:id="rId29">
              <w:r>
                <w:rPr>
                  <w:color w:val="184D70"/>
                </w:rPr>
                <w:t>[8]</w:t>
              </w:r>
            </w:hyperlink>
            <w:r>
              <w:rPr>
                <w:b w:val="0"/>
                <w:sz w:val="19"/>
              </w:rPr>
            </w:r>
            <w:hyperlink r:id="rId34">
              <w:r>
                <w:rPr>
                  <w:color w:val="184D70"/>
                </w:rPr>
                <w:t>[11]</w:t>
              </w:r>
            </w:hyperlink>
            <w:r>
              <w:rPr>
                <w:b w:val="0"/>
                <w:sz w:val="19"/>
              </w:rPr>
            </w:r>
            <w:hyperlink r:id="rId30">
              <w:r>
                <w:rPr>
                  <w:color w:val="184D70"/>
                </w:rPr>
                <w:t>[25]</w:t>
              </w:r>
            </w:hyperlink>
            <w:r>
              <w:rPr>
                <w:b w:val="0"/>
                <w:sz w:val="19"/>
              </w:rPr>
            </w:r>
          </w:p>
        </w:tc>
        <w:tc>
          <w:tcPr>
            <w:tcW w:type="dxa" w:w="3240"/>
            <w:vAlign w:val="center"/>
            <w:tcMar>
              <w:top w:w="85" w:type="dxa"/>
              <w:bottom w:w="85" w:type="dxa"/>
              <w:left w:w="100" w:type="dxa"/>
              <w:right w:w="100" w:type="dxa"/>
            </w:tcMar>
            <w:shd w:fill="FFFFFF"/>
            <w:tcBorders>
              <w:top w:val="single" w:sz="4" w:color="D9D9D9"/>
              <w:left w:val="single" w:sz="4" w:color="D9D9D9"/>
              <w:bottom w:val="single" w:sz="4" w:color="D9D9D9"/>
              <w:right w:val="single" w:sz="4" w:color="D9D9D9"/>
            </w:tcBorders>
          </w:tcPr>
          <w:p>
            <w:pPr>
              <w:spacing w:after="20" w:line="254" w:lineRule="auto"/>
            </w:pPr>
            <w:r>
              <w:rPr>
                <w:b w:val="0"/>
                <w:sz w:val="19"/>
              </w:rPr>
            </w:r>
            <w:r>
              <w:rPr>
                <w:b w:val="0"/>
                <w:sz w:val="19"/>
              </w:rPr>
              <w:t>The range includes remedy, drug, poison, and other contextual uses. The Homeric and Platonic passages use the word differently.</w:t>
            </w:r>
          </w:p>
        </w:tc>
        <w:tc>
          <w:tcPr>
            <w:tcW w:type="dxa" w:w="3456"/>
            <w:vAlign w:val="center"/>
            <w:tcMar>
              <w:top w:w="85" w:type="dxa"/>
              <w:bottom w:w="85" w:type="dxa"/>
              <w:left w:w="100" w:type="dxa"/>
              <w:right w:w="100" w:type="dxa"/>
            </w:tcMar>
            <w:shd w:fill="FFFFFF"/>
            <w:tcBorders>
              <w:top w:val="single" w:sz="4" w:color="D9D9D9"/>
              <w:left w:val="single" w:sz="4" w:color="D9D9D9"/>
              <w:bottom w:val="single" w:sz="4" w:color="D9D9D9"/>
              <w:right w:val="single" w:sz="4" w:color="D9D9D9"/>
            </w:tcBorders>
          </w:tcPr>
          <w:p>
            <w:pPr>
              <w:spacing w:after="20" w:line="254" w:lineRule="auto"/>
            </w:pPr>
            <w:r>
              <w:rPr>
                <w:b w:val="0"/>
                <w:sz w:val="19"/>
              </w:rPr>
            </w:r>
            <w:r>
              <w:rPr>
                <w:b w:val="0"/>
                <w:sz w:val="19"/>
              </w:rPr>
              <w:t>Every occurrence denotes a psychedelic, or its whole dictionary range is active in every sentence.</w:t>
            </w:r>
          </w:p>
        </w:tc>
      </w:tr>
      <w:tr>
        <w:trPr>
          <w:cantSplit/>
        </w:trPr>
        <w:tc>
          <w:tcPr>
            <w:tcW w:type="dxa" w:w="3240"/>
            <w:vAlign w:val="center"/>
            <w:tcMar>
              <w:top w:w="85" w:type="dxa"/>
              <w:bottom w:w="85" w:type="dxa"/>
              <w:left w:w="100" w:type="dxa"/>
              <w:right w:w="100" w:type="dxa"/>
            </w:tcMar>
            <w:shd w:fill="F7F8FA"/>
            <w:tcBorders>
              <w:top w:val="single" w:sz="4" w:color="D9D9D9"/>
              <w:left w:val="single" w:sz="4" w:color="D9D9D9"/>
              <w:bottom w:val="single" w:sz="4" w:color="D9D9D9"/>
              <w:right w:val="single" w:sz="4" w:color="D9D9D9"/>
            </w:tcBorders>
          </w:tcPr>
          <w:p>
            <w:pPr>
              <w:spacing w:after="20" w:line="254" w:lineRule="auto"/>
            </w:pPr>
            <w:r>
              <w:rPr>
                <w:b w:val="0"/>
                <w:sz w:val="19"/>
              </w:rPr>
            </w:r>
            <w:r>
              <w:rPr>
                <w:b w:val="0"/>
                <w:sz w:val="19"/>
              </w:rPr>
              <w:t>φαρμακεία</w:t>
              <w:br/>
              <w:t>pharmakeia</w:t>
              <w:br/>
              <w:t xml:space="preserve">Revelation 18:23; LSJ. </w:t>
            </w:r>
            <w:hyperlink r:id="rId37">
              <w:r>
                <w:rPr>
                  <w:color w:val="184D70"/>
                </w:rPr>
                <w:t>[17]</w:t>
              </w:r>
            </w:hyperlink>
            <w:r>
              <w:rPr>
                <w:b w:val="0"/>
                <w:sz w:val="19"/>
              </w:rPr>
            </w:r>
            <w:hyperlink r:id="rId38">
              <w:r>
                <w:rPr>
                  <w:color w:val="184D70"/>
                </w:rPr>
                <w:t>[26]</w:t>
              </w:r>
            </w:hyperlink>
            <w:r>
              <w:rPr>
                <w:b w:val="0"/>
                <w:sz w:val="19"/>
              </w:rPr>
            </w:r>
          </w:p>
        </w:tc>
        <w:tc>
          <w:tcPr>
            <w:tcW w:type="dxa" w:w="3240"/>
            <w:vAlign w:val="center"/>
            <w:tcMar>
              <w:top w:w="85" w:type="dxa"/>
              <w:bottom w:w="85" w:type="dxa"/>
              <w:left w:w="100" w:type="dxa"/>
              <w:right w:w="100" w:type="dxa"/>
            </w:tcMar>
            <w:shd w:fill="F7F8FA"/>
            <w:tcBorders>
              <w:top w:val="single" w:sz="4" w:color="D9D9D9"/>
              <w:left w:val="single" w:sz="4" w:color="D9D9D9"/>
              <w:bottom w:val="single" w:sz="4" w:color="D9D9D9"/>
              <w:right w:val="single" w:sz="4" w:color="D9D9D9"/>
            </w:tcBorders>
          </w:tcPr>
          <w:p>
            <w:pPr>
              <w:spacing w:after="20" w:line="254" w:lineRule="auto"/>
            </w:pPr>
            <w:r>
              <w:rPr>
                <w:b w:val="0"/>
                <w:sz w:val="19"/>
              </w:rPr>
            </w:r>
            <w:r>
              <w:rPr>
                <w:b w:val="0"/>
                <w:sz w:val="19"/>
              </w:rPr>
              <w:t>Drug-related practice, potions, poisoning, or magic are possible in the lexicon. Revelation uses the term in an accusation of deception.</w:t>
            </w:r>
          </w:p>
        </w:tc>
        <w:tc>
          <w:tcPr>
            <w:tcW w:type="dxa" w:w="3456"/>
            <w:vAlign w:val="center"/>
            <w:tcMar>
              <w:top w:w="85" w:type="dxa"/>
              <w:bottom w:w="85" w:type="dxa"/>
              <w:left w:w="100" w:type="dxa"/>
              <w:right w:w="100" w:type="dxa"/>
            </w:tcMar>
            <w:shd w:fill="F7F8FA"/>
            <w:tcBorders>
              <w:top w:val="single" w:sz="4" w:color="D9D9D9"/>
              <w:left w:val="single" w:sz="4" w:color="D9D9D9"/>
              <w:bottom w:val="single" w:sz="4" w:color="D9D9D9"/>
              <w:right w:val="single" w:sz="4" w:color="D9D9D9"/>
            </w:tcBorders>
          </w:tcPr>
          <w:p>
            <w:pPr>
              <w:spacing w:after="20" w:line="254" w:lineRule="auto"/>
            </w:pPr>
            <w:r>
              <w:rPr>
                <w:b w:val="0"/>
                <w:sz w:val="19"/>
              </w:rPr>
            </w:r>
            <w:r>
              <w:rPr>
                <w:b w:val="0"/>
                <w:sz w:val="19"/>
              </w:rPr>
              <w:t>The verse identifies a particular chemical practice or a historical pharmaceutical organization.</w:t>
            </w:r>
          </w:p>
        </w:tc>
      </w:tr>
      <w:tr>
        <w:trPr>
          <w:cantSplit/>
        </w:trPr>
        <w:tc>
          <w:tcPr>
            <w:tcW w:type="dxa" w:w="3240"/>
            <w:vAlign w:val="center"/>
            <w:tcMar>
              <w:top w:w="85" w:type="dxa"/>
              <w:bottom w:w="85" w:type="dxa"/>
              <w:left w:w="100" w:type="dxa"/>
              <w:right w:w="100" w:type="dxa"/>
            </w:tcMar>
            <w:shd w:fill="FFFFFF"/>
            <w:tcBorders>
              <w:top w:val="single" w:sz="4" w:color="D9D9D9"/>
              <w:left w:val="single" w:sz="4" w:color="D9D9D9"/>
              <w:bottom w:val="single" w:sz="4" w:color="D9D9D9"/>
              <w:right w:val="single" w:sz="4" w:color="D9D9D9"/>
            </w:tcBorders>
          </w:tcPr>
          <w:p>
            <w:pPr>
              <w:spacing w:after="20" w:line="254" w:lineRule="auto"/>
            </w:pPr>
            <w:r>
              <w:rPr>
                <w:b w:val="0"/>
                <w:sz w:val="19"/>
              </w:rPr>
            </w:r>
            <w:r>
              <w:rPr>
                <w:b w:val="0"/>
                <w:sz w:val="19"/>
              </w:rPr>
              <w:t>χριστός</w:t>
              <w:br/>
              <w:t>christos</w:t>
              <w:br/>
              <w:t xml:space="preserve">Septuagint Leviticus 4:5 and Isaiah 45:1; LSJ. </w:t>
            </w:r>
            <w:hyperlink r:id="rId47">
              <w:r>
                <w:rPr>
                  <w:color w:val="184D70"/>
                </w:rPr>
                <w:t>[27]</w:t>
              </w:r>
            </w:hyperlink>
            <w:r>
              <w:rPr>
                <w:b w:val="0"/>
                <w:sz w:val="19"/>
              </w:rPr>
            </w:r>
          </w:p>
        </w:tc>
        <w:tc>
          <w:tcPr>
            <w:tcW w:type="dxa" w:w="3240"/>
            <w:vAlign w:val="center"/>
            <w:tcMar>
              <w:top w:w="85" w:type="dxa"/>
              <w:bottom w:w="85" w:type="dxa"/>
              <w:left w:w="100" w:type="dxa"/>
              <w:right w:w="100" w:type="dxa"/>
            </w:tcMar>
            <w:shd w:fill="FFFFFF"/>
            <w:tcBorders>
              <w:top w:val="single" w:sz="4" w:color="D9D9D9"/>
              <w:left w:val="single" w:sz="4" w:color="D9D9D9"/>
              <w:bottom w:val="single" w:sz="4" w:color="D9D9D9"/>
              <w:right w:val="single" w:sz="4" w:color="D9D9D9"/>
            </w:tcBorders>
          </w:tcPr>
          <w:p>
            <w:pPr>
              <w:spacing w:after="20" w:line="254" w:lineRule="auto"/>
            </w:pPr>
            <w:r>
              <w:rPr>
                <w:b w:val="0"/>
                <w:sz w:val="19"/>
              </w:rPr>
            </w:r>
            <w:r>
              <w:rPr>
                <w:b w:val="0"/>
                <w:sz w:val="19"/>
              </w:rPr>
              <w:t>Applied/smeared and anointed; an anointed figure. Isaiah’s Greek text applies it to Cyrus.</w:t>
            </w:r>
          </w:p>
        </w:tc>
        <w:tc>
          <w:tcPr>
            <w:tcW w:type="dxa" w:w="3456"/>
            <w:vAlign w:val="center"/>
            <w:tcMar>
              <w:top w:w="85" w:type="dxa"/>
              <w:bottom w:w="85" w:type="dxa"/>
              <w:left w:w="100" w:type="dxa"/>
              <w:right w:w="100" w:type="dxa"/>
            </w:tcMar>
            <w:shd w:fill="FFFFFF"/>
            <w:tcBorders>
              <w:top w:val="single" w:sz="4" w:color="D9D9D9"/>
              <w:left w:val="single" w:sz="4" w:color="D9D9D9"/>
              <w:bottom w:val="single" w:sz="4" w:color="D9D9D9"/>
              <w:right w:val="single" w:sz="4" w:color="D9D9D9"/>
            </w:tcBorders>
          </w:tcPr>
          <w:p>
            <w:pPr>
              <w:spacing w:after="20" w:line="254" w:lineRule="auto"/>
            </w:pPr>
            <w:r>
              <w:rPr>
                <w:b w:val="0"/>
                <w:sz w:val="19"/>
              </w:rPr>
            </w:r>
            <w:r>
              <w:rPr>
                <w:b w:val="0"/>
                <w:sz w:val="19"/>
              </w:rPr>
              <w:t>The title itself encodes drug intoxication. “Anointing” does not identify the composition or effect of an ointment.</w:t>
            </w:r>
          </w:p>
        </w:tc>
      </w:tr>
      <w:tr>
        <w:trPr>
          <w:cantSplit/>
        </w:trPr>
        <w:tc>
          <w:tcPr>
            <w:tcW w:type="dxa" w:w="3240"/>
            <w:vAlign w:val="center"/>
            <w:tcMar>
              <w:top w:w="85" w:type="dxa"/>
              <w:bottom w:w="85" w:type="dxa"/>
              <w:left w:w="100" w:type="dxa"/>
              <w:right w:w="100" w:type="dxa"/>
            </w:tcMar>
            <w:shd w:fill="F7F8FA"/>
            <w:tcBorders>
              <w:top w:val="single" w:sz="4" w:color="D9D9D9"/>
              <w:left w:val="single" w:sz="4" w:color="D9D9D9"/>
              <w:bottom w:val="single" w:sz="4" w:color="D9D9D9"/>
              <w:right w:val="single" w:sz="4" w:color="D9D9D9"/>
            </w:tcBorders>
          </w:tcPr>
          <w:p>
            <w:pPr>
              <w:spacing w:after="20" w:line="254" w:lineRule="auto"/>
            </w:pPr>
            <w:r>
              <w:rPr>
                <w:b w:val="0"/>
                <w:sz w:val="19"/>
              </w:rPr>
            </w:r>
            <w:r>
              <w:rPr>
                <w:b w:val="0"/>
                <w:sz w:val="19"/>
              </w:rPr>
              <w:t>פריש / pryš and derivatives</w:t>
              <w:br/>
              <w:t xml:space="preserve">CAL; Syriac Aphrahat attestations. </w:t>
            </w:r>
            <w:hyperlink r:id="rId20">
              <w:r>
                <w:rPr>
                  <w:color w:val="184D70"/>
                </w:rPr>
                <w:t>[28]</w:t>
              </w:r>
            </w:hyperlink>
            <w:r>
              <w:rPr>
                <w:b w:val="0"/>
                <w:sz w:val="19"/>
              </w:rPr>
              <w:br/>
              <w:t xml:space="preserve">Hebrew perushim. </w:t>
            </w:r>
            <w:hyperlink r:id="rId22">
              <w:r>
                <w:rPr>
                  <w:color w:val="184D70"/>
                </w:rPr>
                <w:t>[30]</w:t>
              </w:r>
            </w:hyperlink>
            <w:r>
              <w:rPr>
                <w:b w:val="0"/>
                <w:sz w:val="19"/>
              </w:rPr>
            </w:r>
          </w:p>
        </w:tc>
        <w:tc>
          <w:tcPr>
            <w:tcW w:type="dxa" w:w="3240"/>
            <w:vAlign w:val="center"/>
            <w:tcMar>
              <w:top w:w="85" w:type="dxa"/>
              <w:bottom w:w="85" w:type="dxa"/>
              <w:left w:w="100" w:type="dxa"/>
              <w:right w:w="100" w:type="dxa"/>
            </w:tcMar>
            <w:shd w:fill="F7F8FA"/>
            <w:tcBorders>
              <w:top w:val="single" w:sz="4" w:color="D9D9D9"/>
              <w:left w:val="single" w:sz="4" w:color="D9D9D9"/>
              <w:bottom w:val="single" w:sz="4" w:color="D9D9D9"/>
              <w:right w:val="single" w:sz="4" w:color="D9D9D9"/>
            </w:tcBorders>
          </w:tcPr>
          <w:p>
            <w:pPr>
              <w:spacing w:after="20" w:line="254" w:lineRule="auto"/>
            </w:pPr>
            <w:r>
              <w:rPr>
                <w:b w:val="0"/>
                <w:sz w:val="19"/>
              </w:rPr>
            </w:r>
            <w:r>
              <w:rPr>
                <w:b w:val="0"/>
                <w:sz w:val="19"/>
              </w:rPr>
              <w:t>The standard derivation of Pharisee relates to separation/distinction. The reason for that designation is a historical question.</w:t>
            </w:r>
          </w:p>
        </w:tc>
        <w:tc>
          <w:tcPr>
            <w:tcW w:type="dxa" w:w="3456"/>
            <w:vAlign w:val="center"/>
            <w:tcMar>
              <w:top w:w="85" w:type="dxa"/>
              <w:bottom w:w="85" w:type="dxa"/>
              <w:left w:w="100" w:type="dxa"/>
              <w:right w:w="100" w:type="dxa"/>
            </w:tcMar>
            <w:shd w:fill="F7F8FA"/>
            <w:tcBorders>
              <w:top w:val="single" w:sz="4" w:color="D9D9D9"/>
              <w:left w:val="single" w:sz="4" w:color="D9D9D9"/>
              <w:bottom w:val="single" w:sz="4" w:color="D9D9D9"/>
              <w:right w:val="single" w:sz="4" w:color="D9D9D9"/>
            </w:tcBorders>
          </w:tcPr>
          <w:p>
            <w:pPr>
              <w:spacing w:after="20" w:line="254" w:lineRule="auto"/>
            </w:pPr>
            <w:r>
              <w:rPr>
                <w:b w:val="0"/>
                <w:sz w:val="19"/>
              </w:rPr>
            </w:r>
            <w:r>
              <w:rPr>
                <w:b w:val="0"/>
                <w:sz w:val="19"/>
              </w:rPr>
              <w:t>“Pharisee” simply means Persian or Persianizer.</w:t>
            </w:r>
          </w:p>
        </w:tc>
      </w:tr>
      <w:tr>
        <w:trPr>
          <w:cantSplit/>
        </w:trPr>
        <w:tc>
          <w:tcPr>
            <w:tcW w:type="dxa" w:w="3240"/>
            <w:vAlign w:val="center"/>
            <w:tcMar>
              <w:top w:w="85" w:type="dxa"/>
              <w:bottom w:w="85" w:type="dxa"/>
              <w:left w:w="100" w:type="dxa"/>
              <w:right w:w="100" w:type="dxa"/>
            </w:tcMar>
            <w:shd w:fill="FFFFFF"/>
            <w:tcBorders>
              <w:top w:val="single" w:sz="4" w:color="D9D9D9"/>
              <w:left w:val="single" w:sz="4" w:color="D9D9D9"/>
              <w:bottom w:val="single" w:sz="4" w:color="D9D9D9"/>
              <w:right w:val="single" w:sz="4" w:color="D9D9D9"/>
            </w:tcBorders>
          </w:tcPr>
          <w:p>
            <w:pPr>
              <w:spacing w:after="20" w:line="254" w:lineRule="auto"/>
            </w:pPr>
            <w:r>
              <w:rPr>
                <w:b w:val="0"/>
                <w:sz w:val="19"/>
              </w:rPr>
            </w:r>
            <w:r>
              <w:rPr>
                <w:b w:val="0"/>
                <w:sz w:val="19"/>
              </w:rPr>
              <w:t>פרס / prs in Persian forms</w:t>
              <w:br/>
              <w:t xml:space="preserve">CAL prsy; Daniel 6:29. </w:t>
            </w:r>
            <w:hyperlink r:id="rId21">
              <w:r>
                <w:rPr>
                  <w:color w:val="184D70"/>
                </w:rPr>
                <w:t>[29]</w:t>
              </w:r>
            </w:hyperlink>
            <w:r>
              <w:rPr>
                <w:b w:val="0"/>
                <w:sz w:val="19"/>
              </w:rPr>
            </w:r>
          </w:p>
        </w:tc>
        <w:tc>
          <w:tcPr>
            <w:tcW w:type="dxa" w:w="3240"/>
            <w:vAlign w:val="center"/>
            <w:tcMar>
              <w:top w:w="85" w:type="dxa"/>
              <w:bottom w:w="85" w:type="dxa"/>
              <w:left w:w="100" w:type="dxa"/>
              <w:right w:w="100" w:type="dxa"/>
            </w:tcMar>
            <w:shd w:fill="FFFFFF"/>
            <w:tcBorders>
              <w:top w:val="single" w:sz="4" w:color="D9D9D9"/>
              <w:left w:val="single" w:sz="4" w:color="D9D9D9"/>
              <w:bottom w:val="single" w:sz="4" w:color="D9D9D9"/>
              <w:right w:val="single" w:sz="4" w:color="D9D9D9"/>
            </w:tcBorders>
          </w:tcPr>
          <w:p>
            <w:pPr>
              <w:spacing w:after="20" w:line="254" w:lineRule="auto"/>
            </w:pPr>
            <w:r>
              <w:rPr>
                <w:b w:val="0"/>
                <w:sz w:val="19"/>
              </w:rPr>
            </w:r>
            <w:r>
              <w:rPr>
                <w:b w:val="0"/>
                <w:sz w:val="19"/>
              </w:rPr>
              <w:t>The Aramaic Persian designation uses s, represented by samekh, distinct from š in the separation family.</w:t>
            </w:r>
          </w:p>
        </w:tc>
        <w:tc>
          <w:tcPr>
            <w:tcW w:type="dxa" w:w="3456"/>
            <w:vAlign w:val="center"/>
            <w:tcMar>
              <w:top w:w="85" w:type="dxa"/>
              <w:bottom w:w="85" w:type="dxa"/>
              <w:left w:w="100" w:type="dxa"/>
              <w:right w:w="100" w:type="dxa"/>
            </w:tcMar>
            <w:shd w:fill="FFFFFF"/>
            <w:tcBorders>
              <w:top w:val="single" w:sz="4" w:color="D9D9D9"/>
              <w:left w:val="single" w:sz="4" w:color="D9D9D9"/>
              <w:bottom w:val="single" w:sz="4" w:color="D9D9D9"/>
              <w:right w:val="single" w:sz="4" w:color="D9D9D9"/>
            </w:tcBorders>
          </w:tcPr>
          <w:p>
            <w:pPr>
              <w:spacing w:after="20" w:line="254" w:lineRule="auto"/>
            </w:pPr>
            <w:r>
              <w:rPr>
                <w:b w:val="0"/>
                <w:sz w:val="19"/>
              </w:rPr>
            </w:r>
            <w:r>
              <w:rPr>
                <w:b w:val="0"/>
                <w:sz w:val="19"/>
              </w:rPr>
              <w:t xml:space="preserve">Visual resemblance in English transliteration proves that the words are identical. The old Persian derivation is disputed, not established. </w:t>
            </w:r>
            <w:hyperlink r:id="rId48">
              <w:r>
                <w:rPr>
                  <w:color w:val="184D70"/>
                </w:rPr>
                <w:t>[31]</w:t>
              </w:r>
            </w:hyperlink>
            <w:r>
              <w:rPr>
                <w:b w:val="0"/>
                <w:sz w:val="19"/>
              </w:rPr>
            </w:r>
          </w:p>
        </w:tc>
      </w:tr>
      <w:tr>
        <w:trPr>
          <w:cantSplit/>
        </w:trPr>
        <w:tc>
          <w:tcPr>
            <w:tcW w:type="dxa" w:w="3240"/>
            <w:vAlign w:val="center"/>
            <w:tcMar>
              <w:top w:w="85" w:type="dxa"/>
              <w:bottom w:w="85" w:type="dxa"/>
              <w:left w:w="100" w:type="dxa"/>
              <w:right w:w="100" w:type="dxa"/>
            </w:tcMar>
            <w:shd w:fill="F7F8FA"/>
            <w:tcBorders>
              <w:top w:val="single" w:sz="4" w:color="D9D9D9"/>
              <w:left w:val="single" w:sz="4" w:color="D9D9D9"/>
              <w:bottom w:val="single" w:sz="4" w:color="D9D9D9"/>
              <w:right w:val="single" w:sz="4" w:color="D9D9D9"/>
            </w:tcBorders>
          </w:tcPr>
          <w:p>
            <w:pPr>
              <w:spacing w:after="20" w:line="254" w:lineRule="auto"/>
            </w:pPr>
            <w:r>
              <w:rPr>
                <w:b w:val="0"/>
                <w:sz w:val="19"/>
              </w:rPr>
            </w:r>
            <w:r>
              <w:rPr>
                <w:b w:val="0"/>
                <w:sz w:val="19"/>
              </w:rPr>
              <w:t>magu and μάγος</w:t>
              <w:br/>
              <w:t xml:space="preserve">Old Persian royal evidence; Greek borrowing. </w:t>
            </w:r>
            <w:hyperlink r:id="rId49">
              <w:r>
                <w:rPr>
                  <w:color w:val="184D70"/>
                </w:rPr>
                <w:t>[32]</w:t>
              </w:r>
            </w:hyperlink>
            <w:r>
              <w:rPr>
                <w:b w:val="0"/>
                <w:sz w:val="19"/>
              </w:rPr>
            </w:r>
          </w:p>
        </w:tc>
        <w:tc>
          <w:tcPr>
            <w:tcW w:type="dxa" w:w="3240"/>
            <w:vAlign w:val="center"/>
            <w:tcMar>
              <w:top w:w="85" w:type="dxa"/>
              <w:bottom w:w="85" w:type="dxa"/>
              <w:left w:w="100" w:type="dxa"/>
              <w:right w:w="100" w:type="dxa"/>
            </w:tcMar>
            <w:shd w:fill="F7F8FA"/>
            <w:tcBorders>
              <w:top w:val="single" w:sz="4" w:color="D9D9D9"/>
              <w:left w:val="single" w:sz="4" w:color="D9D9D9"/>
              <w:bottom w:val="single" w:sz="4" w:color="D9D9D9"/>
              <w:right w:val="single" w:sz="4" w:color="D9D9D9"/>
            </w:tcBorders>
          </w:tcPr>
          <w:p>
            <w:pPr>
              <w:spacing w:after="20" w:line="254" w:lineRule="auto"/>
            </w:pPr>
            <w:r>
              <w:rPr>
                <w:b w:val="0"/>
                <w:sz w:val="19"/>
              </w:rPr>
            </w:r>
            <w:r>
              <w:rPr>
                <w:b w:val="0"/>
                <w:sz w:val="19"/>
              </w:rPr>
              <w:t>A real Iranian-to-Greek lexical connection, with Greek meanings expanding beyond a single Iranian priestly role.</w:t>
            </w:r>
          </w:p>
        </w:tc>
        <w:tc>
          <w:tcPr>
            <w:tcW w:type="dxa" w:w="3456"/>
            <w:vAlign w:val="center"/>
            <w:tcMar>
              <w:top w:w="85" w:type="dxa"/>
              <w:bottom w:w="85" w:type="dxa"/>
              <w:left w:w="100" w:type="dxa"/>
              <w:right w:w="100" w:type="dxa"/>
            </w:tcMar>
            <w:shd w:fill="F7F8FA"/>
            <w:tcBorders>
              <w:top w:val="single" w:sz="4" w:color="D9D9D9"/>
              <w:left w:val="single" w:sz="4" w:color="D9D9D9"/>
              <w:bottom w:val="single" w:sz="4" w:color="D9D9D9"/>
              <w:right w:val="single" w:sz="4" w:color="D9D9D9"/>
            </w:tcBorders>
          </w:tcPr>
          <w:p>
            <w:pPr>
              <w:spacing w:after="20" w:line="254" w:lineRule="auto"/>
            </w:pPr>
            <w:r>
              <w:rPr>
                <w:b w:val="0"/>
                <w:sz w:val="19"/>
              </w:rPr>
            </w:r>
            <w:r>
              <w:rPr>
                <w:b w:val="0"/>
                <w:sz w:val="19"/>
              </w:rPr>
              <w:t>Every person called magos belongs to one organization, or “Magi” and “Chaldeans” are universal synonyms.</w:t>
            </w:r>
          </w:p>
        </w:tc>
      </w:tr>
      <w:tr>
        <w:trPr>
          <w:cantSplit/>
        </w:trPr>
        <w:tc>
          <w:tcPr>
            <w:tcW w:type="dxa" w:w="3240"/>
            <w:vAlign w:val="center"/>
            <w:tcMar>
              <w:top w:w="85" w:type="dxa"/>
              <w:bottom w:w="85" w:type="dxa"/>
              <w:left w:w="100" w:type="dxa"/>
              <w:right w:w="100" w:type="dxa"/>
            </w:tcMar>
            <w:shd w:fill="FFFFFF"/>
            <w:tcBorders>
              <w:top w:val="single" w:sz="4" w:color="D9D9D9"/>
              <w:left w:val="single" w:sz="4" w:color="D9D9D9"/>
              <w:bottom w:val="single" w:sz="4" w:color="D9D9D9"/>
              <w:right w:val="single" w:sz="4" w:color="D9D9D9"/>
            </w:tcBorders>
          </w:tcPr>
          <w:p>
            <w:pPr>
              <w:spacing w:after="20" w:line="254" w:lineRule="auto"/>
            </w:pPr>
            <w:r>
              <w:rPr>
                <w:b w:val="0"/>
                <w:sz w:val="19"/>
              </w:rPr>
            </w:r>
            <w:r>
              <w:rPr>
                <w:b w:val="0"/>
                <w:sz w:val="19"/>
              </w:rPr>
              <w:t>zruuan and Zurvan</w:t>
              <w:br/>
              <w:t xml:space="preserve">Vīdēvdād 19.13 and 19.16; other Avestan passages. </w:t>
            </w:r>
            <w:hyperlink r:id="rId44">
              <w:r>
                <w:rPr>
                  <w:color w:val="184D70"/>
                </w:rPr>
                <w:t>[33]</w:t>
              </w:r>
            </w:hyperlink>
            <w:r>
              <w:rPr>
                <w:b w:val="0"/>
                <w:sz w:val="19"/>
              </w:rPr>
            </w:r>
          </w:p>
        </w:tc>
        <w:tc>
          <w:tcPr>
            <w:tcW w:type="dxa" w:w="3240"/>
            <w:vAlign w:val="center"/>
            <w:tcMar>
              <w:top w:w="85" w:type="dxa"/>
              <w:bottom w:w="85" w:type="dxa"/>
              <w:left w:w="100" w:type="dxa"/>
              <w:right w:w="100" w:type="dxa"/>
            </w:tcMar>
            <w:shd w:fill="FFFFFF"/>
            <w:tcBorders>
              <w:top w:val="single" w:sz="4" w:color="D9D9D9"/>
              <w:left w:val="single" w:sz="4" w:color="D9D9D9"/>
              <w:bottom w:val="single" w:sz="4" w:color="D9D9D9"/>
              <w:right w:val="single" w:sz="4" w:color="D9D9D9"/>
            </w:tcBorders>
          </w:tcPr>
          <w:p>
            <w:pPr>
              <w:spacing w:after="20" w:line="254" w:lineRule="auto"/>
            </w:pPr>
            <w:r>
              <w:rPr>
                <w:b w:val="0"/>
                <w:sz w:val="19"/>
              </w:rPr>
            </w:r>
            <w:r>
              <w:rPr>
                <w:b w:val="0"/>
                <w:sz w:val="19"/>
              </w:rPr>
              <w:t>Time; its characterization depends on accompanying terms. “Boundless” is expressed by an epithet such as akarana.</w:t>
            </w:r>
          </w:p>
        </w:tc>
        <w:tc>
          <w:tcPr>
            <w:tcW w:type="dxa" w:w="3456"/>
            <w:vAlign w:val="center"/>
            <w:tcMar>
              <w:top w:w="85" w:type="dxa"/>
              <w:bottom w:w="85" w:type="dxa"/>
              <w:left w:w="100" w:type="dxa"/>
              <w:right w:w="100" w:type="dxa"/>
            </w:tcMar>
            <w:shd w:fill="FFFFFF"/>
            <w:tcBorders>
              <w:top w:val="single" w:sz="4" w:color="D9D9D9"/>
              <w:left w:val="single" w:sz="4" w:color="D9D9D9"/>
              <w:bottom w:val="single" w:sz="4" w:color="D9D9D9"/>
              <w:right w:val="single" w:sz="4" w:color="D9D9D9"/>
            </w:tcBorders>
          </w:tcPr>
          <w:p>
            <w:pPr>
              <w:spacing w:after="20" w:line="254" w:lineRule="auto"/>
            </w:pPr>
            <w:r>
              <w:rPr>
                <w:b w:val="0"/>
                <w:sz w:val="19"/>
              </w:rPr>
            </w:r>
            <w:r>
              <w:rPr>
                <w:b w:val="0"/>
                <w:sz w:val="19"/>
              </w:rPr>
              <w:t>The root itself always means infinite time, or proves a theology was designed for centralized financial control.</w:t>
            </w:r>
          </w:p>
        </w:tc>
      </w:tr>
      <w:tr>
        <w:trPr>
          <w:cantSplit/>
        </w:trPr>
        <w:tc>
          <w:tcPr>
            <w:tcW w:type="dxa" w:w="3240"/>
            <w:vAlign w:val="center"/>
            <w:tcMar>
              <w:top w:w="85" w:type="dxa"/>
              <w:bottom w:w="85" w:type="dxa"/>
              <w:left w:w="100" w:type="dxa"/>
              <w:right w:w="100" w:type="dxa"/>
            </w:tcMar>
            <w:shd w:fill="F7F8FA"/>
            <w:tcBorders>
              <w:top w:val="single" w:sz="4" w:color="D9D9D9"/>
              <w:left w:val="single" w:sz="4" w:color="D9D9D9"/>
              <w:bottom w:val="single" w:sz="4" w:color="D9D9D9"/>
              <w:right w:val="single" w:sz="4" w:color="D9D9D9"/>
            </w:tcBorders>
          </w:tcPr>
          <w:p>
            <w:pPr>
              <w:spacing w:after="20" w:line="254" w:lineRule="auto"/>
            </w:pPr>
            <w:r>
              <w:rPr>
                <w:b w:val="0"/>
                <w:sz w:val="19"/>
              </w:rPr>
            </w:r>
            <w:r>
              <w:rPr>
                <w:b w:val="0"/>
                <w:sz w:val="19"/>
              </w:rPr>
              <w:t>nēmeq anūti</w:t>
              <w:br/>
              <w:t xml:space="preserve">Babylonian scholarly discourse. </w:t>
            </w:r>
            <w:hyperlink r:id="rId39">
              <w:r>
                <w:rPr>
                  <w:color w:val="184D70"/>
                </w:rPr>
                <w:t>[18]</w:t>
              </w:r>
            </w:hyperlink>
            <w:r>
              <w:rPr>
                <w:b w:val="0"/>
                <w:sz w:val="19"/>
              </w:rPr>
            </w:r>
          </w:p>
        </w:tc>
        <w:tc>
          <w:tcPr>
            <w:tcW w:type="dxa" w:w="3240"/>
            <w:vAlign w:val="center"/>
            <w:tcMar>
              <w:top w:w="85" w:type="dxa"/>
              <w:bottom w:w="85" w:type="dxa"/>
              <w:left w:w="100" w:type="dxa"/>
              <w:right w:w="100" w:type="dxa"/>
            </w:tcMar>
            <w:shd w:fill="F7F8FA"/>
            <w:tcBorders>
              <w:top w:val="single" w:sz="4" w:color="D9D9D9"/>
              <w:left w:val="single" w:sz="4" w:color="D9D9D9"/>
              <w:bottom w:val="single" w:sz="4" w:color="D9D9D9"/>
              <w:right w:val="single" w:sz="4" w:color="D9D9D9"/>
            </w:tcBorders>
          </w:tcPr>
          <w:p>
            <w:pPr>
              <w:spacing w:after="20" w:line="254" w:lineRule="auto"/>
            </w:pPr>
            <w:r>
              <w:rPr>
                <w:b w:val="0"/>
                <w:sz w:val="19"/>
              </w:rPr>
            </w:r>
            <w:r>
              <w:rPr>
                <w:b w:val="0"/>
                <w:sz w:val="19"/>
              </w:rPr>
              <w:t>Rochberg discusses the designation “highest wisdom.” Retain it as a scholarly rendering of elevated intellectual status.</w:t>
            </w:r>
          </w:p>
        </w:tc>
        <w:tc>
          <w:tcPr>
            <w:tcW w:type="dxa" w:w="3456"/>
            <w:vAlign w:val="center"/>
            <w:tcMar>
              <w:top w:w="85" w:type="dxa"/>
              <w:bottom w:w="85" w:type="dxa"/>
              <w:left w:w="100" w:type="dxa"/>
              <w:right w:w="100" w:type="dxa"/>
            </w:tcMar>
            <w:shd w:fill="F7F8FA"/>
            <w:tcBorders>
              <w:top w:val="single" w:sz="4" w:color="D9D9D9"/>
              <w:left w:val="single" w:sz="4" w:color="D9D9D9"/>
              <w:bottom w:val="single" w:sz="4" w:color="D9D9D9"/>
              <w:right w:val="single" w:sz="4" w:color="D9D9D9"/>
            </w:tcBorders>
          </w:tcPr>
          <w:p>
            <w:pPr>
              <w:spacing w:after="20" w:line="254" w:lineRule="auto"/>
            </w:pPr>
            <w:r>
              <w:rPr>
                <w:b w:val="0"/>
                <w:sz w:val="19"/>
              </w:rPr>
            </w:r>
            <w:r>
              <w:rPr>
                <w:b w:val="0"/>
                <w:sz w:val="19"/>
              </w:rPr>
              <w:t>The phrase establishes an actual antediluvian organization or transfers that organization into another culture.</w:t>
            </w:r>
          </w:p>
        </w:tc>
      </w:tr>
    </w:tbl>
    <w:p>
      <w:pPr>
        <w:spacing w:after="20"/>
      </w:pPr>
    </w:p>
    <w:p>
      <w:r>
        <w:t xml:space="preserve">The Cyrus example is a particularly concrete discovery: a Persian ruler can be called christos in a Greek biblical text because of the title’s anointing semantics. It demonstrates why a word must be read in context. It offers no lexical support for a pharmacological theory of the title. </w:t>
      </w:r>
      <w:hyperlink r:id="rId47">
        <w:r>
          <w:rPr>
            <w:color w:val="184D70"/>
          </w:rPr>
          <w:t>[27]</w:t>
        </w:r>
      </w:hyperlink>
      <w:r/>
    </w:p>
    <w:p>
      <w:r>
        <w:t xml:space="preserve">“Eethnic” is retained as your title and analytic term. No ancient etymology for that spelling is established here. Likewise, your Set–Osiris architecture, including the explicitly added characterization of Set, should be marked as your interpretive construction rather than retroactively treated as an attested Egyptian formulation. </w:t>
      </w:r>
      <w:hyperlink r:id="rId25">
        <w:r>
          <w:rPr>
            <w:color w:val="184D70"/>
          </w:rPr>
          <w:t>[U1]</w:t>
        </w:r>
      </w:hyperlink>
      <w:r/>
      <w:hyperlink r:id="rId15">
        <w:r>
          <w:rPr>
            <w:color w:val="184D70"/>
          </w:rPr>
          <w:t>[U2]</w:t>
        </w:r>
      </w:hyperlink>
      <w:r/>
    </w:p>
    <w:p>
      <w:pPr>
        <w:pStyle w:val="Heading1"/>
      </w:pPr>
      <w:r>
        <w:t>Corrections and qualifications for the Babylonian Patch</w:t>
      </w:r>
    </w:p>
    <w:p>
      <w:pPr>
        <w:pStyle w:val="Heading2"/>
      </w:pPr>
      <w:r>
        <w:t>Zurvanism has a real scholarly debate behind it</w:t>
      </w:r>
    </w:p>
    <w:p>
      <w:pPr>
        <w:keepLines/>
      </w:pPr>
      <w:r>
        <w:t xml:space="preserve">Gnoli’s Iranica article supports a model in which contact with Babylonian astral culture helped transform Iranian dualism and encouraged fatalism. That gives part of the Patch a serious scholarly antecedent. It would be inaccurate to dismiss every proposed Babylonian connection as invented. Gnoli nevertheless offers a historical interpretation, not documentary identification of the agents and intentions alleged in the Patch. </w:t>
      </w:r>
      <w:hyperlink r:id="rId24">
        <w:r>
          <w:rPr>
            <w:color w:val="184D70"/>
          </w:rPr>
          <w:t>[35]</w:t>
        </w:r>
      </w:hyperlink>
      <w:r/>
      <w:hyperlink r:id="rId26">
        <w:r>
          <w:rPr>
            <w:color w:val="184D70"/>
          </w:rPr>
          <w:t>[U3]</w:t>
        </w:r>
      </w:hyperlink>
      <w:r/>
    </w:p>
    <w:p>
      <w:r>
        <w:t xml:space="preserve">De Jong questions a distinct Zurvanite movement and the proposed Babylonian or Greek origins. Yet he argues that the myth represented fifth-century Sasanian court theology, citing Ełišē’s account of Mihr-Narseh’s letter urging Armenians to accept Zoroastrianism. This is a specific reported use of theology for imperial purposes. It supports a bounded political connection; it does not establish that Zurvanism became Persia’s state religion immediately after Babylon’s conquest. </w:t>
      </w:r>
      <w:hyperlink r:id="rId23">
        <w:r>
          <w:rPr>
            <w:color w:val="184D70"/>
          </w:rPr>
          <w:t>[34]</w:t>
        </w:r>
      </w:hyperlink>
      <w:r/>
    </w:p>
    <w:p>
      <w:pPr>
        <w:pStyle w:val="Heading2"/>
      </w:pPr>
      <w:r>
        <w:t>The Gathic twins and later Zurvan myth are separate evidential steps</w:t>
      </w:r>
    </w:p>
    <w:p>
      <w:pPr>
        <w:keepLines/>
      </w:pPr>
      <w:r>
        <w:t xml:space="preserve">Yasna 30.3–4 speaks of opposed twin spirits, with the interpretation and relationship to Ahura Mazdā debated. Gnoli distinguishes that problem from the later formulation in which Zurvan fathers Ohrmazd and Ahriman. The Patch should not substitute the later genealogy directly into the Gathic passage or present Ahura Mazdā and Angra Mainyu as an uncontroversial original pair of brothers. A claim about religious transformation requires showing the intervening interpretations. </w:t>
      </w:r>
      <w:hyperlink r:id="rId24">
        <w:r>
          <w:rPr>
            <w:color w:val="184D70"/>
          </w:rPr>
          <w:t>[35]</w:t>
        </w:r>
      </w:hyperlink>
      <w:r/>
    </w:p>
    <w:p>
      <w:pPr>
        <w:pStyle w:val="Heading2"/>
      </w:pPr>
      <w:r>
        <w:t>Loss of evidence does not establish an organized erasure</w:t>
      </w:r>
    </w:p>
    <w:p>
      <w:pPr>
        <w:keepLines/>
      </w:pPr>
      <w:r>
        <w:t xml:space="preserve">De Jong discusses the possibility that late Sasanian theological consolidation helped marginalize Zurvanite formulations. That differs from a demonstrated systematic purge after the Islamic conquest. The Patch’s erasure claim requires manuscript history, explicit condemnations, or institutional evidence specifying who removed what and when. Explaining every absence as successful suppression would make the proposition immune to correction. </w:t>
      </w:r>
      <w:hyperlink r:id="rId23">
        <w:r>
          <w:rPr>
            <w:color w:val="184D70"/>
          </w:rPr>
          <w:t>[34]</w:t>
        </w:r>
      </w:hyperlink>
      <w:r/>
      <w:hyperlink r:id="rId26">
        <w:r>
          <w:rPr>
            <w:color w:val="184D70"/>
          </w:rPr>
          <w:t>[U3]</w:t>
        </w:r>
      </w:hyperlink>
      <w:r/>
    </w:p>
    <w:p>
      <w:pPr>
        <w:pStyle w:val="Heading2"/>
      </w:pPr>
      <w:r>
        <w:t>Greek constructions of Zoroaster supply a stronger case of borrowed authority</w:t>
      </w:r>
    </w:p>
    <w:p>
      <w:pPr>
        <w:keepLines/>
      </w:pPr>
      <w:r>
        <w:t xml:space="preserve">Roger Beck documents Greek representations of Zoroaster and pseudepigraphic writings attributed to him. Such texts are genuine evidence that an authoritative foreign sage could be reconstructed for new audiences. Greek interpretations of the name involving stars belong to that reception history; they are not proof of the name’s original Iranian derivation. </w:t>
      </w:r>
      <w:hyperlink r:id="rId50">
        <w:r>
          <w:rPr>
            <w:color w:val="184D70"/>
          </w:rPr>
          <w:t>[36]</w:t>
        </w:r>
      </w:hyperlink>
      <w:r/>
    </w:p>
    <w:p>
      <w:r>
        <w:t xml:space="preserve">This supports a bounded version of the Patch’s concern with manufactured provenance. A work attributed to a prestigious ancient teacher can authorize later ideas. It does not identify a coordinated Chaldean operation, establish the alleged multilingual production program, or demonstrate that the historical Zoroaster taught the attributed doctrine. The source can be pseudepigraphic without being the product of the particular conspiracy proposed. </w:t>
      </w:r>
      <w:hyperlink r:id="rId50">
        <w:r>
          <w:rPr>
            <w:color w:val="184D70"/>
          </w:rPr>
          <w:t>[36]</w:t>
        </w:r>
      </w:hyperlink>
      <w:r/>
      <w:hyperlink r:id="rId26">
        <w:r>
          <w:rPr>
            <w:color w:val="184D70"/>
          </w:rPr>
          <w:t>[U3]</w:t>
        </w:r>
      </w:hyperlink>
      <w:r/>
    </w:p>
    <w:p>
      <w:pPr>
        <w:pStyle w:val="Heading2"/>
      </w:pPr>
      <w:r>
        <w:t>Temple property does not by itself establish the proposed banking continuity</w:t>
      </w:r>
    </w:p>
    <w:p>
      <w:pPr>
        <w:keepLines/>
      </w:pPr>
      <w:r>
        <w:t xml:space="preserve">Boyce’s account of fire cults documents endowments, land, patronage, and hereditary interests, drawing on legal and epigraphic evidence. This supports the economic importance of religious institutions. The further Patch claims about Jerusalem’s money changers migrating into Sasanian fire temples, mandatory currency conversion, and an equivalent set of exchange tables in 550 CE are not established by that evidence. Each would require contracts, named actors, regulations, or contemporary descriptions. </w:t>
      </w:r>
      <w:hyperlink r:id="rId51">
        <w:r>
          <w:rPr>
            <w:color w:val="184D70"/>
          </w:rPr>
          <w:t>[37]</w:t>
        </w:r>
      </w:hyperlink>
      <w:r/>
      <w:hyperlink r:id="rId26">
        <w:r>
          <w:rPr>
            <w:color w:val="184D70"/>
          </w:rPr>
          <w:t>[U3]</w:t>
        </w:r>
      </w:hyperlink>
      <w:r/>
    </w:p>
    <w:p>
      <w:pPr>
        <w:pStyle w:val="Heading2"/>
      </w:pPr>
      <w:r>
        <w:t>Several compressed origin stories need separate proofs</w:t>
      </w:r>
    </w:p>
    <w:p>
      <w:pPr>
        <w:keepLines/>
      </w:pPr>
      <w:r>
        <w:t xml:space="preserve">The Pharisee/Persian derivation should be removed as a settled premise. Schiffman also places the clearly named Pharisees in the Hasmonaean setting and stresses uncertainty about earlier origins. This prevents a simple lexical shortcut from the exile to later interpretive institutions. The Patch’s assertions of an exclusively Persian origin for afterlife doctrines and a single Babylonian origin for angelology similarly need doctrine-by-doctrine demonstrations; they cannot be established by the name of a group. </w:t>
      </w:r>
      <w:hyperlink r:id="rId22">
        <w:r>
          <w:rPr>
            <w:color w:val="184D70"/>
          </w:rPr>
          <w:t>[30]</w:t>
        </w:r>
      </w:hyperlink>
      <w:r/>
      <w:hyperlink r:id="rId26">
        <w:r>
          <w:rPr>
            <w:color w:val="184D70"/>
          </w:rPr>
          <w:t>[U3]</w:t>
        </w:r>
      </w:hyperlink>
      <w:r/>
    </w:p>
    <w:p>
      <w:r>
        <w:t xml:space="preserve">The description of a rebellion by overworked junior gods should be distinguished from Enūma Eliš’s Marduk–Tiamat conflict. That labor-rebellion opening belongs to Atrahasis; the texts can be compared, but their plots should not be merged into one primary witness. Ramantswana’s comparative discussion explicitly distinguishes them. A political reading becomes stronger when it preserves which text does what. </w:t>
      </w:r>
      <w:hyperlink r:id="rId52">
        <w:r>
          <w:rPr>
            <w:color w:val="184D70"/>
          </w:rPr>
          <w:t>[38]</w:t>
        </w:r>
      </w:hyperlink>
      <w:r/>
    </w:p>
    <w:p>
      <w:r>
        <w:t xml:space="preserve">The document’s claims about the synagogue’s precise exilic invention and pre-exilic “Sadducee-style” organization are not independently established in this investigation. They should remain hypotheses or analogies pending dated evidence. Likewise, recurrent 12/24/360 patterns alone cannot prove one exclusive inventor, one purpose, or one transmitting institution. The calendrical evidence above supplies an actual test case and a real complication. </w:t>
      </w:r>
      <w:hyperlink r:id="rId26">
        <w:r>
          <w:rPr>
            <w:color w:val="184D70"/>
          </w:rPr>
          <w:t>[U3]</w:t>
        </w:r>
      </w:hyperlink>
      <w:r/>
      <w:hyperlink r:id="rId41">
        <w:r>
          <w:rPr>
            <w:color w:val="184D70"/>
          </w:rPr>
          <w:t>[21]</w:t>
        </w:r>
      </w:hyperlink>
      <w:r/>
      <w:hyperlink r:id="rId43">
        <w:r>
          <w:rPr>
            <w:color w:val="184D70"/>
          </w:rPr>
          <w:t>[23]</w:t>
        </w:r>
      </w:hyperlink>
      <w:r/>
    </w:p>
    <w:p>
      <w:pPr>
        <w:pStyle w:val="Heading1"/>
      </w:pPr>
      <w:r>
        <w:t>The strongest defensible synthesis</w:t>
      </w:r>
    </w:p>
    <w:p>
      <w:pPr>
        <w:keepLines/>
      </w:pPr>
      <w:r>
        <w:t>Your three documents can be connected through a historically testable proposition: specialized literate communities could control access to technical and ritual knowledge, attach that knowledge to prestigious ancestors or divine revelation, and use its interpretation within economic and political institutions. Knowledge could then cross cultural boundaries and be recast under different authorities. The evidence supports particular instances and mechanisms; it does not presently support a single covert organization behind them all.</w:t>
      </w:r>
    </w:p>
    <w:p>
      <w:r>
        <w:t xml:space="preserve">The Eethnic shield contributes the criterion for evaluating those mechanisms: when an interpretation fails, does the institution revise the interpretation and change its conduct, or preserve its authority by changing what counts as admissible evidence? Babylonia time supplies better historical anchors than the Patch’s largest origin claims, particularly through contracts, service rosters, and explicit astronomical comparisons. </w:t>
      </w:r>
      <w:hyperlink r:id="rId25">
        <w:r>
          <w:rPr>
            <w:color w:val="184D70"/>
          </w:rPr>
          <w:t>[U1]</w:t>
        </w:r>
      </w:hyperlink>
      <w:r/>
      <w:hyperlink r:id="rId15">
        <w:r>
          <w:rPr>
            <w:color w:val="184D70"/>
          </w:rPr>
          <w:t>[U2]</w:t>
        </w:r>
      </w:hyperlink>
      <w:r/>
      <w:hyperlink r:id="rId26">
        <w:r>
          <w:rPr>
            <w:color w:val="184D70"/>
          </w:rPr>
          <w:t>[U3]</w:t>
        </w:r>
      </w:hyperlink>
      <w:r/>
    </w:p>
    <w:p>
      <w:r>
        <w:t xml:space="preserve">Harland’s treatment of Hellenistic claims of civilizational priority strengthens the connection. Traditions that assign astral learning to Enoch or Abraham compete over the origins and legitimate ownership of wisdom. The opposition between authorized revelation and illicit Watcher instruction belongs to that contest. Such narratives disclose how authority was claimed; they do not certify the legendary attribution as historical fact. </w:t>
      </w:r>
      <w:hyperlink r:id="rId46">
        <w:r>
          <w:rPr>
            <w:color w:val="184D70"/>
          </w:rPr>
          <w:t>[24]</w:t>
        </w:r>
      </w:hyperlink>
      <w:r/>
    </w:p>
    <w:p>
      <w:r>
        <w:t>Hillman’s most productive contribution is therefore a set of questions for classical texts: which substances and ritual acts are actually named, which translations obscure their range, and when does a source authorize or condemn them? The comparison becomes weaker when a genuine drug reference is used to supply all the missing steps between pharmacology, priesthood, calendar administration, and modern power.</w:t>
      </w:r>
    </w:p>
    <w:p>
      <w:r>
        <w:t xml:space="preserve">Your distinction between Babylon as an institutional function and Babylon as an ethnic population should remain explicit. A model of recurring institutional behavior can be compared across settings without assigning inherited culpability or presuming biological continuity. Modern political, abuse-network, and archaic-admixture claims in the source discussions are outside the evidence established by this investigation. </w:t>
      </w:r>
      <w:hyperlink r:id="rId15">
        <w:r>
          <w:rPr>
            <w:color w:val="184D70"/>
          </w:rPr>
          <w:t>[U2]</w:t>
        </w:r>
      </w:hyperlink>
      <w:r/>
      <w:hyperlink r:id="rId26">
        <w:r>
          <w:rPr>
            <w:color w:val="184D70"/>
          </w:rPr>
          <w:t>[U3]</w:t>
        </w:r>
      </w:hyperlink>
      <w:r/>
    </w:p>
    <w:p>
      <w:pPr>
        <w:pStyle w:val="Heading1"/>
      </w:pPr>
      <w:r>
        <w:t>Unresolved questions and the evidence that would answer them</w:t>
      </w:r>
    </w:p>
    <w:tbl>
      <w:tblPr>
        <w:tblW w:type="auto" w:w="0"/>
        <w:jc w:val="center"/>
        <w:tblLayout w:type="fixed"/>
        <w:tblLook w:firstColumn="1" w:firstRow="1" w:lastColumn="0" w:lastRow="0" w:noHBand="0" w:noVBand="1" w:val="04A0"/>
      </w:tblPr>
      <w:tblGrid>
        <w:gridCol w:w="3312"/>
        <w:gridCol w:w="6624"/>
      </w:tblGrid>
      <w:tr>
        <w:trPr>
          <w:cantSplit/>
          <w:tblHeader/>
        </w:trPr>
        <w:tc>
          <w:tcPr>
            <w:tcW w:type="dxa" w:w="3312"/>
            <w:vAlign w:val="center"/>
            <w:tcMar>
              <w:top w:w="85" w:type="dxa"/>
              <w:bottom w:w="85" w:type="dxa"/>
              <w:left w:w="100" w:type="dxa"/>
              <w:right w:w="100" w:type="dxa"/>
            </w:tcMar>
            <w:shd w:fill="E3EAF0"/>
            <w:tcBorders>
              <w:top w:val="single" w:sz="4" w:color="D9D9D9"/>
              <w:left w:val="single" w:sz="4" w:color="D9D9D9"/>
              <w:bottom w:val="single" w:sz="4" w:color="D9D9D9"/>
              <w:right w:val="single" w:sz="4" w:color="D9D9D9"/>
            </w:tcBorders>
          </w:tcPr>
          <w:p>
            <w:pPr>
              <w:spacing w:after="20" w:line="254" w:lineRule="auto"/>
            </w:pPr>
            <w:r>
              <w:rPr>
                <w:b/>
                <w:sz w:val="19"/>
              </w:rPr>
              <w:t>Question</w:t>
            </w:r>
          </w:p>
        </w:tc>
        <w:tc>
          <w:tcPr>
            <w:tcW w:type="dxa" w:w="6624"/>
            <w:vAlign w:val="center"/>
            <w:tcMar>
              <w:top w:w="85" w:type="dxa"/>
              <w:bottom w:w="85" w:type="dxa"/>
              <w:left w:w="100" w:type="dxa"/>
              <w:right w:w="100" w:type="dxa"/>
            </w:tcMar>
            <w:shd w:fill="E3EAF0"/>
            <w:tcBorders>
              <w:top w:val="single" w:sz="4" w:color="D9D9D9"/>
              <w:left w:val="single" w:sz="4" w:color="D9D9D9"/>
              <w:bottom w:val="single" w:sz="4" w:color="D9D9D9"/>
              <w:right w:val="single" w:sz="4" w:color="D9D9D9"/>
            </w:tcBorders>
          </w:tcPr>
          <w:p>
            <w:pPr>
              <w:spacing w:after="20" w:line="254" w:lineRule="auto"/>
            </w:pPr>
            <w:r>
              <w:rPr>
                <w:b/>
                <w:sz w:val="19"/>
              </w:rPr>
              <w:t>Next discriminating evidence</w:t>
            </w:r>
          </w:p>
        </w:tc>
      </w:tr>
      <w:tr>
        <w:trPr>
          <w:cantSplit/>
        </w:trPr>
        <w:tc>
          <w:tcPr>
            <w:tcW w:type="dxa" w:w="3312"/>
            <w:vAlign w:val="center"/>
            <w:tcMar>
              <w:top w:w="85" w:type="dxa"/>
              <w:bottom w:w="85" w:type="dxa"/>
              <w:left w:w="100" w:type="dxa"/>
              <w:right w:w="100" w:type="dxa"/>
            </w:tcMar>
            <w:shd w:fill="FFFFFF"/>
            <w:tcBorders>
              <w:top w:val="single" w:sz="4" w:color="D9D9D9"/>
              <w:left w:val="single" w:sz="4" w:color="D9D9D9"/>
              <w:bottom w:val="single" w:sz="4" w:color="D9D9D9"/>
              <w:right w:val="single" w:sz="4" w:color="D9D9D9"/>
            </w:tcBorders>
          </w:tcPr>
          <w:p>
            <w:pPr>
              <w:spacing w:after="20" w:line="254" w:lineRule="auto"/>
            </w:pPr>
            <w:r>
              <w:rPr>
                <w:b w:val="0"/>
                <w:sz w:val="19"/>
              </w:rPr>
            </w:r>
            <w:r>
              <w:rPr>
                <w:b w:val="0"/>
                <w:sz w:val="19"/>
              </w:rPr>
              <w:t>Which of Hillman’s translations change a historical conclusion?</w:t>
            </w:r>
          </w:p>
        </w:tc>
        <w:tc>
          <w:tcPr>
            <w:tcW w:type="dxa" w:w="6624"/>
            <w:vAlign w:val="center"/>
            <w:tcMar>
              <w:top w:w="85" w:type="dxa"/>
              <w:bottom w:w="85" w:type="dxa"/>
              <w:left w:w="100" w:type="dxa"/>
              <w:right w:w="100" w:type="dxa"/>
            </w:tcMar>
            <w:shd w:fill="FFFFFF"/>
            <w:tcBorders>
              <w:top w:val="single" w:sz="4" w:color="D9D9D9"/>
              <w:left w:val="single" w:sz="4" w:color="D9D9D9"/>
              <w:bottom w:val="single" w:sz="4" w:color="D9D9D9"/>
              <w:right w:val="single" w:sz="4" w:color="D9D9D9"/>
            </w:tcBorders>
          </w:tcPr>
          <w:p>
            <w:pPr>
              <w:spacing w:after="20" w:line="254" w:lineRule="auto"/>
            </w:pPr>
            <w:r>
              <w:rPr>
                <w:b w:val="0"/>
                <w:sz w:val="19"/>
              </w:rPr>
            </w:r>
            <w:r>
              <w:rPr>
                <w:b w:val="0"/>
                <w:sz w:val="19"/>
              </w:rPr>
              <w:t>A passage-level dossier: his exact quotation and page or timestamp, critical Greek/Latin text, textual variants, literal translation, and at least two scholarly discussions. The book and article access limits here should be resolved before claiming a complete audit.</w:t>
            </w:r>
          </w:p>
        </w:tc>
      </w:tr>
      <w:tr>
        <w:trPr>
          <w:cantSplit/>
        </w:trPr>
        <w:tc>
          <w:tcPr>
            <w:tcW w:type="dxa" w:w="3312"/>
            <w:vAlign w:val="center"/>
            <w:tcMar>
              <w:top w:w="85" w:type="dxa"/>
              <w:bottom w:w="85" w:type="dxa"/>
              <w:left w:w="100" w:type="dxa"/>
              <w:right w:w="100" w:type="dxa"/>
            </w:tcMar>
            <w:shd w:fill="F7F8FA"/>
            <w:tcBorders>
              <w:top w:val="single" w:sz="4" w:color="D9D9D9"/>
              <w:left w:val="single" w:sz="4" w:color="D9D9D9"/>
              <w:bottom w:val="single" w:sz="4" w:color="D9D9D9"/>
              <w:right w:val="single" w:sz="4" w:color="D9D9D9"/>
            </w:tcBorders>
          </w:tcPr>
          <w:p>
            <w:pPr>
              <w:spacing w:after="20" w:line="254" w:lineRule="auto"/>
            </w:pPr>
            <w:r>
              <w:rPr>
                <w:b w:val="0"/>
                <w:sz w:val="19"/>
              </w:rPr>
            </w:r>
            <w:r>
              <w:rPr>
                <w:b w:val="0"/>
                <w:sz w:val="19"/>
              </w:rPr>
              <w:t>Did a named Judean learn astronomy from a named Babylonian scholar?</w:t>
            </w:r>
          </w:p>
        </w:tc>
        <w:tc>
          <w:tcPr>
            <w:tcW w:type="dxa" w:w="6624"/>
            <w:vAlign w:val="center"/>
            <w:tcMar>
              <w:top w:w="85" w:type="dxa"/>
              <w:bottom w:w="85" w:type="dxa"/>
              <w:left w:w="100" w:type="dxa"/>
              <w:right w:w="100" w:type="dxa"/>
            </w:tcMar>
            <w:shd w:fill="F7F8FA"/>
            <w:tcBorders>
              <w:top w:val="single" w:sz="4" w:color="D9D9D9"/>
              <w:left w:val="single" w:sz="4" w:color="D9D9D9"/>
              <w:bottom w:val="single" w:sz="4" w:color="D9D9D9"/>
              <w:right w:val="single" w:sz="4" w:color="D9D9D9"/>
            </w:tcBorders>
          </w:tcPr>
          <w:p>
            <w:pPr>
              <w:spacing w:after="20" w:line="254" w:lineRule="auto"/>
            </w:pPr>
            <w:r>
              <w:rPr>
                <w:b w:val="0"/>
                <w:sz w:val="19"/>
              </w:rPr>
            </w:r>
            <w:r>
              <w:rPr>
                <w:b w:val="0"/>
                <w:sz w:val="19"/>
              </w:rPr>
              <w:t>A document identifying instruction, copying, ownership, or professional succession. Shared business acquaintances establish opportunity but do not answer this question.</w:t>
            </w:r>
          </w:p>
        </w:tc>
      </w:tr>
      <w:tr>
        <w:trPr>
          <w:cantSplit/>
        </w:trPr>
        <w:tc>
          <w:tcPr>
            <w:tcW w:type="dxa" w:w="3312"/>
            <w:vAlign w:val="center"/>
            <w:tcMar>
              <w:top w:w="85" w:type="dxa"/>
              <w:bottom w:w="85" w:type="dxa"/>
              <w:left w:w="100" w:type="dxa"/>
              <w:right w:w="100" w:type="dxa"/>
            </w:tcMar>
            <w:shd w:fill="FFFFFF"/>
            <w:tcBorders>
              <w:top w:val="single" w:sz="4" w:color="D9D9D9"/>
              <w:left w:val="single" w:sz="4" w:color="D9D9D9"/>
              <w:bottom w:val="single" w:sz="4" w:color="D9D9D9"/>
              <w:right w:val="single" w:sz="4" w:color="D9D9D9"/>
            </w:tcBorders>
          </w:tcPr>
          <w:p>
            <w:pPr>
              <w:spacing w:after="20" w:line="254" w:lineRule="auto"/>
            </w:pPr>
            <w:r>
              <w:rPr>
                <w:b w:val="0"/>
                <w:sz w:val="19"/>
              </w:rPr>
            </w:r>
            <w:r>
              <w:rPr>
                <w:b w:val="0"/>
                <w:sz w:val="19"/>
              </w:rPr>
              <w:t>What exactly moved into Enochic astronomy?</w:t>
            </w:r>
          </w:p>
        </w:tc>
        <w:tc>
          <w:tcPr>
            <w:tcW w:type="dxa" w:w="6624"/>
            <w:vAlign w:val="center"/>
            <w:tcMar>
              <w:top w:w="85" w:type="dxa"/>
              <w:bottom w:w="85" w:type="dxa"/>
              <w:left w:w="100" w:type="dxa"/>
              <w:right w:w="100" w:type="dxa"/>
            </w:tcMar>
            <w:shd w:fill="FFFFFF"/>
            <w:tcBorders>
              <w:top w:val="single" w:sz="4" w:color="D9D9D9"/>
              <w:left w:val="single" w:sz="4" w:color="D9D9D9"/>
              <w:bottom w:val="single" w:sz="4" w:color="D9D9D9"/>
              <w:right w:val="single" w:sz="4" w:color="D9D9D9"/>
            </w:tcBorders>
          </w:tcPr>
          <w:p>
            <w:pPr>
              <w:spacing w:after="20" w:line="254" w:lineRule="auto"/>
            </w:pPr>
            <w:r>
              <w:rPr>
                <w:b w:val="0"/>
                <w:sz w:val="19"/>
              </w:rPr>
            </w:r>
            <w:r>
              <w:rPr>
                <w:b w:val="0"/>
                <w:sz w:val="19"/>
              </w:rPr>
              <w:t>Compare the numerical and verbal correspondences in the cited EAE, MUL.APIN, and BM witnesses, separating the extant Ethiopic chapter from Aramaic fragments and reconstructed stages.</w:t>
            </w:r>
          </w:p>
        </w:tc>
      </w:tr>
      <w:tr>
        <w:trPr>
          <w:cantSplit/>
        </w:trPr>
        <w:tc>
          <w:tcPr>
            <w:tcW w:type="dxa" w:w="3312"/>
            <w:vAlign w:val="center"/>
            <w:tcMar>
              <w:top w:w="85" w:type="dxa"/>
              <w:bottom w:w="85" w:type="dxa"/>
              <w:left w:w="100" w:type="dxa"/>
              <w:right w:w="100" w:type="dxa"/>
            </w:tcMar>
            <w:shd w:fill="F7F8FA"/>
            <w:tcBorders>
              <w:top w:val="single" w:sz="4" w:color="D9D9D9"/>
              <w:left w:val="single" w:sz="4" w:color="D9D9D9"/>
              <w:bottom w:val="single" w:sz="4" w:color="D9D9D9"/>
              <w:right w:val="single" w:sz="4" w:color="D9D9D9"/>
            </w:tcBorders>
          </w:tcPr>
          <w:p>
            <w:pPr>
              <w:spacing w:after="20" w:line="254" w:lineRule="auto"/>
            </w:pPr>
            <w:r>
              <w:rPr>
                <w:b w:val="0"/>
                <w:sz w:val="19"/>
              </w:rPr>
            </w:r>
            <w:r>
              <w:rPr>
                <w:b w:val="0"/>
                <w:sz w:val="19"/>
              </w:rPr>
              <w:t>When did Zurvanite ideas acquire institutional power?</w:t>
            </w:r>
          </w:p>
        </w:tc>
        <w:tc>
          <w:tcPr>
            <w:tcW w:type="dxa" w:w="6624"/>
            <w:vAlign w:val="center"/>
            <w:tcMar>
              <w:top w:w="85" w:type="dxa"/>
              <w:bottom w:w="85" w:type="dxa"/>
              <w:left w:w="100" w:type="dxa"/>
              <w:right w:w="100" w:type="dxa"/>
            </w:tcMar>
            <w:shd w:fill="F7F8FA"/>
            <w:tcBorders>
              <w:top w:val="single" w:sz="4" w:color="D9D9D9"/>
              <w:left w:val="single" w:sz="4" w:color="D9D9D9"/>
              <w:bottom w:val="single" w:sz="4" w:color="D9D9D9"/>
              <w:right w:val="single" w:sz="4" w:color="D9D9D9"/>
            </w:tcBorders>
          </w:tcPr>
          <w:p>
            <w:pPr>
              <w:spacing w:after="20" w:line="254" w:lineRule="auto"/>
            </w:pPr>
            <w:r>
              <w:rPr>
                <w:b w:val="0"/>
                <w:sz w:val="19"/>
              </w:rPr>
            </w:r>
            <w:r>
              <w:rPr>
                <w:b w:val="0"/>
                <w:sz w:val="19"/>
              </w:rPr>
              <w:t>A dated comparison of Avestan passages, Greek reports, late antique Armenian/Syriac accounts, and Middle Persian texts. Explicitly test the Gnoli and de Jong reconstructions against the same witnesses.</w:t>
            </w:r>
          </w:p>
        </w:tc>
      </w:tr>
      <w:tr>
        <w:trPr>
          <w:cantSplit/>
        </w:trPr>
        <w:tc>
          <w:tcPr>
            <w:tcW w:type="dxa" w:w="3312"/>
            <w:vAlign w:val="center"/>
            <w:tcMar>
              <w:top w:w="85" w:type="dxa"/>
              <w:bottom w:w="85" w:type="dxa"/>
              <w:left w:w="100" w:type="dxa"/>
              <w:right w:w="100" w:type="dxa"/>
            </w:tcMar>
            <w:shd w:fill="FFFFFF"/>
            <w:tcBorders>
              <w:top w:val="single" w:sz="4" w:color="D9D9D9"/>
              <w:left w:val="single" w:sz="4" w:color="D9D9D9"/>
              <w:bottom w:val="single" w:sz="4" w:color="D9D9D9"/>
              <w:right w:val="single" w:sz="4" w:color="D9D9D9"/>
            </w:tcBorders>
          </w:tcPr>
          <w:p>
            <w:pPr>
              <w:spacing w:after="20" w:line="254" w:lineRule="auto"/>
            </w:pPr>
            <w:r>
              <w:rPr>
                <w:b w:val="0"/>
                <w:sz w:val="19"/>
              </w:rPr>
            </w:r>
            <w:r>
              <w:rPr>
                <w:b w:val="0"/>
                <w:sz w:val="19"/>
              </w:rPr>
              <w:t>When did calendar custody become coercive?</w:t>
            </w:r>
          </w:p>
        </w:tc>
        <w:tc>
          <w:tcPr>
            <w:tcW w:type="dxa" w:w="6624"/>
            <w:vAlign w:val="center"/>
            <w:tcMar>
              <w:top w:w="85" w:type="dxa"/>
              <w:bottom w:w="85" w:type="dxa"/>
              <w:left w:w="100" w:type="dxa"/>
              <w:right w:w="100" w:type="dxa"/>
            </w:tcMar>
            <w:shd w:fill="FFFFFF"/>
            <w:tcBorders>
              <w:top w:val="single" w:sz="4" w:color="D9D9D9"/>
              <w:left w:val="single" w:sz="4" w:color="D9D9D9"/>
              <w:bottom w:val="single" w:sz="4" w:color="D9D9D9"/>
              <w:right w:val="single" w:sz="4" w:color="D9D9D9"/>
            </w:tcBorders>
          </w:tcPr>
          <w:p>
            <w:pPr>
              <w:spacing w:after="20" w:line="254" w:lineRule="auto"/>
            </w:pPr>
            <w:r>
              <w:rPr>
                <w:b w:val="0"/>
                <w:sz w:val="19"/>
              </w:rPr>
            </w:r>
            <w:r>
              <w:rPr>
                <w:b w:val="0"/>
                <w:sz w:val="19"/>
              </w:rPr>
              <w:t>Cases documenting a disputed adjustment, affected service or payment rights, the decision maker, and the outcome. This can distinguish correction, administrative convenience, and capture.</w:t>
            </w:r>
          </w:p>
        </w:tc>
      </w:tr>
      <w:tr>
        <w:trPr>
          <w:cantSplit/>
        </w:trPr>
        <w:tc>
          <w:tcPr>
            <w:tcW w:type="dxa" w:w="3312"/>
            <w:vAlign w:val="center"/>
            <w:tcMar>
              <w:top w:w="85" w:type="dxa"/>
              <w:bottom w:w="85" w:type="dxa"/>
              <w:left w:w="100" w:type="dxa"/>
              <w:right w:w="100" w:type="dxa"/>
            </w:tcMar>
            <w:shd w:fill="F7F8FA"/>
            <w:tcBorders>
              <w:top w:val="single" w:sz="4" w:color="D9D9D9"/>
              <w:left w:val="single" w:sz="4" w:color="D9D9D9"/>
              <w:bottom w:val="single" w:sz="4" w:color="D9D9D9"/>
              <w:right w:val="single" w:sz="4" w:color="D9D9D9"/>
            </w:tcBorders>
          </w:tcPr>
          <w:p>
            <w:pPr>
              <w:spacing w:after="20" w:line="254" w:lineRule="auto"/>
            </w:pPr>
            <w:r>
              <w:rPr>
                <w:b w:val="0"/>
                <w:sz w:val="19"/>
              </w:rPr>
            </w:r>
            <w:r>
              <w:rPr>
                <w:b w:val="0"/>
                <w:sz w:val="19"/>
              </w:rPr>
              <w:t>Does BT-10 or BT-11 describe an identifiable organization?</w:t>
            </w:r>
          </w:p>
        </w:tc>
        <w:tc>
          <w:tcPr>
            <w:tcW w:type="dxa" w:w="6624"/>
            <w:vAlign w:val="center"/>
            <w:tcMar>
              <w:top w:w="85" w:type="dxa"/>
              <w:bottom w:w="85" w:type="dxa"/>
              <w:left w:w="100" w:type="dxa"/>
              <w:right w:w="100" w:type="dxa"/>
            </w:tcMar>
            <w:shd w:fill="F7F8FA"/>
            <w:tcBorders>
              <w:top w:val="single" w:sz="4" w:color="D9D9D9"/>
              <w:left w:val="single" w:sz="4" w:color="D9D9D9"/>
              <w:bottom w:val="single" w:sz="4" w:color="D9D9D9"/>
              <w:right w:val="single" w:sz="4" w:color="D9D9D9"/>
            </w:tcBorders>
          </w:tcPr>
          <w:p>
            <w:pPr>
              <w:spacing w:after="20" w:line="254" w:lineRule="auto"/>
            </w:pPr>
            <w:r>
              <w:rPr>
                <w:b w:val="0"/>
                <w:sz w:val="19"/>
              </w:rPr>
            </w:r>
            <w:r>
              <w:rPr>
                <w:b w:val="0"/>
                <w:sz w:val="19"/>
              </w:rPr>
              <w:t>Successive dated evidence for membership, offices, succession, communications, or coordinated action across the proposed transitions. Repeated symbols and similar functions cannot substitute for those links.</w:t>
            </w:r>
          </w:p>
        </w:tc>
      </w:tr>
    </w:tbl>
    <w:p>
      <w:pPr>
        <w:spacing w:after="20"/>
      </w:pPr>
    </w:p>
    <w:p>
      <w:r>
        <w:t>The most valuable immediate extension is a controlled dossier on one Hillman passage and one BT transmission claim. It would let your framework confront a specific chain of evidence, including observations that could force the model to change. That preserves its concern with institutional power while making its historical conclusions more defensible.</w:t>
      </w:r>
    </w:p>
    <w:p>
      <w:r>
        <w:br w:type="page"/>
      </w:r>
    </w:p>
    <w:p>
      <w:pPr>
        <w:pStyle w:val="Heading1"/>
      </w:pPr>
      <w:r>
        <w:t>Sources and access notes</w:t>
      </w:r>
    </w:p>
    <w:p>
      <w:pPr>
        <w:keepLines/>
      </w:pPr>
      <w:r>
        <w:t>All sources were consulted for this investigation on 14 October 2026. Links in the body and the source titles below are clickable. Ancient work and passage numbers are the stable locators; modern web presentation and translation vary. “Inspected” describes the stated accessible material and does not imply examination of an original manuscript or a complete book.</w:t>
      </w:r>
    </w:p>
    <w:p>
      <w:pPr>
        <w:keepLines/>
        <w:spacing w:after="140"/>
      </w:pPr>
      <w:r>
        <w:rPr>
          <w:b/>
          <w:sz w:val="19"/>
        </w:rPr>
        <w:t xml:space="preserve">[U1] </w:t>
      </w:r>
      <w:hyperlink r:id="rId25">
        <w:r>
          <w:rPr>
            <w:color w:val="184D70"/>
          </w:rPr>
          <w:t>The eethnic shield</w:t>
        </w:r>
      </w:hyperlink>
      <w:r>
        <w:rPr>
          <w:sz w:val="19"/>
        </w:rPr>
        <w:t>. User research document. Full accessible text read; discussion of priestly authority, correction, and institutional explanations.</w:t>
      </w:r>
    </w:p>
    <w:p>
      <w:pPr>
        <w:keepLines/>
        <w:spacing w:after="140"/>
      </w:pPr>
      <w:r>
        <w:rPr>
          <w:b/>
          <w:sz w:val="19"/>
        </w:rPr>
        <w:t xml:space="preserve">[U2] </w:t>
      </w:r>
      <w:hyperlink r:id="rId15">
        <w:r>
          <w:rPr>
            <w:color w:val="184D70"/>
          </w:rPr>
          <w:t>Babylonia time</w:t>
        </w:r>
      </w:hyperlink>
      <w:r>
        <w:rPr>
          <w:sz w:val="19"/>
        </w:rPr>
        <w:t>. User research document. Full accessible text read, including BT-01 through BT-11 and subsequent Sippar, Borsippa, calendar, and architectural discussions.</w:t>
      </w:r>
    </w:p>
    <w:p>
      <w:pPr>
        <w:keepLines/>
        <w:spacing w:after="140"/>
      </w:pPr>
      <w:r>
        <w:rPr>
          <w:b/>
          <w:sz w:val="19"/>
        </w:rPr>
        <w:t xml:space="preserve">[U3] </w:t>
      </w:r>
      <w:hyperlink r:id="rId26">
        <w:r>
          <w:rPr>
            <w:color w:val="184D70"/>
          </w:rPr>
          <w:t>The Babylonian Patch</w:t>
        </w:r>
      </w:hyperlink>
      <w:r>
        <w:rPr>
          <w:sz w:val="19"/>
        </w:rPr>
        <w:t>. User research document. Full accessible text read. Historical assertions are audited separately from symbolic interpretation.</w:t>
      </w:r>
    </w:p>
    <w:p>
      <w:pPr>
        <w:keepLines/>
        <w:spacing w:after="140"/>
      </w:pPr>
      <w:r>
        <w:rPr>
          <w:b/>
          <w:sz w:val="19"/>
        </w:rPr>
        <w:t xml:space="preserve">[1] </w:t>
      </w:r>
      <w:hyperlink r:id="rId11">
        <w:r>
          <w:rPr>
            <w:color w:val="184D70"/>
          </w:rPr>
          <w:t>Macmillan author biography for D C A Hillman</w:t>
        </w:r>
      </w:hyperlink>
      <w:r>
        <w:rPr>
          <w:sz w:val="19"/>
        </w:rPr>
        <w:t>. Publisher biography; source for stated degrees, not a university transcript.</w:t>
      </w:r>
    </w:p>
    <w:p>
      <w:pPr>
        <w:keepLines/>
        <w:spacing w:after="140"/>
      </w:pPr>
      <w:r>
        <w:rPr>
          <w:b/>
          <w:sz w:val="19"/>
        </w:rPr>
        <w:t xml:space="preserve">[2] </w:t>
      </w:r>
      <w:hyperlink r:id="rId12">
        <w:r>
          <w:rPr>
            <w:color w:val="184D70"/>
          </w:rPr>
          <w:t>Hillman dissertation catalogue record</w:t>
        </w:r>
      </w:hyperlink>
      <w:r>
        <w:rPr>
          <w:sz w:val="19"/>
        </w:rPr>
        <w:t>. Representations of pharmacy in Roman literature from Cato to Ovid. University of Wisconsin–Madison PhD dissertation, 2004. Catalogue metadata inspected; dissertation not read.</w:t>
      </w:r>
    </w:p>
    <w:p>
      <w:pPr>
        <w:keepLines/>
        <w:spacing w:after="140"/>
      </w:pPr>
      <w:r>
        <w:rPr>
          <w:b/>
          <w:sz w:val="19"/>
        </w:rPr>
        <w:t xml:space="preserve">[3] </w:t>
      </w:r>
      <w:hyperlink r:id="rId13">
        <w:r>
          <w:rPr>
            <w:color w:val="184D70"/>
          </w:rPr>
          <w:t>Hillman 2001 The salamander as a drug in Nicander’s writings</w:t>
        </w:r>
      </w:hyperlink>
      <w:r>
        <w:rPr>
          <w:sz w:val="19"/>
        </w:rPr>
        <w:t>. Pharmacy in History 43(2–3), 93–96. PubMed bibliographic record; full article not accessible in this investigation. JSTOR stable item 41112052.</w:t>
      </w:r>
    </w:p>
    <w:p>
      <w:pPr>
        <w:keepLines/>
        <w:spacing w:after="140"/>
      </w:pPr>
      <w:r>
        <w:rPr>
          <w:b/>
          <w:sz w:val="19"/>
        </w:rPr>
        <w:t xml:space="preserve">[4] </w:t>
      </w:r>
      <w:hyperlink r:id="rId14">
        <w:r>
          <w:rPr>
            <w:color w:val="184D70"/>
          </w:rPr>
          <w:t>Hillman The Chemical Muse</w:t>
        </w:r>
      </w:hyperlink>
      <w:r>
        <w:rPr>
          <w:sz w:val="19"/>
        </w:rPr>
        <w:t>. Macmillan publisher page and accessible promotional/excerpt material. Original book 2008; linked ebook edition 2014. Full book not read.</w:t>
      </w:r>
    </w:p>
    <w:p>
      <w:pPr>
        <w:keepLines/>
        <w:spacing w:after="140"/>
      </w:pPr>
      <w:r>
        <w:rPr>
          <w:b/>
          <w:sz w:val="19"/>
        </w:rPr>
        <w:t xml:space="preserve">[5] </w:t>
      </w:r>
      <w:hyperlink r:id="rId33">
        <w:r>
          <w:rPr>
            <w:color w:val="184D70"/>
          </w:rPr>
          <w:t>Philippe Charlier review of The Chemical Muse</w:t>
        </w:r>
      </w:hyperlink>
      <w:r>
        <w:rPr>
          <w:sz w:val="19"/>
        </w:rPr>
        <w:t>. Bryn Mawr Classical Review 2008.12.29. French review read. Book page references in the report are attributed to this review.</w:t>
      </w:r>
    </w:p>
    <w:p>
      <w:pPr>
        <w:keepLines/>
        <w:spacing w:after="140"/>
      </w:pPr>
      <w:r>
        <w:rPr>
          <w:b/>
          <w:sz w:val="19"/>
        </w:rPr>
        <w:t xml:space="preserve">[6] </w:t>
      </w:r>
      <w:hyperlink r:id="rId27">
        <w:r>
          <w:rPr>
            <w:color w:val="184D70"/>
          </w:rPr>
          <w:t>Hillman Original Sin publisher listing</w:t>
        </w:r>
      </w:hyperlink>
      <w:r>
        <w:rPr>
          <w:sz w:val="19"/>
        </w:rPr>
        <w:t>. Ronin Publishing, 2012. Indexed publisher description consulted; full page retrieval and full book access unavailable.</w:t>
      </w:r>
    </w:p>
    <w:p>
      <w:pPr>
        <w:keepLines/>
        <w:spacing w:after="140"/>
      </w:pPr>
      <w:r>
        <w:rPr>
          <w:b/>
          <w:sz w:val="19"/>
        </w:rPr>
        <w:t xml:space="preserve">[7] </w:t>
      </w:r>
      <w:hyperlink r:id="rId28">
        <w:r>
          <w:rPr>
            <w:color w:val="184D70"/>
          </w:rPr>
          <w:t>Hillman Hermaphrodites Gynomorphs and Jesus</w:t>
        </w:r>
      </w:hyperlink>
      <w:r>
        <w:rPr>
          <w:sz w:val="19"/>
        </w:rPr>
        <w:t>. Ronin Publishing, digital edition 2014. Bibliographic record and publisher synopsis; full book not read.</w:t>
      </w:r>
    </w:p>
    <w:p>
      <w:pPr>
        <w:keepLines/>
        <w:spacing w:after="140"/>
      </w:pPr>
      <w:r>
        <w:rPr>
          <w:b/>
          <w:sz w:val="19"/>
        </w:rPr>
        <w:t xml:space="preserve">[8] </w:t>
      </w:r>
      <w:hyperlink r:id="rId29">
        <w:r>
          <w:rPr>
            <w:color w:val="184D70"/>
          </w:rPr>
          <w:t>Homer Odyssey book 4 lines 219 to 264</w:t>
        </w:r>
      </w:hyperlink>
      <w:r>
        <w:rPr>
          <w:sz w:val="19"/>
        </w:rPr>
        <w:t>. A. T. Murray translation, Perseus. Compare Greek text 4.220: φάρμακον. Primary literary evidence.</w:t>
      </w:r>
    </w:p>
    <w:p>
      <w:pPr>
        <w:keepLines/>
        <w:spacing w:after="140"/>
      </w:pPr>
      <w:r>
        <w:rPr>
          <w:b/>
          <w:sz w:val="19"/>
        </w:rPr>
        <w:t xml:space="preserve">[9] </w:t>
      </w:r>
      <w:hyperlink r:id="rId31">
        <w:r>
          <w:rPr>
            <w:color w:val="184D70"/>
          </w:rPr>
          <w:t>Homeric Hymn to Demeter</w:t>
        </w:r>
      </w:hyperlink>
      <w:r>
        <w:rPr>
          <w:sz w:val="19"/>
        </w:rPr>
        <w:t>. Gregory Nagy translation. Especially lines 205–211 and 476–482. Primary literary evidence.</w:t>
      </w:r>
    </w:p>
    <w:p>
      <w:pPr>
        <w:keepLines/>
        <w:spacing w:after="140"/>
      </w:pPr>
      <w:r>
        <w:rPr>
          <w:b/>
          <w:sz w:val="19"/>
        </w:rPr>
        <w:t xml:space="preserve">[10] </w:t>
      </w:r>
      <w:hyperlink r:id="rId16">
        <w:r>
          <w:rPr>
            <w:color w:val="184D70"/>
          </w:rPr>
          <w:t>Hippocratic On the Sacred Disease</w:t>
        </w:r>
      </w:hyperlink>
      <w:r>
        <w:rPr>
          <w:sz w:val="19"/>
        </w:rPr>
        <w:t>. Francis Adams translation, Internet Classics Archive. Opening discussion of purifiers and explanations of disease. Primary polemical evidence.</w:t>
      </w:r>
    </w:p>
    <w:p>
      <w:pPr>
        <w:keepLines/>
        <w:spacing w:after="140"/>
      </w:pPr>
      <w:r>
        <w:rPr>
          <w:b/>
          <w:sz w:val="19"/>
        </w:rPr>
        <w:t xml:space="preserve">[11] </w:t>
      </w:r>
      <w:hyperlink r:id="rId34">
        <w:r>
          <w:rPr>
            <w:color w:val="184D70"/>
          </w:rPr>
          <w:t>Plato Phaedrus</w:t>
        </w:r>
      </w:hyperlink>
      <w:r>
        <w:rPr>
          <w:sz w:val="19"/>
        </w:rPr>
        <w:t>. Benjamin Jowett translation. Especially 274c–277a, Theuth, Thamus, writing, memory, and knowledge. Primary philosophical evidence.</w:t>
      </w:r>
    </w:p>
    <w:p>
      <w:pPr>
        <w:keepLines/>
        <w:spacing w:after="140"/>
      </w:pPr>
      <w:r>
        <w:rPr>
          <w:b/>
          <w:sz w:val="19"/>
        </w:rPr>
        <w:t xml:space="preserve">[12] </w:t>
      </w:r>
      <w:hyperlink r:id="rId35">
        <w:r>
          <w:rPr>
            <w:color w:val="184D70"/>
          </w:rPr>
          <w:t>Pliny the Elder in Defining Magic</w:t>
        </w:r>
      </w:hyperlink>
      <w:r>
        <w:rPr>
          <w:sz w:val="19"/>
        </w:rPr>
        <w:t>. Bernd-Christian Otto and Michael Stausberg, eds., 2013, chapter 2. Accessible scholarly introduction to Natural History 30.1ff; primary passage identified through this introduction.</w:t>
      </w:r>
    </w:p>
    <w:p>
      <w:pPr>
        <w:keepLines/>
        <w:spacing w:after="140"/>
      </w:pPr>
      <w:r>
        <w:rPr>
          <w:b/>
          <w:sz w:val="19"/>
        </w:rPr>
        <w:t xml:space="preserve">[13] </w:t>
      </w:r>
      <w:hyperlink r:id="rId36">
        <w:r>
          <w:rPr>
            <w:color w:val="184D70"/>
          </w:rPr>
          <w:t>Alexander Jones and John Steele 2018 Diodorus on the Chaldeans</w:t>
        </w:r>
      </w:hyperlink>
      <w:r>
        <w:rPr>
          <w:sz w:val="19"/>
        </w:rPr>
        <w:t>. Open scholarly chapter, pp. 333–352. DOI 10.1163/9789004363380_018. Translation and commentary on Diodorus 2.29–31 inspected.</w:t>
      </w:r>
    </w:p>
    <w:p>
      <w:pPr>
        <w:keepLines/>
        <w:spacing w:after="140"/>
      </w:pPr>
      <w:r>
        <w:rPr>
          <w:b/>
          <w:sz w:val="19"/>
        </w:rPr>
        <w:t xml:space="preserve">[14] </w:t>
      </w:r>
      <w:hyperlink r:id="rId17">
        <w:r>
          <w:rPr>
            <w:color w:val="184D70"/>
          </w:rPr>
          <w:t>Kyprianos manuscript M161</w:t>
        </w:r>
      </w:hyperlink>
      <w:r>
        <w:rPr>
          <w:sz w:val="19"/>
        </w:rPr>
        <w:t>. University of Würzburg database. PGM XIII = GEMF 60 = P.Leid. I 395 = Leiden J 395; Greek codex dated 301–400 CE. Catalogue and contents inspected.</w:t>
      </w:r>
    </w:p>
    <w:p>
      <w:pPr>
        <w:keepLines/>
        <w:spacing w:after="140"/>
      </w:pPr>
      <w:r>
        <w:rPr>
          <w:b/>
          <w:sz w:val="19"/>
        </w:rPr>
        <w:t xml:space="preserve">[15] </w:t>
      </w:r>
      <w:hyperlink r:id="rId18">
        <w:r>
          <w:rPr>
            <w:color w:val="184D70"/>
          </w:rPr>
          <w:t>Matthew Andrews 2026 Eighth Book of Moses and PGM XIII</w:t>
        </w:r>
      </w:hyperlink>
      <w:r>
        <w:rPr>
          <w:sz w:val="19"/>
        </w:rPr>
        <w:t>. Harvard Center for the Study of World Religions, July 8, 2026. Scholarly introduction and references; not a new critical edition.</w:t>
      </w:r>
    </w:p>
    <w:p>
      <w:pPr>
        <w:keepLines/>
        <w:spacing w:after="140"/>
      </w:pPr>
      <w:r>
        <w:rPr>
          <w:b/>
          <w:sz w:val="19"/>
        </w:rPr>
        <w:t xml:space="preserve">[16] </w:t>
      </w:r>
      <w:hyperlink r:id="rId32">
        <w:r>
          <w:rPr>
            <w:color w:val="184D70"/>
          </w:rPr>
          <w:t>Eran Arie Baruch Rosen and Dvory Namdar 2020 Cannabis and Frankincense at the Judahite Shrine of Arad</w:t>
        </w:r>
      </w:hyperlink>
      <w:r>
        <w:rPr>
          <w:sz w:val="19"/>
        </w:rPr>
        <w:t>. Tel Aviv 47(1), 5–28. Published study abstract consulted through Technion and University of Haifa institutional records.</w:t>
      </w:r>
    </w:p>
    <w:p>
      <w:pPr>
        <w:keepLines/>
        <w:spacing w:after="140"/>
      </w:pPr>
      <w:r>
        <w:rPr>
          <w:b/>
          <w:sz w:val="19"/>
        </w:rPr>
        <w:t xml:space="preserve">[17] </w:t>
      </w:r>
      <w:hyperlink r:id="rId37">
        <w:r>
          <w:rPr>
            <w:color w:val="184D70"/>
          </w:rPr>
          <w:t>Revelation 18 verse 23 Greek text</w:t>
        </w:r>
      </w:hyperlink>
      <w:r>
        <w:rPr>
          <w:sz w:val="19"/>
        </w:rPr>
        <w:t>. SBL Greek New Testament text. Primary lexical evidence for φαρμακείᾳ in the Babylon passage.</w:t>
      </w:r>
    </w:p>
    <w:p>
      <w:pPr>
        <w:keepLines/>
        <w:spacing w:after="140"/>
      </w:pPr>
      <w:r>
        <w:rPr>
          <w:b/>
          <w:sz w:val="19"/>
        </w:rPr>
        <w:t xml:space="preserve">[18] </w:t>
      </w:r>
      <w:hyperlink r:id="rId39">
        <w:r>
          <w:rPr>
            <w:color w:val="184D70"/>
          </w:rPr>
          <w:t>Francesca Rochberg 2017 These Bones Live</w:t>
        </w:r>
      </w:hyperlink>
      <w:r>
        <w:rPr>
          <w:sz w:val="19"/>
        </w:rPr>
        <w:t>. KNOW 1(1). DOI 10.1086/692135. Scholarly account of Babylonian sciences, expertise, and learned traditions.</w:t>
      </w:r>
    </w:p>
    <w:p>
      <w:pPr>
        <w:keepLines/>
        <w:spacing w:after="140"/>
      </w:pPr>
      <w:r>
        <w:rPr>
          <w:b/>
          <w:sz w:val="19"/>
        </w:rPr>
        <w:t xml:space="preserve">[19] </w:t>
      </w:r>
      <w:hyperlink r:id="rId40">
        <w:r>
          <w:rPr>
            <w:color w:val="184D70"/>
          </w:rPr>
          <w:t>Kathryn Stevens 2013 Secrets in the Library</w:t>
        </w:r>
      </w:hyperlink>
      <w:r>
        <w:rPr>
          <w:sz w:val="19"/>
        </w:rPr>
        <w:t>. Iraq 75, 211–223. Protected Knowledge and Professional Identity in Late Babylonian Uruk. Publisher abstract consulted.</w:t>
      </w:r>
    </w:p>
    <w:p>
      <w:pPr>
        <w:keepLines/>
        <w:spacing w:after="140"/>
      </w:pPr>
      <w:r>
        <w:rPr>
          <w:b/>
          <w:sz w:val="19"/>
        </w:rPr>
        <w:t xml:space="preserve">[20] </w:t>
      </w:r>
      <w:hyperlink r:id="rId19">
        <w:r>
          <w:rPr>
            <w:color w:val="184D70"/>
          </w:rPr>
          <w:t>Tero Alstola 2020 Judean Merchants in Babylonia</w:t>
        </w:r>
      </w:hyperlink>
      <w:r>
        <w:rPr>
          <w:sz w:val="19"/>
        </w:rPr>
        <w:t>. Chapter 3 of Judeans in Babylonia. Author-uploaded full chapter inspected, especially 3.3.1–3.3.3. Brill book DOI 10.1163/9789004365421.</w:t>
      </w:r>
    </w:p>
    <w:p>
      <w:pPr>
        <w:keepLines/>
        <w:spacing w:after="140"/>
      </w:pPr>
      <w:r>
        <w:rPr>
          <w:b/>
          <w:sz w:val="19"/>
        </w:rPr>
        <w:t xml:space="preserve">[21] </w:t>
      </w:r>
      <w:hyperlink r:id="rId41">
        <w:r>
          <w:rPr>
            <w:color w:val="184D70"/>
          </w:rPr>
          <w:t>Caroline Waerzeggers 2020 Priestly Courses and the Administration of Time in Neo Babylonian Temples</w:t>
        </w:r>
      </w:hyperlink>
      <w:r>
        <w:rPr>
          <w:sz w:val="19"/>
        </w:rPr>
        <w:t>. In Contextualizing Jewish Temples, pp. 23–48. Full author-uploaded chapter inspected via ResearchGate, especially sections 5–7 and BM 77834.</w:t>
      </w:r>
    </w:p>
    <w:p>
      <w:pPr>
        <w:keepLines/>
        <w:spacing w:after="140"/>
      </w:pPr>
      <w:r>
        <w:rPr>
          <w:b/>
          <w:sz w:val="19"/>
        </w:rPr>
        <w:t xml:space="preserve">[22] </w:t>
      </w:r>
      <w:hyperlink r:id="rId42">
        <w:r>
          <w:rPr>
            <w:color w:val="184D70"/>
          </w:rPr>
          <w:t>Henryk Drawnel 2025 The Literary Structure and Schematic Clauses in 1 En 72 verses 8 to 32</w:t>
        </w:r>
      </w:hyperlink>
      <w:r>
        <w:rPr>
          <w:sz w:val="19"/>
        </w:rPr>
        <w:t>. Dead Sea Discoveries 32(1), 45–74; online 2024. Abstract consulted. Comparanda include EAE XIV, BM 17175+17284, and MUL.APIN II i 17.</w:t>
      </w:r>
    </w:p>
    <w:p>
      <w:pPr>
        <w:keepLines/>
        <w:spacing w:after="140"/>
      </w:pPr>
      <w:r>
        <w:rPr>
          <w:b/>
          <w:sz w:val="19"/>
        </w:rPr>
        <w:t xml:space="preserve">[23] </w:t>
      </w:r>
      <w:hyperlink r:id="rId43">
        <w:r>
          <w:rPr>
            <w:color w:val="184D70"/>
          </w:rPr>
          <w:t>Henryk Drawnel 2025 Time Intervals in 1 En 72 verses 8 to 32</w:t>
        </w:r>
      </w:hyperlink>
      <w:r>
        <w:rPr>
          <w:sz w:val="19"/>
        </w:rPr>
        <w:t>. The Biblical Annals 15(4), 671–688. DOI 10.31743/ba.17380. Full article inspected; especially pp. 683–685 and table 5.</w:t>
      </w:r>
    </w:p>
    <w:p>
      <w:pPr>
        <w:keepLines/>
        <w:spacing w:after="140"/>
      </w:pPr>
      <w:r>
        <w:rPr>
          <w:b/>
          <w:sz w:val="19"/>
        </w:rPr>
        <w:t xml:space="preserve">[24] </w:t>
      </w:r>
      <w:hyperlink r:id="rId46">
        <w:r>
          <w:rPr>
            <w:color w:val="184D70"/>
          </w:rPr>
          <w:t>Philip A Harland Subject Peoples and Civilizational Priority</w:t>
        </w:r>
      </w:hyperlink>
      <w:r>
        <w:rPr>
          <w:sz w:val="19"/>
        </w:rPr>
        <w:t>. Harvard Theological Review. Competition among Babylonians, Egyptians, and Judeans in the Hellenistic Era. Scholarly analysis of Enoch, Abraham, astral learning, and claims of priority.</w:t>
      </w:r>
    </w:p>
    <w:p>
      <w:pPr>
        <w:keepLines/>
        <w:spacing w:after="140"/>
      </w:pPr>
      <w:r>
        <w:rPr>
          <w:b/>
          <w:sz w:val="19"/>
        </w:rPr>
        <w:t xml:space="preserve">[25] </w:t>
      </w:r>
      <w:hyperlink r:id="rId30">
        <w:r>
          <w:rPr>
            <w:color w:val="184D70"/>
          </w:rPr>
          <w:t>LSJ entry pharmakon</w:t>
        </w:r>
      </w:hyperlink>
      <w:r>
        <w:rPr>
          <w:sz w:val="19"/>
        </w:rPr>
        <w:t>. Liddell–Scott–Jones Greek–English Lexicon, Scaife/Perseus. Meanings and ancient citations inspected.</w:t>
      </w:r>
    </w:p>
    <w:p>
      <w:pPr>
        <w:keepLines/>
        <w:spacing w:after="140"/>
      </w:pPr>
      <w:r>
        <w:rPr>
          <w:b/>
          <w:sz w:val="19"/>
        </w:rPr>
        <w:t xml:space="preserve">[26] </w:t>
      </w:r>
      <w:hyperlink r:id="rId38">
        <w:r>
          <w:rPr>
            <w:color w:val="184D70"/>
          </w:rPr>
          <w:t>LSJ entry pharmakeia</w:t>
        </w:r>
      </w:hyperlink>
      <w:r>
        <w:rPr>
          <w:sz w:val="19"/>
        </w:rPr>
        <w:t>. Liddell–Scott–Jones Greek–English Lexicon. Drug use, potions, poisoning, and magic meanings require contextual selection.</w:t>
      </w:r>
    </w:p>
    <w:p>
      <w:pPr>
        <w:keepLines/>
        <w:spacing w:after="140"/>
      </w:pPr>
      <w:r>
        <w:rPr>
          <w:b/>
          <w:sz w:val="19"/>
        </w:rPr>
        <w:t xml:space="preserve">[27] </w:t>
      </w:r>
      <w:hyperlink r:id="rId47">
        <w:r>
          <w:rPr>
            <w:color w:val="184D70"/>
          </w:rPr>
          <w:t>LSJ entry christos</w:t>
        </w:r>
      </w:hyperlink>
      <w:r>
        <w:rPr>
          <w:sz w:val="19"/>
        </w:rPr>
        <w:t>. Liddell–Scott–Jones Greek–English Lexicon. Includes Leviticus 4:5 and Isaiah 45:1 among Septuagint attestations.</w:t>
      </w:r>
    </w:p>
    <w:p>
      <w:pPr>
        <w:keepLines/>
        <w:spacing w:after="140"/>
      </w:pPr>
      <w:r>
        <w:rPr>
          <w:b/>
          <w:sz w:val="19"/>
        </w:rPr>
        <w:t xml:space="preserve">[28] </w:t>
      </w:r>
      <w:hyperlink r:id="rId20">
        <w:r>
          <w:rPr>
            <w:color w:val="184D70"/>
          </w:rPr>
          <w:t>Comprehensive Aramaic Lexicon entry pryš</w:t>
        </w:r>
      </w:hyperlink>
      <w:r>
        <w:rPr>
          <w:sz w:val="19"/>
        </w:rPr>
        <w:t>. Hebrew Union College CAL. Distinguished/separate and Pharisee senses, with identifiable Syriac attestations.</w:t>
      </w:r>
    </w:p>
    <w:p>
      <w:pPr>
        <w:keepLines/>
        <w:spacing w:after="140"/>
      </w:pPr>
      <w:r>
        <w:rPr>
          <w:b/>
          <w:sz w:val="19"/>
        </w:rPr>
        <w:t xml:space="preserve">[29] </w:t>
      </w:r>
      <w:hyperlink r:id="rId21">
        <w:r>
          <w:rPr>
            <w:color w:val="184D70"/>
          </w:rPr>
          <w:t>Comprehensive Aramaic Lexicon entry prsy</w:t>
        </w:r>
      </w:hyperlink>
      <w:r>
        <w:rPr>
          <w:sz w:val="19"/>
        </w:rPr>
        <w:t>. CAL entry Persian. Includes Biblical Aramaic Daniel 6:29 in Hebrew numbering, often 6:28 in English.</w:t>
      </w:r>
    </w:p>
    <w:p>
      <w:pPr>
        <w:keepLines/>
        <w:spacing w:after="140"/>
      </w:pPr>
      <w:r>
        <w:rPr>
          <w:b/>
          <w:sz w:val="19"/>
        </w:rPr>
        <w:t xml:space="preserve">[30] </w:t>
      </w:r>
      <w:hyperlink r:id="rId22">
        <w:r>
          <w:rPr>
            <w:color w:val="184D70"/>
          </w:rPr>
          <w:t>Lawrence H Schiffman 1994 Pharisees</w:t>
        </w:r>
      </w:hyperlink>
      <w:r>
        <w:rPr>
          <w:sz w:val="19"/>
        </w:rPr>
        <w:t>. Excerpt from Reclaiming the Dead Sea Scrolls, pp. 76–78. Standard perushim derivation and limits of reconstructing early origins.</w:t>
      </w:r>
    </w:p>
    <w:p>
      <w:pPr>
        <w:keepLines/>
        <w:spacing w:after="140"/>
      </w:pPr>
      <w:r>
        <w:rPr>
          <w:b/>
          <w:sz w:val="19"/>
        </w:rPr>
        <w:t xml:space="preserve">[31] </w:t>
      </w:r>
      <w:hyperlink r:id="rId48">
        <w:r>
          <w:rPr>
            <w:color w:val="184D70"/>
          </w:rPr>
          <w:t>Encyclopedia of the Bible Pharisees</w:t>
        </w:r>
      </w:hyperlink>
      <w:r>
        <w:rPr>
          <w:sz w:val="19"/>
        </w:rPr>
        <w:t>. Reference discussion preserving the alternative Persian derivation associated with T. W. Manson and its criticism. Used only to identify this disputed proposal.</w:t>
      </w:r>
    </w:p>
    <w:p>
      <w:pPr>
        <w:keepLines/>
        <w:spacing w:after="140"/>
      </w:pPr>
      <w:r>
        <w:rPr>
          <w:b/>
          <w:sz w:val="19"/>
        </w:rPr>
        <w:t xml:space="preserve">[32] </w:t>
      </w:r>
      <w:hyperlink r:id="rId49">
        <w:r>
          <w:rPr>
            <w:color w:val="184D70"/>
          </w:rPr>
          <w:t>Encyclopaedia Iranica Magi</w:t>
        </w:r>
      </w:hyperlink>
      <w:r>
        <w:rPr>
          <w:sz w:val="19"/>
        </w:rPr>
        <w:t>. Specialist entry on magu and Greek magos, historical attestations, and changing usage.</w:t>
      </w:r>
    </w:p>
    <w:p>
      <w:pPr>
        <w:keepLines/>
        <w:spacing w:after="140"/>
      </w:pPr>
      <w:r>
        <w:rPr>
          <w:b/>
          <w:sz w:val="19"/>
        </w:rPr>
        <w:t xml:space="preserve">[33] </w:t>
      </w:r>
      <w:hyperlink r:id="rId44">
        <w:r>
          <w:rPr>
            <w:color w:val="184D70"/>
          </w:rPr>
          <w:t>Encyclopaedia Iranica Zurvan</w:t>
        </w:r>
      </w:hyperlink>
      <w:r>
        <w:rPr>
          <w:sz w:val="19"/>
        </w:rPr>
        <w:t>. Specialist entry on Avestan zruuan, time, epithets, and attested passages including Vīdēvdād 19.13 and 19.16.</w:t>
      </w:r>
    </w:p>
    <w:p>
      <w:pPr>
        <w:keepLines/>
        <w:spacing w:after="140"/>
      </w:pPr>
      <w:r>
        <w:rPr>
          <w:b/>
          <w:sz w:val="19"/>
        </w:rPr>
        <w:t xml:space="preserve">[34] </w:t>
      </w:r>
      <w:hyperlink r:id="rId23">
        <w:r>
          <w:rPr>
            <w:color w:val="184D70"/>
          </w:rPr>
          <w:t>Albert de Jong Zurvanism</w:t>
        </w:r>
      </w:hyperlink>
      <w:r>
        <w:rPr>
          <w:sz w:val="19"/>
        </w:rPr>
        <w:t>. Encyclopaedia Iranica. Critical reassessment of Zurvanite myths, proposed origins, late antique evidence, and reconstruction of a separate movement.</w:t>
      </w:r>
    </w:p>
    <w:p>
      <w:pPr>
        <w:keepLines/>
        <w:spacing w:after="140"/>
      </w:pPr>
      <w:r>
        <w:rPr>
          <w:b/>
          <w:sz w:val="19"/>
        </w:rPr>
        <w:t xml:space="preserve">[35] </w:t>
      </w:r>
      <w:hyperlink r:id="rId24">
        <w:r>
          <w:rPr>
            <w:color w:val="184D70"/>
          </w:rPr>
          <w:t>Gherardo Gnoli 1996 Dualism</w:t>
        </w:r>
      </w:hyperlink>
      <w:r>
        <w:rPr>
          <w:sz w:val="19"/>
        </w:rPr>
        <w:t>. Encyclopaedia Iranica VII/6, 576–582. Discusses Yasna 30.3–4 and 47.3 and supports a Babylonian-contact model of Zurvanite development. Read alongside de Jong.</w:t>
      </w:r>
    </w:p>
    <w:p>
      <w:pPr>
        <w:keepLines/>
        <w:spacing w:after="140"/>
      </w:pPr>
      <w:r>
        <w:rPr>
          <w:b/>
          <w:sz w:val="19"/>
        </w:rPr>
        <w:t xml:space="preserve">[36] </w:t>
      </w:r>
      <w:hyperlink r:id="rId50">
        <w:r>
          <w:rPr>
            <w:color w:val="184D70"/>
          </w:rPr>
          <w:t>Roger Beck Zoroaster as perceived by the Greeks</w:t>
        </w:r>
      </w:hyperlink>
      <w:r>
        <w:rPr>
          <w:sz w:val="19"/>
        </w:rPr>
        <w:t>. Encyclopaedia Iranica. Greek constructions of Zoroaster and Zoroastrian pseudepigrapha.</w:t>
      </w:r>
    </w:p>
    <w:p>
      <w:pPr>
        <w:keepLines/>
        <w:spacing w:after="140"/>
      </w:pPr>
      <w:r>
        <w:rPr>
          <w:b/>
          <w:sz w:val="19"/>
        </w:rPr>
        <w:t xml:space="preserve">[37] </w:t>
      </w:r>
      <w:hyperlink r:id="rId51">
        <w:r>
          <w:rPr>
            <w:color w:val="184D70"/>
          </w:rPr>
          <w:t>Mary Boyce Ātaš</w:t>
        </w:r>
      </w:hyperlink>
      <w:r>
        <w:rPr>
          <w:sz w:val="19"/>
        </w:rPr>
        <w:t>. Encyclopaedia Iranica. Fire cult, endowed foundations, and patronage; cites Sasanian legal and epigraphic evidence.</w:t>
      </w:r>
    </w:p>
    <w:p>
      <w:pPr>
        <w:keepLines/>
        <w:spacing w:after="140"/>
      </w:pPr>
      <w:r>
        <w:rPr>
          <w:b/>
          <w:sz w:val="19"/>
        </w:rPr>
        <w:t xml:space="preserve">[38] </w:t>
      </w:r>
      <w:hyperlink r:id="rId52">
        <w:r>
          <w:rPr>
            <w:color w:val="184D70"/>
          </w:rPr>
          <w:t>Hulisani Ramantswana 2014 Conflicts at creation</w:t>
        </w:r>
      </w:hyperlink>
      <w:r>
        <w:rPr>
          <w:sz w:val="19"/>
        </w:rPr>
        <w:t>. Old Testament Essays 27(2). Genesis 1–3 in dialogue with the Psalter. Comparative treatment distinguishes Atrahasis and Enuma Elish.</w:t>
      </w:r>
    </w:p>
    <w:p>
      <w:pPr>
        <w:keepLines/>
        <w:spacing w:after="140"/>
      </w:pPr>
      <w:r>
        <w:rPr>
          <w:b/>
          <w:sz w:val="19"/>
        </w:rPr>
        <w:t xml:space="preserve">[39] </w:t>
      </w:r>
      <w:hyperlink r:id="rId45">
        <w:r>
          <w:rPr>
            <w:color w:val="184D70"/>
          </w:rPr>
          <w:t>Theorization Measurement and Standardization of Calendrical Time</w:t>
        </w:r>
      </w:hyperlink>
      <w:r>
        <w:rPr>
          <w:sz w:val="19"/>
        </w:rPr>
        <w:t>. Oxford scholarly chapter. Accessible passage on adoption of Babylonian calendrical conventions and month names; full chapter not accessed.</w:t>
      </w:r>
    </w:p>
    <w:sectPr w:rsidR="00FC693F" w:rsidRPr="0006063C" w:rsidSect="00034616">
      <w:headerReference w:type="default" r:id="rId9"/>
      <w:footerReference w:type="default" r:id="rId10"/>
      <w:pgSz w:w="12240" w:h="15840"/>
      <w:pgMar w:top="1037" w:right="1152" w:bottom="936" w:left="1152" w:header="403"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Research assessment  •  14 October 2026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r>
      <w:rPr>
        <w:rFonts w:ascii="DejaVu Sans" w:hAnsi="DejaVu Sans"/>
        <w:color w:val="000000"/>
        <w:sz w:val="16"/>
      </w:rPr>
      <w:t>AMMON HILLMAN AND THE BABYLONIAN TIME RESEARCH</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DejaVu Serif" w:hAnsi="DejaVu Serif"/>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40"/>
      <w:outlineLvl w:val="0"/>
    </w:pPr>
    <w:rPr>
      <w:rFonts w:asciiTheme="majorHAnsi" w:eastAsiaTheme="majorEastAsia" w:hAnsiTheme="majorHAnsi" w:cstheme="majorBidi" w:ascii="DejaVu Sans" w:hAnsi="DejaVu Sans"/>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40" w:after="140"/>
      <w:outlineLvl w:val="1"/>
    </w:pPr>
    <w:rPr>
      <w:rFonts w:asciiTheme="majorHAnsi" w:eastAsiaTheme="majorEastAsia" w:hAnsiTheme="majorHAnsi" w:cstheme="majorBidi" w:ascii="DejaVu Sans" w:hAnsi="DejaVu Sans"/>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40" w:lineRule="auto" w:before="0"/>
      <w:contextualSpacing/>
    </w:pPr>
    <w:rPr>
      <w:rFonts w:asciiTheme="majorHAnsi" w:eastAsiaTheme="majorEastAsia" w:hAnsiTheme="majorHAnsi" w:cstheme="majorBidi" w:ascii="DejaVu Sans" w:hAnsi="DejaVu Sans"/>
      <w:b/>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140"/>
    </w:pPr>
    <w:rPr>
      <w:rFonts w:asciiTheme="majorHAnsi" w:eastAsiaTheme="majorEastAsia" w:hAnsiTheme="majorHAnsi" w:cstheme="majorBidi" w:ascii="DejaVu Sans" w:hAnsi="DejaVu Sans"/>
      <w:i w:val="0"/>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line="269" w:lineRule="auto"/>
    </w:pPr>
    <w:rPr>
      <w:rFonts w:ascii="DejaVu Serif" w:hAnsi="DejaVu Serif"/>
      <w:sz w:val="21"/>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us.macmillan.com/author/dcahillman" TargetMode="External"/><Relationship Id="rId12" Type="http://schemas.openxmlformats.org/officeDocument/2006/relationships/hyperlink" Target="https://wellcomecollection.org/works/p7fatzhh" TargetMode="External"/><Relationship Id="rId13" Type="http://schemas.openxmlformats.org/officeDocument/2006/relationships/hyperlink" Target="https://pubmed.ncbi.nlm.nih.gov/11837275/" TargetMode="External"/><Relationship Id="rId14" Type="http://schemas.openxmlformats.org/officeDocument/2006/relationships/hyperlink" Target="https://us.macmillan.com/books/9781466882294/thechemicalmuse/" TargetMode="External"/><Relationship Id="rId15" Type="http://schemas.openxmlformats.org/officeDocument/2006/relationships/hyperlink" Target="https://docs.google.com/document/d/19YRoWokbYqlQQexu_eXXx2nookOqg26LQsl7AScD3tM/edit" TargetMode="External"/><Relationship Id="rId16" Type="http://schemas.openxmlformats.org/officeDocument/2006/relationships/hyperlink" Target="https://classics.mit.edu/Hippocrates/sacred.html" TargetMode="External"/><Relationship Id="rId17" Type="http://schemas.openxmlformats.org/officeDocument/2006/relationships/hyperlink" Target="https://www.coptic-magic.phil.uni-wuerzburg.de/index.php/manuscript/kyp-m161/" TargetMode="External"/><Relationship Id="rId18" Type="http://schemas.openxmlformats.org/officeDocument/2006/relationships/hyperlink" Target="https://cswr.hds.harvard.edu/news/2026/07/08/eighth-book-moses-pgm-xiii" TargetMode="External"/><Relationship Id="rId19" Type="http://schemas.openxmlformats.org/officeDocument/2006/relationships/hyperlink" Target="https://www.researchgate.net/publication/337968615_Judean_Merchants_in_Babylonia" TargetMode="External"/><Relationship Id="rId20" Type="http://schemas.openxmlformats.org/officeDocument/2006/relationships/hyperlink" Target="https://cal.huc.edu/cal_entry_web.php?lemma=pry%24+A" TargetMode="External"/><Relationship Id="rId21" Type="http://schemas.openxmlformats.org/officeDocument/2006/relationships/hyperlink" Target="https://cal.huc.edu/cal_entry_web.php?lemma=prsy+A" TargetMode="External"/><Relationship Id="rId22" Type="http://schemas.openxmlformats.org/officeDocument/2006/relationships/hyperlink" Target="https://cojs.org/Pharisees-_Lawrence_H-_Schiffman-_Reclaiming_the_Dead_Sea_Scrolls-_Jewish_Publication_Society-_Philadelphia-_1994/" TargetMode="External"/><Relationship Id="rId23" Type="http://schemas.openxmlformats.org/officeDocument/2006/relationships/hyperlink" Target="https://www.iranicaonline.org/articles/zurvanism/" TargetMode="External"/><Relationship Id="rId24" Type="http://schemas.openxmlformats.org/officeDocument/2006/relationships/hyperlink" Target="https://www.iranicaonline.org/articles/dualism/" TargetMode="External"/><Relationship Id="rId25" Type="http://schemas.openxmlformats.org/officeDocument/2006/relationships/hyperlink" Target="https://docs.google.com/document/d/1J1g9cS7ZFRmk8YRTb36pNgRt2QUxjFDgzQjdl8gfRdY/edit" TargetMode="External"/><Relationship Id="rId26" Type="http://schemas.openxmlformats.org/officeDocument/2006/relationships/hyperlink" Target="https://docs.google.com/document/d/1IiRgKii91qsgFY75MZBmX62jjDcYulJZYGQuLRsxQmM/edit" TargetMode="External"/><Relationship Id="rId27" Type="http://schemas.openxmlformats.org/officeDocument/2006/relationships/hyperlink" Target="https://www.roninpub.com/orisin.html" TargetMode="External"/><Relationship Id="rId28" Type="http://schemas.openxmlformats.org/officeDocument/2006/relationships/hyperlink" Target="https://books.google.com/books/about/Hermaphrodites_Gynomorphs_and_Jesus.html?id=0aLoBAAAQBAJ" TargetMode="External"/><Relationship Id="rId29" Type="http://schemas.openxmlformats.org/officeDocument/2006/relationships/hyperlink" Target="https://www.perseus.tufts.edu/hopper/text?doc=Perseus%3Atext%3A1999.01.0136%3Abook%3D4%3Acard%3D219" TargetMode="External"/><Relationship Id="rId30" Type="http://schemas.openxmlformats.org/officeDocument/2006/relationships/hyperlink" Target="https://atlas.perseus.tufts.edu/dictionaries/entry/urn:cite2:scaife-viewer:dictionaries.v1:lsj-n110341/" TargetMode="External"/><Relationship Id="rId31" Type="http://schemas.openxmlformats.org/officeDocument/2006/relationships/hyperlink" Target="https://www.uh.edu/~cldue/texts/demeter.html" TargetMode="External"/><Relationship Id="rId32" Type="http://schemas.openxmlformats.org/officeDocument/2006/relationships/hyperlink" Target="https://doi.org/10.1080/03344355.2020.1732046" TargetMode="External"/><Relationship Id="rId33" Type="http://schemas.openxmlformats.org/officeDocument/2006/relationships/hyperlink" Target="https://bmcr.brynmawr.edu/2008/2008.12.29/" TargetMode="External"/><Relationship Id="rId34" Type="http://schemas.openxmlformats.org/officeDocument/2006/relationships/hyperlink" Target="https://classics.mit.edu/Plato/phaedrus.html" TargetMode="External"/><Relationship Id="rId35" Type="http://schemas.openxmlformats.org/officeDocument/2006/relationships/hyperlink" Target="https://www.cambridge.org/core/books/abs/defining-magic/pliny-the-elder/E9952F7E19375E8F5FCD8BB776A55153" TargetMode="External"/><Relationship Id="rId36" Type="http://schemas.openxmlformats.org/officeDocument/2006/relationships/hyperlink" Target="https://archive.nyu.edu/bitstream/2451/63368/2/Jones%20and%20Steele%202018%20Diodorus%20on%20the%20Chaldeans.pdf" TargetMode="External"/><Relationship Id="rId37" Type="http://schemas.openxmlformats.org/officeDocument/2006/relationships/hyperlink" Target="https://www.biblestudytools.com/sblg/revelation/18-23.html" TargetMode="External"/><Relationship Id="rId38" Type="http://schemas.openxmlformats.org/officeDocument/2006/relationships/hyperlink" Target="https://atlas.perseus.tufts.edu/dictionaries/entry/urn:cite2:scaife-viewer:dictionaries.v1:lsj-n110318/" TargetMode="External"/><Relationship Id="rId39" Type="http://schemas.openxmlformats.org/officeDocument/2006/relationships/hyperlink" Target="https://www.journals.uchicago.edu/doi/full/10.1086/692135" TargetMode="External"/><Relationship Id="rId40" Type="http://schemas.openxmlformats.org/officeDocument/2006/relationships/hyperlink" Target="https://www.cambridge.org/core/journals/iraq/article/abs/secrets-in-the-library-protected-knowledge-and-professional-identity-in-late-babylonian-uruk1/174E29531B6978AA8BAF6BFCAD3780AD" TargetMode="External"/><Relationship Id="rId41" Type="http://schemas.openxmlformats.org/officeDocument/2006/relationships/hyperlink" Target="https://doi.org/10.1163/9789004444799_004" TargetMode="External"/><Relationship Id="rId42" Type="http://schemas.openxmlformats.org/officeDocument/2006/relationships/hyperlink" Target="https://doi.org/10.1163/15685179-bja10056" TargetMode="External"/><Relationship Id="rId43" Type="http://schemas.openxmlformats.org/officeDocument/2006/relationships/hyperlink" Target="https://czasopisma.kul.pl/index.php/ba/article/download/17380/16340/105499" TargetMode="External"/><Relationship Id="rId44" Type="http://schemas.openxmlformats.org/officeDocument/2006/relationships/hyperlink" Target="https://www.iranicaonline.org/articles/zurvan-deity/" TargetMode="External"/><Relationship Id="rId45" Type="http://schemas.openxmlformats.org/officeDocument/2006/relationships/hyperlink" Target="https://academic.oup.com/edited-volume/43505/chapter/364127569" TargetMode="External"/><Relationship Id="rId46" Type="http://schemas.openxmlformats.org/officeDocument/2006/relationships/hyperlink" Target="https://www.cambridge.org/core/journals/harvard-theological-review/article/subject-peoples-and-civilizational-priority-competition-among-babylonians-egyptians-and-judeans-in-the-hellenistic-era/B38B6F0483FD5484C7A62E4A35C643A9" TargetMode="External"/><Relationship Id="rId47" Type="http://schemas.openxmlformats.org/officeDocument/2006/relationships/hyperlink" Target="https://atlas.perseus.tufts.edu/dictionaries/entry/urn:cite2:scaife-viewer:dictionaries.v1:lsj-n114725/" TargetMode="External"/><Relationship Id="rId48" Type="http://schemas.openxmlformats.org/officeDocument/2006/relationships/hyperlink" Target="https://www.biblegateway.com/resources/encyclopedia-of-the-bible/Pharisees" TargetMode="External"/><Relationship Id="rId49" Type="http://schemas.openxmlformats.org/officeDocument/2006/relationships/hyperlink" Target="https://www.iranicaonline.org/articles/magi/" TargetMode="External"/><Relationship Id="rId50" Type="http://schemas.openxmlformats.org/officeDocument/2006/relationships/hyperlink" Target="https://www.iranicaonline.org/articles/zoroaster-iv-as-perceived-by-the-greeks/" TargetMode="External"/><Relationship Id="rId51" Type="http://schemas.openxmlformats.org/officeDocument/2006/relationships/hyperlink" Target="https://www.iranicaonline.org/articles/atas-fire/" TargetMode="External"/><Relationship Id="rId52" Type="http://schemas.openxmlformats.org/officeDocument/2006/relationships/hyperlink" Target="https://www.scielo.org.za/scielo.php?pid=S1010-99192014000200014&amp;script=sci_arttex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Ammon Hillman and the Eethnic and Babylonian Time Research</dc:title>
  <dc:subject>Source-linked comparative investigation of ancient languages, ritual, astronomy, and institutional authority</dc:subject>
  <dc:creator>ChatGPT</dc:creator>
  <cp:keywords>Ammon Hillman; Eethnic; Babylonian time; philology; BT ledger</cp:keywords>
  <dc:description>generated by python-docx</dc:description>
  <cp:lastModifiedBy/>
  <cp:revision>1</cp:revision>
  <dcterms:created xsi:type="dcterms:W3CDTF">2013-12-23T23:15:00Z</dcterms:created>
  <dcterms:modified xsi:type="dcterms:W3CDTF">2013-12-23T23:15:00Z</dcterms:modified>
  <cp:category/>
</cp:coreProperties>
</file>