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6"/>
          <w:szCs w:val="56"/>
        </w:rPr>
      </w:pPr>
      <w:r w:rsidDel="00000000" w:rsidR="00000000" w:rsidRPr="00000000">
        <w:rPr>
          <w:sz w:val="56"/>
          <w:szCs w:val="56"/>
          <w:rtl w:val="0"/>
        </w:rPr>
        <w:t xml:space="preserve">Sacred Time and the Authority to Interpret</w:t>
      </w:r>
    </w:p>
    <w:p w:rsidR="00000000" w:rsidDel="00000000" w:rsidP="00000000" w:rsidRDefault="00000000" w:rsidRPr="00000000" w14:paraId="00000002">
      <w:pPr>
        <w:pStyle w:val="Subtitle"/>
        <w:rPr/>
      </w:pPr>
      <w:r w:rsidDel="00000000" w:rsidR="00000000" w:rsidRPr="00000000">
        <w:rPr>
          <w:rtl w:val="0"/>
        </w:rPr>
        <w:t xml:space="preserve">Epiphanius Ammon Hillman Timekeeper and the eethnic shield</w:t>
      </w:r>
    </w:p>
    <w:p w:rsidR="00000000" w:rsidDel="00000000" w:rsidP="00000000" w:rsidRDefault="00000000" w:rsidRPr="00000000" w14:paraId="00000003">
      <w:pPr>
        <w:keepNext w:val="1"/>
        <w:rPr/>
      </w:pPr>
      <w:r w:rsidDel="00000000" w:rsidR="00000000" w:rsidRPr="00000000">
        <w:rPr>
          <w:rFonts w:ascii="Arial" w:cs="Arial" w:eastAsia="Arial" w:hAnsi="Arial"/>
          <w:b w:val="1"/>
          <w:bCs w:val="1"/>
          <w:sz w:val="18"/>
          <w:szCs w:val="18"/>
          <w:rtl w:val="0"/>
        </w:rPr>
        <w:t xml:space="preserve">A working essay for Andrew Dube  •  14 October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calendar tells a community when to act. A ritual tells a person how to pass from one condition to another. An interpreter explains why the appointed time and the prescribed action matter. Put these together and knowledge becomes an organizing power: it can coordinate work, distribute income, authorize worship, and define the route to salvation. The documents gathered here let us watch that process at several scales, from a Babylonian temple roster to a soul speaking at the gates of heaven.</w:t>
      </w:r>
    </w:p>
    <w:p w:rsidR="00000000" w:rsidDel="00000000" w:rsidP="00000000" w:rsidRDefault="00000000" w:rsidRPr="00000000" w14:paraId="00000005">
      <w:pPr>
        <w:rPr/>
      </w:pPr>
      <w:r w:rsidDel="00000000" w:rsidR="00000000" w:rsidRPr="00000000">
        <w:rPr>
          <w:rtl w:val="0"/>
        </w:rPr>
        <w:t xml:space="preserve">Timekeeper is the project’s name for the ordering of cycles and passage. </w:t>
      </w:r>
      <w:hyperlink r:id="rId6">
        <w:r w:rsidDel="00000000" w:rsidR="00000000" w:rsidRPr="00000000">
          <w:rPr>
            <w:color w:val="1155cc"/>
            <w:u w:val="single"/>
            <w:rtl w:val="0"/>
          </w:rPr>
          <w:t xml:space="preserve">The eethnic shield</w:t>
        </w:r>
      </w:hyperlink>
      <w:r w:rsidDel="00000000" w:rsidR="00000000" w:rsidRPr="00000000">
        <w:rPr>
          <w:rtl w:val="0"/>
        </w:rPr>
        <w:t xml:space="preserve"> names the further problem that arises when the authority explaining that order becomes protected from correction. Read together, they ask two connected questions: who controls the conditions of passage, and what happens when someone challenges that control? These are the project’s analytic terms. Their value emerges through the particular calendars, stories, words, and institutional arrangements they help us understand. </w:t>
      </w:r>
      <w:hyperlink r:id="rId7">
        <w:r w:rsidDel="00000000" w:rsidR="00000000" w:rsidRPr="00000000">
          <w:rPr>
            <w:color w:val="1155cc"/>
            <w:u w:val="single"/>
            <w:rtl w:val="0"/>
          </w:rPr>
          <w:t xml:space="preserve">[U1]</w:t>
        </w:r>
      </w:hyperlink>
      <w:hyperlink r:id="rId8">
        <w:r w:rsidDel="00000000" w:rsidR="00000000" w:rsidRPr="00000000">
          <w:rPr>
            <w:color w:val="1155cc"/>
            <w:u w:val="single"/>
            <w:rtl w:val="0"/>
          </w:rPr>
          <w:t xml:space="preserve">[U2]</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Ammon Hillman’s discussions drew attention to the bodily language of ancient religion. Following that language into Epiphanius’s Panarion opens a much larger argument about where life belongs, how it circulates, and who has the right to explain it. Epiphanius, a fourth-century bishop of Salamis, preserves rival teachings inside a sustained attack on them. The resulting text lets us study both a cosmology of captivity and release and the authority that frames its surviving fragments. The Greek below is paired with this essay’s translations; the source guide identifies editions, other ancient witnesses, and the research behind the comparison.</w:t>
      </w: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6400800" cy="7620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80" w:line="26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Overview. Solid arrows follow the cited accounts; dashed links mark the project’s comparison or interpretation. Babylonian service calendars:</w:t>
      </w:r>
      <w:hyperlink r:id="rId10">
        <w:r w:rsidDel="00000000" w:rsidR="00000000" w:rsidRPr="00000000">
          <w:rPr>
            <w:rFonts w:ascii="Arial" w:cs="Arial" w:eastAsia="Arial" w:hAnsi="Arial"/>
            <w:sz w:val="18"/>
            <w:szCs w:val="18"/>
            <w:rtl w:val="0"/>
          </w:rPr>
          <w:t xml:space="preserve"> </w:t>
        </w:r>
      </w:hyperlink>
      <w:hyperlink r:id="rId11">
        <w:r w:rsidDel="00000000" w:rsidR="00000000" w:rsidRPr="00000000">
          <w:rPr>
            <w:rFonts w:ascii="Arial" w:cs="Arial" w:eastAsia="Arial" w:hAnsi="Arial"/>
            <w:color w:val="1155cc"/>
            <w:sz w:val="18"/>
            <w:szCs w:val="18"/>
            <w:u w:val="single"/>
            <w:rtl w:val="0"/>
          </w:rPr>
          <w:t xml:space="preserve">Waerzeggers [21]</w:t>
        </w:r>
      </w:hyperlink>
      <w:r w:rsidDel="00000000" w:rsidR="00000000" w:rsidRPr="00000000">
        <w:rPr>
          <w:rFonts w:ascii="Arial" w:cs="Arial" w:eastAsia="Arial" w:hAnsi="Arial"/>
          <w:sz w:val="18"/>
          <w:szCs w:val="18"/>
          <w:rtl w:val="0"/>
        </w:rPr>
        <w:t xml:space="preserve">. The soul’s passage:</w:t>
      </w:r>
      <w:hyperlink r:id="rId12">
        <w:r w:rsidDel="00000000" w:rsidR="00000000" w:rsidRPr="00000000">
          <w:rPr>
            <w:rFonts w:ascii="Arial" w:cs="Arial" w:eastAsia="Arial" w:hAnsi="Arial"/>
            <w:sz w:val="18"/>
            <w:szCs w:val="18"/>
            <w:rtl w:val="0"/>
          </w:rPr>
          <w:t xml:space="preserve"> </w:t>
        </w:r>
      </w:hyperlink>
      <w:hyperlink r:id="rId13">
        <w:r w:rsidDel="00000000" w:rsidR="00000000" w:rsidRPr="00000000">
          <w:rPr>
            <w:rFonts w:ascii="Arial" w:cs="Arial" w:eastAsia="Arial" w:hAnsi="Arial"/>
            <w:color w:val="1155cc"/>
            <w:sz w:val="18"/>
            <w:szCs w:val="18"/>
            <w:u w:val="single"/>
            <w:rtl w:val="0"/>
          </w:rPr>
          <w:t xml:space="preserve">Panarion 26.9–10 and 13 [S1]</w:t>
        </w:r>
      </w:hyperlink>
      <w:r w:rsidDel="00000000" w:rsidR="00000000" w:rsidRPr="00000000">
        <w:rPr>
          <w:rFonts w:ascii="Arial" w:cs="Arial" w:eastAsia="Arial" w:hAnsi="Arial"/>
          <w:sz w:val="18"/>
          <w:szCs w:val="18"/>
          <w:rtl w:val="0"/>
        </w:rPr>
        <w:t xml:space="preserve">; the year:</w:t>
      </w:r>
      <w:hyperlink r:id="rId14">
        <w:r w:rsidDel="00000000" w:rsidR="00000000" w:rsidRPr="00000000">
          <w:rPr>
            <w:rFonts w:ascii="Arial" w:cs="Arial" w:eastAsia="Arial" w:hAnsi="Arial"/>
            <w:sz w:val="18"/>
            <w:szCs w:val="18"/>
            <w:rtl w:val="0"/>
          </w:rPr>
          <w:t xml:space="preserve"> </w:t>
        </w:r>
      </w:hyperlink>
      <w:hyperlink r:id="rId15">
        <w:r w:rsidDel="00000000" w:rsidR="00000000" w:rsidRPr="00000000">
          <w:rPr>
            <w:rFonts w:ascii="Arial" w:cs="Arial" w:eastAsia="Arial" w:hAnsi="Arial"/>
            <w:color w:val="1155cc"/>
            <w:sz w:val="18"/>
            <w:szCs w:val="18"/>
            <w:u w:val="single"/>
            <w:rtl w:val="0"/>
          </w:rPr>
          <w:t xml:space="preserve">Irenaeus 1.24 [S2]</w:t>
        </w:r>
      </w:hyperlink>
      <w:r w:rsidDel="00000000" w:rsidR="00000000" w:rsidRPr="00000000">
        <w:rPr>
          <w:rFonts w:ascii="Arial" w:cs="Arial" w:eastAsia="Arial" w:hAnsi="Arial"/>
          <w:sz w:val="18"/>
          <w:szCs w:val="18"/>
          <w:rtl w:val="0"/>
        </w:rPr>
        <w:t xml:space="preserve">. Framing rival teaching:</w:t>
      </w:r>
      <w:hyperlink r:id="rId16">
        <w:r w:rsidDel="00000000" w:rsidR="00000000" w:rsidRPr="00000000">
          <w:rPr>
            <w:rFonts w:ascii="Arial" w:cs="Arial" w:eastAsia="Arial" w:hAnsi="Arial"/>
            <w:sz w:val="18"/>
            <w:szCs w:val="18"/>
            <w:rtl w:val="0"/>
          </w:rPr>
          <w:t xml:space="preserve"> </w:t>
        </w:r>
      </w:hyperlink>
      <w:hyperlink r:id="rId17">
        <w:r w:rsidDel="00000000" w:rsidR="00000000" w:rsidRPr="00000000">
          <w:rPr>
            <w:rFonts w:ascii="Arial" w:cs="Arial" w:eastAsia="Arial" w:hAnsi="Arial"/>
            <w:color w:val="1155cc"/>
            <w:sz w:val="18"/>
            <w:szCs w:val="18"/>
            <w:u w:val="single"/>
            <w:rtl w:val="0"/>
          </w:rPr>
          <w:t xml:space="preserve">Panarion 26.14.4–5 [S1]</w:t>
        </w:r>
      </w:hyperlink>
      <w:r w:rsidDel="00000000" w:rsidR="00000000" w:rsidRPr="00000000">
        <w:rPr>
          <w:rFonts w:ascii="Arial" w:cs="Arial" w:eastAsia="Arial" w:hAnsi="Arial"/>
          <w:sz w:val="18"/>
          <w:szCs w:val="18"/>
          <w:rtl w:val="0"/>
        </w:rPr>
        <w:t xml:space="preserve">; project terms:</w:t>
      </w:r>
      <w:hyperlink r:id="rId18">
        <w:r w:rsidDel="00000000" w:rsidR="00000000" w:rsidRPr="00000000">
          <w:rPr>
            <w:rFonts w:ascii="Arial" w:cs="Arial" w:eastAsia="Arial" w:hAnsi="Arial"/>
            <w:sz w:val="18"/>
            <w:szCs w:val="18"/>
            <w:rtl w:val="0"/>
          </w:rPr>
          <w:t xml:space="preserve"> </w:t>
        </w:r>
      </w:hyperlink>
      <w:hyperlink r:id="rId19">
        <w:r w:rsidDel="00000000" w:rsidR="00000000" w:rsidRPr="00000000">
          <w:rPr>
            <w:rFonts w:ascii="Arial" w:cs="Arial" w:eastAsia="Arial" w:hAnsi="Arial"/>
            <w:color w:val="1155cc"/>
            <w:sz w:val="18"/>
            <w:szCs w:val="18"/>
            <w:u w:val="single"/>
            <w:rtl w:val="0"/>
          </w:rPr>
          <w:t xml:space="preserve">[U1]</w:t>
        </w:r>
      </w:hyperlink>
      <w:hyperlink r:id="rId20">
        <w:r w:rsidDel="00000000" w:rsidR="00000000" w:rsidRPr="00000000">
          <w:rPr>
            <w:rFonts w:ascii="Arial" w:cs="Arial" w:eastAsia="Arial" w:hAnsi="Arial"/>
            <w:color w:val="1155cc"/>
            <w:sz w:val="18"/>
            <w:szCs w:val="18"/>
            <w:u w:val="single"/>
            <w:rtl w:val="0"/>
          </w:rPr>
          <w:t xml:space="preserve">[U2]</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09">
      <w:pPr>
        <w:pStyle w:val="Heading1"/>
        <w:rPr/>
      </w:pPr>
      <w:bookmarkStart w:colFirst="0" w:colLast="0" w:name="_dni2qurkf5rw" w:id="0"/>
      <w:bookmarkEnd w:id="0"/>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ot482mi0rsqc" w:id="1"/>
      <w:bookmarkEnd w:id="1"/>
      <w:r w:rsidDel="00000000" w:rsidR="00000000" w:rsidRPr="00000000">
        <w:rPr>
          <w:rtl w:val="0"/>
        </w:rPr>
        <w:t xml:space="preserve">When keeping time becomes organizing life</w:t>
      </w:r>
    </w:p>
    <w:p w:rsidR="00000000" w:rsidDel="00000000" w:rsidP="00000000" w:rsidRDefault="00000000" w:rsidRPr="00000000" w14:paraId="0000000B">
      <w:pPr>
        <w:rPr/>
      </w:pPr>
      <w:r w:rsidDel="00000000" w:rsidR="00000000" w:rsidRPr="00000000">
        <w:rPr>
          <w:rtl w:val="0"/>
        </w:rPr>
        <w:t xml:space="preserve">The clearest starting point is an ordinary institutional task: deciding whose turn it is. Babylonian temples coordinated priestly service through calendars, and those service rights carried income. Caroline Waerzeggers’s study shows how the organization of time could distribute both work and resources. BM 77834 reserves a thirteenth slot for an additional Addaru before the need for that month was known. A calendrical adjustment therefore had an administrative destination already waiting for it. </w:t>
      </w:r>
      <w:hyperlink r:id="rId21">
        <w:r w:rsidDel="00000000" w:rsidR="00000000" w:rsidRPr="00000000">
          <w:rPr>
            <w:color w:val="1155cc"/>
            <w:u w:val="single"/>
            <w:rtl w:val="0"/>
          </w:rPr>
          <w:t xml:space="preserve">[21]</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 discussion of Nabonidus’s reforms in 546 BCE makes the political dimension concrete. New oilpresser priesthoods and service shifts at Ebabbar belonged to a tightening of royal control. The sequence is intelligible: a calendar defines a service period; a service period assigns a right or duty; changing that arrangement changes who serves and who benefits. This is the Timekeeper connection at its most tangible. Timing becomes obligation through a rule, an office, and an allocation. </w:t>
      </w:r>
      <w:hyperlink r:id="rId22">
        <w:r w:rsidDel="00000000" w:rsidR="00000000" w:rsidRPr="00000000">
          <w:rPr>
            <w:color w:val="1155cc"/>
            <w:u w:val="single"/>
            <w:rtl w:val="0"/>
          </w:rPr>
          <w:t xml:space="preserve">[21]</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project archive expresses the question precisely: “who defines the calendar, who sets the ritual window, who interprets time, who turns timing into obligation?” The Babylonian Priesthood Function develops this as custody of time, texts, authorized interpretation, and legitimacy. Those questions invite close attention to the expertise itself. Francesca Rochberg describes sophisticated traditions of observation and learned interpretation; Kathryn Stevens examines protected knowledge and professional identity in late Babylonian Uruk. Intellectual achievement and the social organization of access belong in the same picture. [D2][D4]</w:t>
      </w:r>
      <w:hyperlink r:id="rId23">
        <w:r w:rsidDel="00000000" w:rsidR="00000000" w:rsidRPr="00000000">
          <w:rPr>
            <w:color w:val="1155cc"/>
            <w:u w:val="single"/>
            <w:rtl w:val="0"/>
          </w:rPr>
          <w:t xml:space="preserve">[18]</w:t>
        </w:r>
      </w:hyperlink>
      <w:hyperlink r:id="rId24">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Enochic material shows what transmission can look like when the comparison reaches a specific procedure. Henryk Drawnel compares the eighteen parts of day and night in 1 Enoch 72 with the 360-shekel water-clock scheme in Enūma Anu Enlil XIV. The relation becomes visible by converting the units. </w:t>
      </w:r>
      <w:hyperlink r:id="rId25">
        <w:r w:rsidDel="00000000" w:rsidR="00000000" w:rsidRPr="00000000">
          <w:rPr>
            <w:color w:val="1155cc"/>
            <w:u w:val="single"/>
            <w:rtl w:val="0"/>
          </w:rPr>
          <w:t xml:space="preserve">[22]</w:t>
        </w:r>
      </w:hyperlink>
      <w:hyperlink r:id="rId26">
        <w:r w:rsidDel="00000000" w:rsidR="00000000" w:rsidRPr="00000000">
          <w:rPr>
            <w:color w:val="1155cc"/>
            <w:u w:val="single"/>
            <w:rtl w:val="0"/>
          </w:rPr>
          <w:t xml:space="preserve">[23]</w:t>
        </w:r>
      </w:hyperlink>
      <w:r w:rsidDel="00000000" w:rsidR="00000000" w:rsidRPr="00000000">
        <w:rPr>
          <w:rtl w:val="0"/>
        </w:rPr>
      </w:r>
    </w:p>
    <w:tbl>
      <w:tblPr>
        <w:tblStyle w:val="Table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0"/>
        <w:gridCol w:w="2800"/>
        <w:gridCol w:w="3880"/>
        <w:tblGridChange w:id="0">
          <w:tblGrid>
            <w:gridCol w:w="3400"/>
            <w:gridCol w:w="2800"/>
            <w:gridCol w:w="3880"/>
          </w:tblGrid>
        </w:tblGridChange>
      </w:tblGrid>
      <w:tr>
        <w:trPr>
          <w:cantSplit w:val="1"/>
          <w:tblHeader w:val="1"/>
        </w:trPr>
        <w:tc>
          <w:tcPr>
            <w:shd w:fill="304d59" w:val="clear"/>
            <w:tcMar>
              <w:top w:w="85.0" w:type="dxa"/>
              <w:left w:w="85.0" w:type="dxa"/>
              <w:bottom w:w="85.0" w:type="dxa"/>
              <w:right w:w="85.0" w:type="dxa"/>
            </w:tcMar>
            <w:vAlign w:val="center"/>
          </w:tcPr>
          <w:p w:rsidR="00000000" w:rsidDel="00000000" w:rsidP="00000000" w:rsidRDefault="00000000" w:rsidRPr="00000000" w14:paraId="0000000F">
            <w:pPr>
              <w:spacing w:after="60" w:before="60" w:line="264" w:lineRule="auto"/>
              <w:rPr/>
            </w:pPr>
            <w:r w:rsidDel="00000000" w:rsidR="00000000" w:rsidRPr="00000000">
              <w:rPr>
                <w:b w:val="1"/>
                <w:bCs w:val="1"/>
                <w:color w:val="ffffff"/>
                <w:sz w:val="19"/>
                <w:szCs w:val="19"/>
                <w:rtl w:val="0"/>
              </w:rPr>
              <w:t xml:space="preserve">Quantity in the comparison</w:t>
            </w:r>
            <w:r w:rsidDel="00000000" w:rsidR="00000000" w:rsidRPr="00000000">
              <w:rPr>
                <w:rtl w:val="0"/>
              </w:rPr>
            </w:r>
          </w:p>
        </w:tc>
        <w:tc>
          <w:tcPr>
            <w:shd w:fill="304d59" w:val="clear"/>
            <w:tcMar>
              <w:top w:w="85.0" w:type="dxa"/>
              <w:left w:w="85.0" w:type="dxa"/>
              <w:bottom w:w="85.0" w:type="dxa"/>
              <w:right w:w="85.0" w:type="dxa"/>
            </w:tcMar>
            <w:vAlign w:val="center"/>
          </w:tcPr>
          <w:p w:rsidR="00000000" w:rsidDel="00000000" w:rsidP="00000000" w:rsidRDefault="00000000" w:rsidRPr="00000000" w14:paraId="00000010">
            <w:pPr>
              <w:spacing w:after="60" w:before="60" w:line="264" w:lineRule="auto"/>
              <w:rPr/>
            </w:pPr>
            <w:r w:rsidDel="00000000" w:rsidR="00000000" w:rsidRPr="00000000">
              <w:rPr>
                <w:b w:val="1"/>
                <w:bCs w:val="1"/>
                <w:color w:val="ffffff"/>
                <w:sz w:val="19"/>
                <w:szCs w:val="19"/>
                <w:rtl w:val="0"/>
              </w:rPr>
              <w:t xml:space="preserve">Conversion</w:t>
            </w:r>
            <w:r w:rsidDel="00000000" w:rsidR="00000000" w:rsidRPr="00000000">
              <w:rPr>
                <w:rtl w:val="0"/>
              </w:rPr>
            </w:r>
          </w:p>
        </w:tc>
        <w:tc>
          <w:tcPr>
            <w:shd w:fill="304d59" w:val="clear"/>
            <w:tcMar>
              <w:top w:w="85.0" w:type="dxa"/>
              <w:left w:w="85.0" w:type="dxa"/>
              <w:bottom w:w="85.0" w:type="dxa"/>
              <w:right w:w="85.0" w:type="dxa"/>
            </w:tcMar>
            <w:vAlign w:val="center"/>
          </w:tcPr>
          <w:p w:rsidR="00000000" w:rsidDel="00000000" w:rsidP="00000000" w:rsidRDefault="00000000" w:rsidRPr="00000000" w14:paraId="00000011">
            <w:pPr>
              <w:spacing w:after="60" w:before="60" w:line="264" w:lineRule="auto"/>
              <w:rPr/>
            </w:pPr>
            <w:r w:rsidDel="00000000" w:rsidR="00000000" w:rsidRPr="00000000">
              <w:rPr>
                <w:b w:val="1"/>
                <w:bCs w:val="1"/>
                <w:color w:val="ffffff"/>
                <w:sz w:val="19"/>
                <w:szCs w:val="19"/>
                <w:rtl w:val="0"/>
              </w:rPr>
              <w:t xml:space="preserve">Interpretive significance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2">
            <w:pPr>
              <w:spacing w:after="60" w:before="60" w:line="264" w:lineRule="auto"/>
              <w:rPr/>
            </w:pPr>
            <w:r w:rsidDel="00000000" w:rsidR="00000000" w:rsidRPr="00000000">
              <w:rPr>
                <w:sz w:val="19"/>
                <w:szCs w:val="19"/>
                <w:rtl w:val="0"/>
              </w:rPr>
              <w:t xml:space="preserve">Whole day and night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3">
            <w:pPr>
              <w:spacing w:after="60" w:before="60" w:line="264" w:lineRule="auto"/>
              <w:rPr/>
            </w:pPr>
            <w:r w:rsidDel="00000000" w:rsidR="00000000" w:rsidRPr="00000000">
              <w:rPr>
                <w:sz w:val="19"/>
                <w:szCs w:val="19"/>
                <w:rtl w:val="0"/>
              </w:rPr>
              <w:t xml:space="preserve">360 shekels ÷ 20 = 18 parts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4">
            <w:pPr>
              <w:spacing w:after="60" w:before="60" w:line="264" w:lineRule="auto"/>
              <w:rPr/>
            </w:pPr>
            <w:r w:rsidDel="00000000" w:rsidR="00000000" w:rsidRPr="00000000">
              <w:rPr>
                <w:sz w:val="19"/>
                <w:szCs w:val="19"/>
                <w:rtl w:val="0"/>
              </w:rPr>
              <w:t xml:space="preserve">A common normalization accounts for the different units.</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15">
            <w:pPr>
              <w:spacing w:after="60" w:before="60" w:line="264" w:lineRule="auto"/>
              <w:rPr/>
            </w:pPr>
            <w:r w:rsidDel="00000000" w:rsidR="00000000" w:rsidRPr="00000000">
              <w:rPr>
                <w:sz w:val="19"/>
                <w:szCs w:val="19"/>
                <w:rtl w:val="0"/>
              </w:rPr>
              <w:t xml:space="preserve">One Enochic part</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16">
            <w:pPr>
              <w:spacing w:after="60" w:before="60" w:line="264" w:lineRule="auto"/>
              <w:rPr/>
            </w:pPr>
            <w:r w:rsidDel="00000000" w:rsidR="00000000" w:rsidRPr="00000000">
              <w:rPr>
                <w:sz w:val="19"/>
                <w:szCs w:val="19"/>
                <w:rtl w:val="0"/>
              </w:rPr>
              <w:t xml:space="preserve">20/360 = 1/18</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17">
            <w:pPr>
              <w:spacing w:after="60" w:before="60" w:line="264" w:lineRule="auto"/>
              <w:rPr/>
            </w:pPr>
            <w:r w:rsidDel="00000000" w:rsidR="00000000" w:rsidRPr="00000000">
              <w:rPr>
                <w:sz w:val="19"/>
                <w:szCs w:val="19"/>
                <w:rtl w:val="0"/>
              </w:rPr>
              <w:t xml:space="preserve">Equivalent to 80 modern minutes, as a conversion.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8">
            <w:pPr>
              <w:spacing w:after="60" w:before="60" w:line="264" w:lineRule="auto"/>
              <w:rPr/>
            </w:pPr>
            <w:r w:rsidDel="00000000" w:rsidR="00000000" w:rsidRPr="00000000">
              <w:rPr>
                <w:sz w:val="19"/>
                <w:szCs w:val="19"/>
                <w:rtl w:val="0"/>
              </w:rPr>
              <w:t xml:space="preserve">Two Enochic parts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9">
            <w:pPr>
              <w:spacing w:after="60" w:before="60" w:line="264" w:lineRule="auto"/>
              <w:rPr/>
            </w:pPr>
            <w:r w:rsidDel="00000000" w:rsidR="00000000" w:rsidRPr="00000000">
              <w:rPr>
                <w:sz w:val="19"/>
                <w:szCs w:val="19"/>
                <w:rtl w:val="0"/>
              </w:rPr>
              <w:t xml:space="preserve">40/360 = 1/9</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A">
            <w:pPr>
              <w:spacing w:after="60" w:before="60" w:line="264" w:lineRule="auto"/>
              <w:rPr/>
            </w:pPr>
            <w:r w:rsidDel="00000000" w:rsidR="00000000" w:rsidRPr="00000000">
              <w:rPr>
                <w:sz w:val="19"/>
                <w:szCs w:val="19"/>
                <w:rtl w:val="0"/>
              </w:rPr>
              <w:t xml:space="preserve">The fractional expression can be compared across schemes.</w:t>
            </w:r>
            <w:r w:rsidDel="00000000" w:rsidR="00000000" w:rsidRPr="00000000">
              <w:rPr>
                <w:rtl w:val="0"/>
              </w:rPr>
            </w:r>
          </w:p>
        </w:tc>
      </w:tr>
    </w:tbl>
    <w:p w:rsidR="00000000" w:rsidDel="00000000" w:rsidP="00000000" w:rsidRDefault="00000000" w:rsidRPr="00000000" w14:paraId="0000001B">
      <w:pPr>
        <w:spacing w:after="40" w:line="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correspondence is more informative than a shared sacred number: it concerns a way of expressing intervals. Drawnel also compares schematic clauses with BM 17175+17284 and MUL.APIN. The precise intermediary tablet remains a research question, while the numerical and verbal comparisons give us material to work on. Enochic adaptation also changes the scheme, including the treatment of four additional days. Knowledge travels through selection and revision. </w:t>
      </w:r>
      <w:hyperlink r:id="rId27">
        <w:r w:rsidDel="00000000" w:rsidR="00000000" w:rsidRPr="00000000">
          <w:rPr>
            <w:color w:val="1155cc"/>
            <w:u w:val="single"/>
            <w:rtl w:val="0"/>
          </w:rPr>
          <w:t xml:space="preserve">[22]</w:t>
        </w:r>
      </w:hyperlink>
      <w:hyperlink r:id="rId28">
        <w:r w:rsidDel="00000000" w:rsidR="00000000" w:rsidRPr="00000000">
          <w:rPr>
            <w:color w:val="1155cc"/>
            <w:u w:val="single"/>
            <w:rtl w:val="0"/>
          </w:rPr>
          <w:t xml:space="preserve">[23]</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 combination of continuity and revision matters for the eethnic shield. A calendar can be adjusted in response to observation, and an institution can decide how the consequences of an adjustment are shared. To understand its authority, we follow both processes: what corrects the rule, and who controls the correction? The temple roster and the astronomical scheme give these questions observable forms.</w:t>
      </w:r>
    </w:p>
    <w:p w:rsidR="00000000" w:rsidDel="00000000" w:rsidP="00000000" w:rsidRDefault="00000000" w:rsidRPr="00000000" w14:paraId="0000001E">
      <w:pPr>
        <w:pStyle w:val="Heading1"/>
        <w:rPr>
          <w:sz w:val="38"/>
          <w:szCs w:val="38"/>
        </w:rPr>
      </w:pPr>
      <w:r w:rsidDel="00000000" w:rsidR="00000000" w:rsidRPr="00000000">
        <w:rPr>
          <w:sz w:val="38"/>
          <w:szCs w:val="38"/>
          <w:rtl w:val="0"/>
        </w:rPr>
        <w:t xml:space="preserve">How knowledge travels and gains an ancestral voice</w:t>
      </w:r>
    </w:p>
    <w:p w:rsidR="00000000" w:rsidDel="00000000" w:rsidP="00000000" w:rsidRDefault="00000000" w:rsidRPr="00000000" w14:paraId="0000001F">
      <w:pPr>
        <w:rPr/>
      </w:pPr>
      <w:r w:rsidDel="00000000" w:rsidR="00000000" w:rsidRPr="00000000">
        <w:rPr>
          <w:rtl w:val="0"/>
        </w:rPr>
        <w:t xml:space="preserve">People and documents provide another scale of explanation. At Sippar, Kaššāya’s marriage agreements, BM 68921 and BM 65149, place a Judean family within Babylonian mercantile society. Tero Alstola identifies the groom’s family as mercantile and one witness, Bān-zēri, as a holder of an Ebabbar baker’s prebend. The family shared acquaintances with Marduk-rēmanni; the possible identification of the groom with a Guzānu in his archive remains uncertain. These are specific social connections through which exchange becomes historically imaginable. </w:t>
      </w:r>
      <w:hyperlink r:id="rId29">
        <w:r w:rsidDel="00000000" w:rsidR="00000000" w:rsidRPr="00000000">
          <w:rPr>
            <w:color w:val="1155cc"/>
            <w:u w:val="single"/>
            <w:rtl w:val="0"/>
          </w:rPr>
          <w:t xml:space="preserve">[20]</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Sippar–Ebabbar path ledger follows the same method. Its P007 route runs from Kaššāya through Šūzubu to Marduk-rēmanni. A path through named people helps us ask what moved along it: goods, obligations, documents, professional relationships, or instruction. The Borsippa sēpiru and BM 25563 lead belongs to the next stage of that work, where the cited document must identify what the alphabetic scribe actually did. The ledger’s strength is its ability to turn a large account of cultural contact into questions attached to records. [D3]</w:t>
      </w:r>
      <w:hyperlink r:id="rId30">
        <w:r w:rsidDel="00000000" w:rsidR="00000000" w:rsidRPr="00000000">
          <w:rPr>
            <w:color w:val="1155cc"/>
            <w:u w:val="single"/>
            <w:rtl w:val="0"/>
          </w:rPr>
          <w:t xml:space="preserve">[U2]</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learned tradition can also travel under an ancestral name. Philip Harland’s study of civilizational priority explains how Babylonians, Egyptians, and Judeans competed over the antiquity and rightful ownership of wisdom. Accounts assigning astral learning to Enoch or Abraham make a claim about who may speak for it. The contrast between authorized revelation and illicit Watcher instruction adds a moral distinction: similar domains of knowledge can receive sharply different judgments according to their source and transmission. </w:t>
      </w:r>
      <w:hyperlink r:id="rId31">
        <w:r w:rsidDel="00000000" w:rsidR="00000000" w:rsidRPr="00000000">
          <w:rPr>
            <w:color w:val="1155cc"/>
            <w:u w:val="single"/>
            <w:rtl w:val="0"/>
          </w:rPr>
          <w:t xml:space="preserve">[24]</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Greek and Roman accounts expose this work of interpretation. Diodorus describes Chaldean specialists through Greek categories; Jones and Steele compare his account with cuneiform evidence to identify both correspondences and reshaping. Pliny’s Natural History brings medicine, religion, and astrology together in its explanation of magic, with authorities ranging from Zoroaster to Moses and Greek philosophers. Roger Beck’s work on Greek representations of Zoroaster likewise shows how the name of an ancient foreign sage could authorize teachings for a new audience. Each case makes the interpreter part of the history of the knowledge being described. </w:t>
      </w:r>
      <w:hyperlink r:id="rId32">
        <w:r w:rsidDel="00000000" w:rsidR="00000000" w:rsidRPr="00000000">
          <w:rPr>
            <w:color w:val="1155cc"/>
            <w:u w:val="single"/>
            <w:rtl w:val="0"/>
          </w:rPr>
          <w:t xml:space="preserve">[12]</w:t>
        </w:r>
      </w:hyperlink>
      <w:hyperlink r:id="rId33">
        <w:r w:rsidDel="00000000" w:rsidR="00000000" w:rsidRPr="00000000">
          <w:rPr>
            <w:color w:val="1155cc"/>
            <w:u w:val="single"/>
            <w:rtl w:val="0"/>
          </w:rPr>
          <w:t xml:space="preserve">[13]</w:t>
        </w:r>
      </w:hyperlink>
      <w:hyperlink r:id="rId34">
        <w:r w:rsidDel="00000000" w:rsidR="00000000" w:rsidRPr="00000000">
          <w:rPr>
            <w:color w:val="1155cc"/>
            <w:u w:val="single"/>
            <w:rtl w:val="0"/>
          </w:rPr>
          <w:t xml:space="preserve">[36]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PGM XIII gives this conjunction a physical location. The Würzburg catalogue identifies the fourth-century Greek codex as P.Leid. I 395, now Leiden J 395. It contains versions of the Eighth Book of Moses alongside initiation, divination, and other ritual instructions. Matthew Andrews’s introduction describes a ritual seeking encounter with a supreme god and relief from astral fate, including ingestion of images of the astrological hours. An ancestral authority, embodied action, and cosmic timing meet inside one manuscript tradition. Here the Timekeeper connection concerns a ritual response to fate: the practitioner seeks a changed relationship to the powers that order life. </w:t>
      </w:r>
      <w:hyperlink r:id="rId35">
        <w:r w:rsidDel="00000000" w:rsidR="00000000" w:rsidRPr="00000000">
          <w:rPr>
            <w:color w:val="1155cc"/>
            <w:u w:val="single"/>
            <w:rtl w:val="0"/>
          </w:rPr>
          <w:t xml:space="preserve">[14]</w:t>
        </w:r>
      </w:hyperlink>
      <w:hyperlink r:id="rId36">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24">
      <w:pPr>
        <w:keepNext w:val="0"/>
        <w:spacing w:after="160" w:lineRule="auto"/>
        <w:rPr/>
      </w:pPr>
      <w:r w:rsidDel="00000000" w:rsidR="00000000" w:rsidRPr="00000000">
        <w:rPr>
          <w:rtl w:val="0"/>
        </w:rPr>
        <w:t xml:space="preserve">The Apocryphon of John gives this problem a further textual foothold. Its long recension refers readers to a Book of Zoroaster after the account of bodily makers and passions (NHC II 19.6–10). The title connects its authorization of knowledge to the attributed wisdom discussed by Beck. Whether it names an actual source used by the redactor remains disputed: Waldstein and Wisse argue for borrowing, while Hugo Lundhaug considers a rhetorical or fictional reference possible. Porphyry independently records revelations circulating under Zoroaster’s and Zostrianus’s names, without identifying this particular book. The bridge is an attested strategy of attribution; a specific chain of borrowing still needs demonstration. </w:t>
      </w:r>
      <w:hyperlink r:id="rId37">
        <w:r w:rsidDel="00000000" w:rsidR="00000000" w:rsidRPr="00000000">
          <w:rPr>
            <w:color w:val="1155cc"/>
            <w:u w:val="single"/>
            <w:rtl w:val="0"/>
          </w:rPr>
          <w:t xml:space="preserve">[S3]</w:t>
        </w:r>
      </w:hyperlink>
      <w:hyperlink r:id="rId38">
        <w:r w:rsidDel="00000000" w:rsidR="00000000" w:rsidRPr="00000000">
          <w:rPr>
            <w:color w:val="1155cc"/>
            <w:u w:val="single"/>
            <w:rtl w:val="0"/>
          </w:rPr>
          <w:t xml:space="preserve">[S8]</w:t>
        </w:r>
      </w:hyperlink>
      <w:hyperlink r:id="rId39">
        <w:r w:rsidDel="00000000" w:rsidR="00000000" w:rsidRPr="00000000">
          <w:rPr>
            <w:color w:val="1155cc"/>
            <w:u w:val="single"/>
            <w:rtl w:val="0"/>
          </w:rPr>
          <w:t xml:space="preserve">[36]</w:t>
        </w:r>
      </w:hyperlink>
      <w:r w:rsidDel="00000000" w:rsidR="00000000" w:rsidRPr="00000000">
        <w:rPr>
          <w:rtl w:val="0"/>
        </w:rPr>
      </w:r>
    </w:p>
    <w:p w:rsidR="00000000" w:rsidDel="00000000" w:rsidP="00000000" w:rsidRDefault="00000000" w:rsidRPr="00000000" w14:paraId="00000025">
      <w:pPr>
        <w:rPr/>
      </w:pPr>
      <w:hyperlink r:id="rId40">
        <w:r w:rsidDel="00000000" w:rsidR="00000000" w:rsidRPr="00000000">
          <w:rPr>
            <w:color w:val="1155cc"/>
            <w:u w:val="single"/>
            <w:rtl w:val="0"/>
          </w:rPr>
          <w:t xml:space="preserve">The eethnic shield</w:t>
        </w:r>
      </w:hyperlink>
      <w:r w:rsidDel="00000000" w:rsidR="00000000" w:rsidRPr="00000000">
        <w:rPr>
          <w:rtl w:val="0"/>
        </w:rPr>
        <w:t xml:space="preserve"> becomes relevant when we ask how such authority is kept answerable. Attribution to Moses or Zoroaster tells us how a work presents its legitimacy. Reading the actual instructions tells us what that legitimacy is being used to authorize. Keeping both in view allows us to appreciate the text’s ambitions while still asking fresh questions of it.</w:t>
      </w:r>
    </w:p>
    <w:p w:rsidR="00000000" w:rsidDel="00000000" w:rsidP="00000000" w:rsidRDefault="00000000" w:rsidRPr="00000000" w14:paraId="00000026">
      <w:pPr>
        <w:pStyle w:val="Heading1"/>
        <w:rPr>
          <w:sz w:val="38"/>
          <w:szCs w:val="38"/>
        </w:rPr>
      </w:pPr>
      <w:r w:rsidDel="00000000" w:rsidR="00000000" w:rsidRPr="00000000">
        <w:rPr>
          <w:sz w:val="38"/>
          <w:szCs w:val="38"/>
          <w:rtl w:val="0"/>
        </w:rPr>
        <w:t xml:space="preserve">Hillman and the work of reading bodily language</w:t>
      </w:r>
    </w:p>
    <w:p w:rsidR="00000000" w:rsidDel="00000000" w:rsidP="00000000" w:rsidRDefault="00000000" w:rsidRPr="00000000" w14:paraId="00000027">
      <w:pPr>
        <w:rPr/>
      </w:pPr>
      <w:r w:rsidDel="00000000" w:rsidR="00000000" w:rsidRPr="00000000">
        <w:rPr>
          <w:rtl w:val="0"/>
        </w:rPr>
        <w:t xml:space="preserve">Hillman brings a real classical training to this field. His 2004 Wisconsin–Madison dissertation, Representations of pharmacy in Roman literature from Cato to Ovid, and his 2001 article on the salamander as a drug in Nicander locate his early work in ancient pharmacology and literary interpretation. The Chemical Muse broadens the argument to drugs and classical culture; Original Sin and Hermaphrodites Gynomorphs and Jesus extend his public project toward religious origins. The catalogue records, publication details, and access notes are retained in the source guide. </w:t>
      </w:r>
      <w:hyperlink r:id="rId41">
        <w:r w:rsidDel="00000000" w:rsidR="00000000" w:rsidRPr="00000000">
          <w:rPr>
            <w:color w:val="1155cc"/>
            <w:u w:val="single"/>
            <w:rtl w:val="0"/>
          </w:rPr>
          <w:t xml:space="preserve">[1]</w:t>
        </w:r>
      </w:hyperlink>
      <w:hyperlink r:id="rId42">
        <w:r w:rsidDel="00000000" w:rsidR="00000000" w:rsidRPr="00000000">
          <w:rPr>
            <w:color w:val="1155cc"/>
            <w:u w:val="single"/>
            <w:rtl w:val="0"/>
          </w:rPr>
          <w:t xml:space="preserve">[2]</w:t>
        </w:r>
      </w:hyperlink>
      <w:hyperlink r:id="rId43">
        <w:r w:rsidDel="00000000" w:rsidR="00000000" w:rsidRPr="00000000">
          <w:rPr>
            <w:color w:val="1155cc"/>
            <w:u w:val="single"/>
            <w:rtl w:val="0"/>
          </w:rPr>
          <w:t xml:space="preserve">[3]</w:t>
        </w:r>
      </w:hyperlink>
      <w:hyperlink r:id="rId44">
        <w:r w:rsidDel="00000000" w:rsidR="00000000" w:rsidRPr="00000000">
          <w:rPr>
            <w:color w:val="1155cc"/>
            <w:u w:val="single"/>
            <w:rtl w:val="0"/>
          </w:rPr>
          <w:t xml:space="preserve">[4]</w:t>
        </w:r>
      </w:hyperlink>
      <w:hyperlink r:id="rId45">
        <w:r w:rsidDel="00000000" w:rsidR="00000000" w:rsidRPr="00000000">
          <w:rPr>
            <w:color w:val="1155cc"/>
            <w:u w:val="single"/>
            <w:rtl w:val="0"/>
          </w:rPr>
          <w:t xml:space="preserve">[6]</w:t>
        </w:r>
      </w:hyperlink>
      <w:hyperlink r:id="rId46">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rtl w:val="0"/>
        </w:rPr>
        <w:t xml:space="preserve">His most useful invitation is to take ancient bodily vocabulary seriously. In Odyssey 4, Helen puts a φάρμακον, pharmakon, into wine to relieve grief. The story associates her knowledge with Egypt. The Hymn to Demeter gives a different kind of specificity: water, barley meal, and pennyroyal are named ingredients in the drink. At the Judahite shrine of Arad, the published residue study reports cannabis on one altar and frankincense on another. Literary action, a named recipe, and material residue answer different questions, and together they show how productive a concrete inquiry into substances can be. </w:t>
      </w:r>
      <w:hyperlink r:id="rId47">
        <w:r w:rsidDel="00000000" w:rsidR="00000000" w:rsidRPr="00000000">
          <w:rPr>
            <w:color w:val="1155cc"/>
            <w:u w:val="single"/>
            <w:rtl w:val="0"/>
          </w:rPr>
          <w:t xml:space="preserve">[8]</w:t>
        </w:r>
      </w:hyperlink>
      <w:hyperlink r:id="rId48">
        <w:r w:rsidDel="00000000" w:rsidR="00000000" w:rsidRPr="00000000">
          <w:rPr>
            <w:color w:val="1155cc"/>
            <w:u w:val="single"/>
            <w:rtl w:val="0"/>
          </w:rPr>
          <w:t xml:space="preserve">[9]</w:t>
        </w:r>
      </w:hyperlink>
      <w:hyperlink r:id="rId49">
        <w:r w:rsidDel="00000000" w:rsidR="00000000" w:rsidRPr="00000000">
          <w:rPr>
            <w:color w:val="1155cc"/>
            <w:u w:val="single"/>
            <w:rtl w:val="0"/>
          </w:rPr>
          <w:t xml:space="preserve">[16]</w:t>
        </w:r>
      </w:hyperlink>
      <w:hyperlink r:id="rId50">
        <w:r w:rsidDel="00000000" w:rsidR="00000000" w:rsidRPr="00000000">
          <w:rPr>
            <w:color w:val="1155cc"/>
            <w:u w:val="single"/>
            <w:rtl w:val="0"/>
          </w:rPr>
          <w:t xml:space="preserve">[25]</w:t>
        </w:r>
      </w:hyperlink>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rtl w:val="0"/>
        </w:rPr>
        <w:t xml:space="preserve">A Greek word becomes informative through its sentence. φάρμακον can concern a drug, remedy, or poison; Plato uses it in the Phaedrus discussion of writing and memory. φαρμακεία has a range including drug-related and magical practice. Revelation 18:23 uses its dative form, φαρμακείᾳ, in the accusation that Babylon deceives the nations. χριστός carries the sense of anointed: the Greek of Isaiah 45:1 applies it to Cyrus. Context tells us which part of a word’s range is active and what an author is doing with it. </w:t>
      </w:r>
      <w:hyperlink r:id="rId51">
        <w:r w:rsidDel="00000000" w:rsidR="00000000" w:rsidRPr="00000000">
          <w:rPr>
            <w:color w:val="1155cc"/>
            <w:u w:val="single"/>
            <w:rtl w:val="0"/>
          </w:rPr>
          <w:t xml:space="preserve">[11]</w:t>
        </w:r>
      </w:hyperlink>
      <w:hyperlink r:id="rId52">
        <w:r w:rsidDel="00000000" w:rsidR="00000000" w:rsidRPr="00000000">
          <w:rPr>
            <w:color w:val="1155cc"/>
            <w:u w:val="single"/>
            <w:rtl w:val="0"/>
          </w:rPr>
          <w:t xml:space="preserve">[17]</w:t>
        </w:r>
      </w:hyperlink>
      <w:hyperlink r:id="rId53">
        <w:r w:rsidDel="00000000" w:rsidR="00000000" w:rsidRPr="00000000">
          <w:rPr>
            <w:color w:val="1155cc"/>
            <w:u w:val="single"/>
            <w:rtl w:val="0"/>
          </w:rPr>
          <w:t xml:space="preserve">[25]</w:t>
        </w:r>
      </w:hyperlink>
      <w:hyperlink r:id="rId54">
        <w:r w:rsidDel="00000000" w:rsidR="00000000" w:rsidRPr="00000000">
          <w:rPr>
            <w:color w:val="1155cc"/>
            <w:u w:val="single"/>
            <w:rtl w:val="0"/>
          </w:rPr>
          <w:t xml:space="preserve">[26]</w:t>
        </w:r>
      </w:hyperlink>
      <w:hyperlink r:id="rId55">
        <w:r w:rsidDel="00000000" w:rsidR="00000000" w:rsidRPr="00000000">
          <w:rPr>
            <w:color w:val="1155cc"/>
            <w:u w:val="single"/>
            <w:rtl w:val="0"/>
          </w:rPr>
          <w:t xml:space="preserve">[27]</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also how to evaluate a provocative reconstruction fairly. Philippe Charlier’s BMCR review of The Chemical Muse objects to steps from literary drug scenes to claims about authors’ or audiences’ consumption. The useful question in that dispute is what joins one step to the next. A recipe, a residue, a fictional scene, and a hostile accusation each offer evidence of a particular kind. The reader can build a strong account by making those joins visible. In the Panarion, the crucial first step is to hear when Epiphanius narrates, when he reports a rival voice, and when he supplies his own interpretation. </w:t>
      </w:r>
      <w:hyperlink r:id="rId56">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02B">
      <w:pPr>
        <w:pStyle w:val="Heading1"/>
        <w:rPr>
          <w:sz w:val="38"/>
          <w:szCs w:val="38"/>
        </w:rPr>
      </w:pPr>
      <w:r w:rsidDel="00000000" w:rsidR="00000000" w:rsidRPr="00000000">
        <w:rPr>
          <w:sz w:val="38"/>
          <w:szCs w:val="38"/>
          <w:rtl w:val="0"/>
        </w:rPr>
        <w:t xml:space="preserve">Gathering the soul from the world</w:t>
      </w:r>
    </w:p>
    <w:p w:rsidR="00000000" w:rsidDel="00000000" w:rsidP="00000000" w:rsidRDefault="00000000" w:rsidRPr="00000000" w14:paraId="0000002C">
      <w:pPr>
        <w:rPr/>
      </w:pPr>
      <w:r w:rsidDel="00000000" w:rsidR="00000000" w:rsidRPr="00000000">
        <w:rPr>
          <w:rtl w:val="0"/>
        </w:rPr>
        <w:t xml:space="preserve">The central verb in Epiphanius’s account is “gather.” The teachings he attributes to his rivals imagine soul or divine power dispersed through living things. Eating can therefore be understood as collecting that power and carrying it upward. Semen and menstrual blood enter the explanation as bearers of life. The controversial bodily acts acquire a purpose within a theory of recovery.</w:t>
      </w:r>
    </w:p>
    <w:p w:rsidR="00000000" w:rsidDel="00000000" w:rsidP="00000000" w:rsidRDefault="00000000" w:rsidRPr="00000000" w14:paraId="0000002D">
      <w:pPr>
        <w:keepNext w:val="1"/>
        <w:rPr/>
      </w:pPr>
      <w:r w:rsidDel="00000000" w:rsidR="00000000" w:rsidRPr="00000000">
        <w:rPr>
          <w:rFonts w:ascii="Arial" w:cs="Arial" w:eastAsia="Arial" w:hAnsi="Arial"/>
          <w:b w:val="1"/>
          <w:bCs w:val="1"/>
          <w:sz w:val="18"/>
          <w:szCs w:val="18"/>
          <w:rtl w:val="0"/>
        </w:rPr>
        <w:t xml:space="preserve">26.9.4   Epiphanius reports the rivals’ explanation</w:t>
      </w:r>
      <w:r w:rsidDel="00000000" w:rsidR="00000000" w:rsidRPr="00000000">
        <w:rPr>
          <w:rtl w:val="0"/>
        </w:rPr>
      </w:r>
    </w:p>
    <w:p w:rsidR="00000000" w:rsidDel="00000000" w:rsidP="00000000" w:rsidRDefault="00000000" w:rsidRPr="00000000" w14:paraId="0000002E">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τὴν δὲ δύναμιν τὴν ἐν τοῖς καταμηνίοις καὶ ἐν ταῖς γοναῖς ψυχὴν εἶναί φασιν, ἣν συλλέγοντες ἐσθίομεν</w:t>
      </w:r>
      <w:r w:rsidDel="00000000" w:rsidR="00000000" w:rsidRPr="00000000">
        <w:rPr>
          <w:rtl w:val="0"/>
        </w:rPr>
      </w:r>
    </w:p>
    <w:p w:rsidR="00000000" w:rsidDel="00000000" w:rsidP="00000000" w:rsidRDefault="00000000" w:rsidRPr="00000000" w14:paraId="0000002F">
      <w:pPr>
        <w:ind w:left="230" w:firstLine="0"/>
        <w:rPr/>
      </w:pPr>
      <w:r w:rsidDel="00000000" w:rsidR="00000000" w:rsidRPr="00000000">
        <w:rPr>
          <w:i w:val="1"/>
          <w:iCs w:val="1"/>
          <w:rtl w:val="0"/>
        </w:rPr>
        <w:t xml:space="preserve">“They say that the power in menstrual discharges and in the generative emissions is soul, which we gather and eat.”</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rtl w:val="0"/>
        </w:rPr>
        <w:t xml:space="preserve">The voice changes inside the sentence. φασιν means “they say”; ἐσθίομεν means “we eat.” Epiphanius first attributes the teaching and then gives its speakers a first-person voice. The “we” is the community as he represents it. In the continuation, the explanation extends to meat, vegetables, and bread: the gathered soul is taken into the heavens. The movement is from dispersed life to collected life, then from the lower world toward its source.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That logic illuminates the story he attributes to the Greater Questions of Mary. A Jesus figure takes Mary up a mountain, produces a woman from his side, has intercourse with that woman, and partakes of his emission. Mary witnesses the action and becomes alarmed. The grammatical unit is unusually important because it identifies who performs the final act.</w:t>
      </w:r>
    </w:p>
    <w:p w:rsidR="00000000" w:rsidDel="00000000" w:rsidP="00000000" w:rsidRDefault="00000000" w:rsidRPr="00000000" w14:paraId="00000032">
      <w:pPr>
        <w:keepNext w:val="1"/>
        <w:rPr/>
      </w:pPr>
      <w:r w:rsidDel="00000000" w:rsidR="00000000" w:rsidRPr="00000000">
        <w:rPr>
          <w:rFonts w:ascii="Arial" w:cs="Arial" w:eastAsia="Arial" w:hAnsi="Arial"/>
          <w:b w:val="1"/>
          <w:bCs w:val="1"/>
          <w:sz w:val="18"/>
          <w:szCs w:val="18"/>
          <w:rtl w:val="0"/>
        </w:rPr>
        <w:t xml:space="preserve">26.8.2   The crucial grammatical unit</w:t>
      </w:r>
      <w:r w:rsidDel="00000000" w:rsidR="00000000" w:rsidRPr="00000000">
        <w:rPr>
          <w:rtl w:val="0"/>
        </w:rPr>
      </w:r>
    </w:p>
    <w:p w:rsidR="00000000" w:rsidDel="00000000" w:rsidP="00000000" w:rsidRDefault="00000000" w:rsidRPr="00000000" w14:paraId="00000033">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τὴν ἀπόρροιαν αὐτοῦ μεταλαβόντα</w:t>
      </w:r>
      <w:r w:rsidDel="00000000" w:rsidR="00000000" w:rsidRPr="00000000">
        <w:rPr>
          <w:rtl w:val="0"/>
        </w:rPr>
      </w:r>
    </w:p>
    <w:p w:rsidR="00000000" w:rsidDel="00000000" w:rsidP="00000000" w:rsidRDefault="00000000" w:rsidRPr="00000000" w14:paraId="00000034">
      <w:pPr>
        <w:ind w:left="230" w:firstLine="0"/>
        <w:rPr/>
      </w:pPr>
      <w:r w:rsidDel="00000000" w:rsidR="00000000" w:rsidRPr="00000000">
        <w:rPr>
          <w:i w:val="1"/>
          <w:iCs w:val="1"/>
          <w:rtl w:val="0"/>
        </w:rPr>
        <w:t xml:space="preserve">“having partaken of his emission”</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rtl w:val="0"/>
        </w:rPr>
        <w:t xml:space="preserve">μεταλαβόντα is masculine accusative and belongs to the sequence describing the Jesus figure. The bodily reading has grammatical support within this reported story. The surrounding action supplies the sexual sense of “emission,” while the verb expresses partaking. At 26.8.7, a communal “we ourselves eat it” appears within a reading of Psalm 1. A revelation narrative, a practice attributed to a community, and a scriptural explanation are being made to illuminate one another. The unit we are reading is that narrated theological argument. [S1]</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Following the purpose of the actions changes the inquiry. The question becomes how a human being might recover a self thought to be scattered through the world. Reproduction, eating, and salvation now occupy the same conceptual field. The next passages explain why gathering matters: the soul must confront rulers who can keep it within the cycle of embodied life.</w:t>
      </w:r>
    </w:p>
    <w:p w:rsidR="00000000" w:rsidDel="00000000" w:rsidP="00000000" w:rsidRDefault="00000000" w:rsidRPr="00000000" w14:paraId="00000037">
      <w:pPr>
        <w:pStyle w:val="Heading1"/>
        <w:rPr>
          <w:sz w:val="38"/>
          <w:szCs w:val="38"/>
        </w:rPr>
      </w:pPr>
      <w:r w:rsidDel="00000000" w:rsidR="00000000" w:rsidRPr="00000000">
        <w:rPr>
          <w:sz w:val="38"/>
          <w:szCs w:val="38"/>
          <w:rtl w:val="0"/>
        </w:rPr>
        <w:t xml:space="preserve">The counted heavens and the route beyond them</w:t>
      </w:r>
    </w:p>
    <w:p w:rsidR="00000000" w:rsidDel="00000000" w:rsidP="00000000" w:rsidRDefault="00000000" w:rsidRPr="00000000" w14:paraId="00000038">
      <w:pPr>
        <w:rPr/>
      </w:pPr>
      <w:r w:rsidDel="00000000" w:rsidR="00000000" w:rsidRPr="00000000">
        <w:rPr>
          <w:rtl w:val="0"/>
        </w:rPr>
        <w:t xml:space="preserve">An archon is a ruler. Epiphanius presents rulers who govern passage through the heavens and a ritual sequence of 365 names. He also gives a smaller hierarchy of major rulers, preserving alternative names in different versions. The hierarchy maps levels of authority; the longer sequence supplies a counted traversal. [S1]</w:t>
      </w:r>
    </w:p>
    <w:tbl>
      <w:tblPr>
        <w:tblStyle w:val="Table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00"/>
        <w:gridCol w:w="7680"/>
        <w:tblGridChange w:id="0">
          <w:tblGrid>
            <w:gridCol w:w="2400"/>
            <w:gridCol w:w="7680"/>
          </w:tblGrid>
        </w:tblGridChange>
      </w:tblGrid>
      <w:tr>
        <w:trPr>
          <w:cantSplit w:val="1"/>
          <w:tblHeader w:val="1"/>
        </w:trPr>
        <w:tc>
          <w:tcPr>
            <w:shd w:fill="304d59" w:val="clear"/>
            <w:tcMar>
              <w:top w:w="85.0" w:type="dxa"/>
              <w:left w:w="85.0" w:type="dxa"/>
              <w:bottom w:w="85.0" w:type="dxa"/>
              <w:right w:w="85.0" w:type="dxa"/>
            </w:tcMar>
            <w:vAlign w:val="center"/>
          </w:tcPr>
          <w:p w:rsidR="00000000" w:rsidDel="00000000" w:rsidP="00000000" w:rsidRDefault="00000000" w:rsidRPr="00000000" w14:paraId="00000039">
            <w:pPr>
              <w:spacing w:after="60" w:before="60" w:line="264" w:lineRule="auto"/>
              <w:rPr/>
            </w:pPr>
            <w:r w:rsidDel="00000000" w:rsidR="00000000" w:rsidRPr="00000000">
              <w:rPr>
                <w:b w:val="1"/>
                <w:bCs w:val="1"/>
                <w:color w:val="ffffff"/>
                <w:sz w:val="19"/>
                <w:szCs w:val="19"/>
                <w:rtl w:val="0"/>
              </w:rPr>
              <w:t xml:space="preserve">Heaven</w:t>
            </w:r>
            <w:r w:rsidDel="00000000" w:rsidR="00000000" w:rsidRPr="00000000">
              <w:rPr>
                <w:rtl w:val="0"/>
              </w:rPr>
            </w:r>
          </w:p>
        </w:tc>
        <w:tc>
          <w:tcPr>
            <w:shd w:fill="304d59" w:val="clear"/>
            <w:tcMar>
              <w:top w:w="85.0" w:type="dxa"/>
              <w:left w:w="85.0" w:type="dxa"/>
              <w:bottom w:w="85.0" w:type="dxa"/>
              <w:right w:w="85.0" w:type="dxa"/>
            </w:tcMar>
            <w:vAlign w:val="center"/>
          </w:tcPr>
          <w:p w:rsidR="00000000" w:rsidDel="00000000" w:rsidP="00000000" w:rsidRDefault="00000000" w:rsidRPr="00000000" w14:paraId="0000003A">
            <w:pPr>
              <w:spacing w:after="60" w:before="60" w:line="264" w:lineRule="auto"/>
              <w:rPr/>
            </w:pPr>
            <w:r w:rsidDel="00000000" w:rsidR="00000000" w:rsidRPr="00000000">
              <w:rPr>
                <w:b w:val="1"/>
                <w:bCs w:val="1"/>
                <w:color w:val="ffffff"/>
                <w:sz w:val="19"/>
                <w:szCs w:val="19"/>
                <w:rtl w:val="0"/>
              </w:rPr>
              <w:t xml:space="preserve">Ruler or inhabitants in Epiphanius’s report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B">
            <w:pPr>
              <w:spacing w:after="60" w:before="60" w:line="264" w:lineRule="auto"/>
              <w:rPr/>
            </w:pPr>
            <w:r w:rsidDel="00000000" w:rsidR="00000000" w:rsidRPr="00000000">
              <w:rPr>
                <w:sz w:val="19"/>
                <w:szCs w:val="19"/>
                <w:rtl w:val="0"/>
              </w:rPr>
              <w:t xml:space="preserve">8</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C">
            <w:pPr>
              <w:spacing w:after="60" w:before="60" w:line="264" w:lineRule="auto"/>
              <w:rPr/>
            </w:pPr>
            <w:r w:rsidDel="00000000" w:rsidR="00000000" w:rsidRPr="00000000">
              <w:rPr>
                <w:sz w:val="19"/>
                <w:szCs w:val="19"/>
                <w:rtl w:val="0"/>
              </w:rPr>
              <w:t xml:space="preserve">Barbelo; the Father and Lord of all; Christ figures</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3D">
            <w:pPr>
              <w:spacing w:after="60" w:before="60" w:line="264" w:lineRule="auto"/>
              <w:rPr/>
            </w:pPr>
            <w:r w:rsidDel="00000000" w:rsidR="00000000" w:rsidRPr="00000000">
              <w:rPr>
                <w:sz w:val="19"/>
                <w:szCs w:val="19"/>
                <w:rtl w:val="0"/>
              </w:rPr>
              <w:t xml:space="preserve">7</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3E">
            <w:pPr>
              <w:spacing w:after="60" w:before="60" w:line="264" w:lineRule="auto"/>
              <w:rPr/>
            </w:pPr>
            <w:r w:rsidDel="00000000" w:rsidR="00000000" w:rsidRPr="00000000">
              <w:rPr>
                <w:sz w:val="19"/>
                <w:szCs w:val="19"/>
                <w:rtl w:val="0"/>
              </w:rPr>
              <w:t xml:space="preserve">Sabaoth, or Ialdabaoth in another version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F">
            <w:pPr>
              <w:spacing w:after="60" w:before="60" w:line="264" w:lineRule="auto"/>
              <w:rPr/>
            </w:pPr>
            <w:r w:rsidDel="00000000" w:rsidR="00000000" w:rsidRPr="00000000">
              <w:rPr>
                <w:sz w:val="19"/>
                <w:szCs w:val="19"/>
                <w:rtl w:val="0"/>
              </w:rPr>
              <w:t xml:space="preserve">6</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0">
            <w:pPr>
              <w:spacing w:after="60" w:before="60" w:line="264" w:lineRule="auto"/>
              <w:rPr/>
            </w:pPr>
            <w:r w:rsidDel="00000000" w:rsidR="00000000" w:rsidRPr="00000000">
              <w:rPr>
                <w:sz w:val="19"/>
                <w:szCs w:val="19"/>
                <w:rtl w:val="0"/>
              </w:rPr>
              <w:t xml:space="preserve">Ialdabaoth, or Elilaeus in another version</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41">
            <w:pPr>
              <w:spacing w:after="60" w:before="60" w:line="264" w:lineRule="auto"/>
              <w:rPr/>
            </w:pPr>
            <w:r w:rsidDel="00000000" w:rsidR="00000000" w:rsidRPr="00000000">
              <w:rPr>
                <w:sz w:val="19"/>
                <w:szCs w:val="19"/>
                <w:rtl w:val="0"/>
              </w:rPr>
              <w:t xml:space="preserve">5</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42">
            <w:pPr>
              <w:spacing w:after="60" w:before="60" w:line="264" w:lineRule="auto"/>
              <w:rPr/>
            </w:pPr>
            <w:r w:rsidDel="00000000" w:rsidR="00000000" w:rsidRPr="00000000">
              <w:rPr>
                <w:sz w:val="19"/>
                <w:szCs w:val="19"/>
                <w:rtl w:val="0"/>
              </w:rPr>
              <w:t xml:space="preserve">Eloaeus, also called Adonaeus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3">
            <w:pPr>
              <w:spacing w:after="60" w:before="60" w:line="264" w:lineRule="auto"/>
              <w:rPr/>
            </w:pPr>
            <w:r w:rsidDel="00000000" w:rsidR="00000000" w:rsidRPr="00000000">
              <w:rPr>
                <w:sz w:val="19"/>
                <w:szCs w:val="19"/>
                <w:rtl w:val="0"/>
              </w:rPr>
              <w:t xml:space="preserve">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4">
            <w:pPr>
              <w:spacing w:after="60" w:before="60" w:line="264" w:lineRule="auto"/>
              <w:rPr/>
            </w:pPr>
            <w:r w:rsidDel="00000000" w:rsidR="00000000" w:rsidRPr="00000000">
              <w:rPr>
                <w:sz w:val="19"/>
                <w:szCs w:val="19"/>
                <w:rtl w:val="0"/>
              </w:rPr>
              <w:t xml:space="preserve">Davides</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45">
            <w:pPr>
              <w:spacing w:after="60" w:before="60" w:line="264" w:lineRule="auto"/>
              <w:rPr/>
            </w:pPr>
            <w:r w:rsidDel="00000000" w:rsidR="00000000" w:rsidRPr="00000000">
              <w:rPr>
                <w:sz w:val="19"/>
                <w:szCs w:val="19"/>
                <w:rtl w:val="0"/>
              </w:rPr>
              <w:t xml:space="preserve">3</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46">
            <w:pPr>
              <w:spacing w:after="60" w:before="60" w:line="264" w:lineRule="auto"/>
              <w:rPr/>
            </w:pPr>
            <w:r w:rsidDel="00000000" w:rsidR="00000000" w:rsidRPr="00000000">
              <w:rPr>
                <w:sz w:val="19"/>
                <w:szCs w:val="19"/>
                <w:rtl w:val="0"/>
              </w:rPr>
              <w:t xml:space="preserve">Seth</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7">
            <w:pPr>
              <w:spacing w:after="60" w:before="60" w:line="264" w:lineRule="auto"/>
              <w:rPr/>
            </w:pPr>
            <w:r w:rsidDel="00000000" w:rsidR="00000000" w:rsidRPr="00000000">
              <w:rPr>
                <w:sz w:val="19"/>
                <w:szCs w:val="19"/>
                <w:rtl w:val="0"/>
              </w:rPr>
              <w:t xml:space="preserve">2</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8">
            <w:pPr>
              <w:spacing w:after="60" w:before="60" w:line="264" w:lineRule="auto"/>
              <w:rPr/>
            </w:pPr>
            <w:r w:rsidDel="00000000" w:rsidR="00000000" w:rsidRPr="00000000">
              <w:rPr>
                <w:sz w:val="19"/>
                <w:szCs w:val="19"/>
                <w:rtl w:val="0"/>
              </w:rPr>
              <w:t xml:space="preserve">Saklas</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49">
            <w:pPr>
              <w:spacing w:after="60" w:before="60" w:line="264" w:lineRule="auto"/>
              <w:rPr/>
            </w:pPr>
            <w:r w:rsidDel="00000000" w:rsidR="00000000" w:rsidRPr="00000000">
              <w:rPr>
                <w:sz w:val="19"/>
                <w:szCs w:val="19"/>
                <w:rtl w:val="0"/>
              </w:rPr>
              <w:t xml:space="preserve">1</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4A">
            <w:pPr>
              <w:spacing w:after="60" w:before="60" w:line="264" w:lineRule="auto"/>
              <w:rPr/>
            </w:pPr>
            <w:r w:rsidDel="00000000" w:rsidR="00000000" w:rsidRPr="00000000">
              <w:rPr>
                <w:sz w:val="19"/>
                <w:szCs w:val="19"/>
                <w:rtl w:val="0"/>
              </w:rPr>
              <w:t xml:space="preserve">Iao</w:t>
            </w:r>
            <w:r w:rsidDel="00000000" w:rsidR="00000000" w:rsidRPr="00000000">
              <w:rPr>
                <w:rtl w:val="0"/>
              </w:rPr>
            </w:r>
          </w:p>
        </w:tc>
      </w:tr>
    </w:tbl>
    <w:p w:rsidR="00000000" w:rsidDel="00000000" w:rsidP="00000000" w:rsidRDefault="00000000" w:rsidRPr="00000000" w14:paraId="0000004B">
      <w:pPr>
        <w:spacing w:after="40" w:line="6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the 365-name rite, a ruler is invoked at each sexual act. A traversal and a return traversal produce the total of 730. Epiphanius interrupts the claimed ascent with “or rather, descends,” turning the practitioners’ spiritual language into his own moral judgment. His arithmetic counts acts; the calendrical resonance comes into focus when other ancient accounts are placed beside it.</w:t>
      </w:r>
    </w:p>
    <w:p w:rsidR="00000000" w:rsidDel="00000000" w:rsidP="00000000" w:rsidRDefault="00000000" w:rsidRPr="00000000" w14:paraId="0000004D">
      <w:pPr>
        <w:rPr/>
      </w:pPr>
      <w:r w:rsidDel="00000000" w:rsidR="00000000" w:rsidRPr="00000000">
        <w:rPr>
          <w:sz w:val="24"/>
          <w:szCs w:val="24"/>
          <w:rtl w:val="0"/>
        </w:rPr>
        <w:t xml:space="preserve">365 + 365 = 730</w:t>
      </w:r>
      <w:r w:rsidDel="00000000" w:rsidR="00000000" w:rsidRPr="00000000">
        <w:rPr>
          <w:rtl w:val="0"/>
        </w:rPr>
      </w:r>
    </w:p>
    <w:p w:rsidR="00000000" w:rsidDel="00000000" w:rsidP="00000000" w:rsidRDefault="00000000" w:rsidRPr="00000000" w14:paraId="0000004E">
      <w:pPr>
        <w:keepNext w:val="1"/>
        <w:rPr/>
      </w:pPr>
      <w:r w:rsidDel="00000000" w:rsidR="00000000" w:rsidRPr="00000000">
        <w:rPr>
          <w:rFonts w:ascii="Arial" w:cs="Arial" w:eastAsia="Arial" w:hAnsi="Arial"/>
          <w:b w:val="1"/>
          <w:bCs w:val="1"/>
          <w:sz w:val="18"/>
          <w:szCs w:val="18"/>
          <w:rtl w:val="0"/>
        </w:rPr>
        <w:t xml:space="preserve">26.9.9   The practitioner’s culminating declaration</w:t>
      </w:r>
      <w:r w:rsidDel="00000000" w:rsidR="00000000" w:rsidRPr="00000000">
        <w:rPr>
          <w:rtl w:val="0"/>
        </w:rPr>
      </w:r>
    </w:p>
    <w:p w:rsidR="00000000" w:rsidDel="00000000" w:rsidP="00000000" w:rsidRDefault="00000000" w:rsidRPr="00000000" w14:paraId="0000004F">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ἐγώ εἰμι ὁ Χριστός, ἐπειδὴ ἄνωθεν καταβέβηκα διὰ τῶν ὀνομάτων τῶν τξεʹ ἀρχόντων</w:t>
      </w:r>
      <w:r w:rsidDel="00000000" w:rsidR="00000000" w:rsidRPr="00000000">
        <w:rPr>
          <w:rtl w:val="0"/>
        </w:rPr>
      </w:r>
    </w:p>
    <w:p w:rsidR="00000000" w:rsidDel="00000000" w:rsidP="00000000" w:rsidRDefault="00000000" w:rsidRPr="00000000" w14:paraId="00000050">
      <w:pPr>
        <w:ind w:left="230" w:firstLine="0"/>
        <w:rPr/>
      </w:pPr>
      <w:r w:rsidDel="00000000" w:rsidR="00000000" w:rsidRPr="00000000">
        <w:rPr>
          <w:i w:val="1"/>
          <w:iCs w:val="1"/>
          <w:rtl w:val="0"/>
        </w:rPr>
        <w:t xml:space="preserve">“I am Christ, because I have descended from above through the names of the 365 rulers.”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“I” is the practitioner at the culmination of the sequence. Speaking the names and completing the passage enable a claim to an origin above the powers. The eight-heaven list and the 365-name cycle thus contribute different aspects of the same problem: where authority is located and how someone moves through it. Epiphanius leaves their detailed coordination unexplained. We can still follow the theological work each performs.</w:t>
      </w:r>
    </w:p>
    <w:p w:rsidR="00000000" w:rsidDel="00000000" w:rsidP="00000000" w:rsidRDefault="00000000" w:rsidRPr="00000000" w14:paraId="00000052">
      <w:pPr>
        <w:keepNext w:val="0"/>
        <w:spacing w:after="160" w:lineRule="auto"/>
        <w:rPr/>
      </w:pPr>
      <w:r w:rsidDel="00000000" w:rsidR="00000000" w:rsidRPr="00000000">
        <w:rPr>
          <w:rtl w:val="0"/>
        </w:rPr>
        <w:t xml:space="preserve">Irenaeus makes the calendrical association explicit in his report on Basilides: the 365 heavens correspond to the year’s days (1.24.3), while knowledge of the powers enables passage (1.24.5–6). That gives the Timekeeper comparison a textual anchor. The comparison below distinguishes this claim from other uses of 365 and from the differently timed route in Pistis Sophia. </w:t>
      </w:r>
      <w:hyperlink r:id="rId57">
        <w:r w:rsidDel="00000000" w:rsidR="00000000" w:rsidRPr="00000000">
          <w:rPr>
            <w:color w:val="1155cc"/>
            <w:u w:val="single"/>
            <w:rtl w:val="0"/>
          </w:rPr>
          <w:t xml:space="preserve">[S2]</w:t>
        </w:r>
      </w:hyperlink>
      <w:hyperlink r:id="rId58">
        <w:r w:rsidDel="00000000" w:rsidR="00000000" w:rsidRPr="00000000">
          <w:rPr>
            <w:color w:val="1155cc"/>
            <w:u w:val="single"/>
            <w:rtl w:val="0"/>
          </w:rPr>
          <w:t xml:space="preserve">[S5]</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Timekeeper comparison becomes precise here. In the temple calendar, an ordered cycle determines when a person serves. In the cosmology, an ordered system determines how a soul moves, waits, or returns. Both arrangements make passage depend on conditions that specialists explain. The historical settings differ, while the relation between order, knowledge, and permission can be compared directly.</w:t>
      </w:r>
    </w:p>
    <w:p w:rsidR="00000000" w:rsidDel="00000000" w:rsidP="00000000" w:rsidRDefault="00000000" w:rsidRPr="00000000" w14:paraId="00000054">
      <w:pPr>
        <w:keepNext w:val="1"/>
        <w:rPr/>
      </w:pPr>
      <w:r w:rsidDel="00000000" w:rsidR="00000000" w:rsidRPr="00000000">
        <w:rPr/>
        <w:drawing>
          <wp:inline distB="0" distT="0" distL="114300" distR="114300">
            <wp:extent cx="6400800" cy="1651000"/>
            <wp:effectExtent b="0" l="0" r="0" t="0"/>
            <wp:docPr id="3"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64008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Figure 1. Timekeeper as a comparison of functions: ordered cycles, special knowledge, and permitted passage. The diagram connects questions across distinct historical settings.</w:t>
      </w:r>
    </w:p>
    <w:p w:rsidR="00000000" w:rsidDel="00000000" w:rsidP="00000000" w:rsidRDefault="00000000" w:rsidRPr="00000000" w14:paraId="00000056">
      <w:pPr>
        <w:rPr/>
      </w:pPr>
      <w:r w:rsidDel="00000000" w:rsidR="00000000" w:rsidRPr="00000000">
        <w:rPr>
          <w:rFonts w:ascii="Cardo" w:cs="Cardo" w:eastAsia="Cardo" w:hAnsi="Cardo"/>
          <w:sz w:val="20"/>
          <w:szCs w:val="20"/>
          <w:rtl w:val="0"/>
        </w:rPr>
        <w:t xml:space="preserve">Ordered cycles → Special knowledge → Permitted passage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prospect of escape gives this comparison its force. In Epiphanius’s report, the ignorant soul is swallowed by a dragonlike ruler and returned to embodiment. A person who has gathered the soul can pass beyond the rulers and reach Barbelo, the Mother of the living. At 26.10.9, the gathered person is “no longer held here.” Release means a changed relation to the system: the power that once detained the person can be passed. [S1]</w:t>
      </w:r>
    </w:p>
    <w:p w:rsidR="00000000" w:rsidDel="00000000" w:rsidP="00000000" w:rsidRDefault="00000000" w:rsidRPr="00000000" w14:paraId="00000058">
      <w:pPr>
        <w:keepNext w:val="1"/>
        <w:rPr/>
      </w:pPr>
      <w:r w:rsidDel="00000000" w:rsidR="00000000" w:rsidRPr="00000000">
        <w:rPr>
          <w:rFonts w:ascii="Arial" w:cs="Arial" w:eastAsia="Arial" w:hAnsi="Arial"/>
          <w:b w:val="1"/>
          <w:bCs w:val="1"/>
          <w:sz w:val="18"/>
          <w:szCs w:val="18"/>
          <w:rtl w:val="0"/>
        </w:rPr>
        <w:t xml:space="preserve">26.13.2   The ascent formula attributed to a Gospel of Philip</w:t>
      </w:r>
      <w:r w:rsidDel="00000000" w:rsidR="00000000" w:rsidRPr="00000000">
        <w:rPr>
          <w:rtl w:val="0"/>
        </w:rPr>
      </w:r>
    </w:p>
    <w:p w:rsidR="00000000" w:rsidDel="00000000" w:rsidP="00000000" w:rsidRDefault="00000000" w:rsidRPr="00000000" w14:paraId="00000059">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ἐπέγνων ἐμαυτήν, φησί, καὶ συνέλεξα ἐμαυτὴν ἐκ πανταχόθεν, καὶ οὐκ ἔσπειρα τέκνα τῷ ἄρχοντι, ἀλλὰ ἐξερρίζωσα τὰς ῥίζας αὐτοῦ καὶ συνέλεξα τὰ μέλη τὰ διεσκορπισμένα, καὶ οἶδά σε τίς εἶ. ἐγὼ γάρ, φησί, τῶν ἄνωθέν εἰμι.</w:t>
      </w:r>
      <w:r w:rsidDel="00000000" w:rsidR="00000000" w:rsidRPr="00000000">
        <w:rPr>
          <w:rtl w:val="0"/>
        </w:rPr>
      </w:r>
    </w:p>
    <w:p w:rsidR="00000000" w:rsidDel="00000000" w:rsidP="00000000" w:rsidRDefault="00000000" w:rsidRPr="00000000" w14:paraId="0000005A">
      <w:pPr>
        <w:ind w:left="230" w:firstLine="0"/>
        <w:rPr/>
      </w:pPr>
      <w:r w:rsidDel="00000000" w:rsidR="00000000" w:rsidRPr="00000000">
        <w:rPr>
          <w:i w:val="1"/>
          <w:iCs w:val="1"/>
          <w:rtl w:val="0"/>
        </w:rPr>
        <w:t xml:space="preserve">“I have recognized myself,” it says, “and gathered myself from every direction. I have not sown children for the ruler, but have uprooted his roots and gathered the scattered members. I know who you are. For I,” it says, “am one of those from above.”</w:t>
      </w: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rtl w:val="0"/>
        </w:rPr>
        <w:t xml:space="preserve">The ascent formula is attributed to a Gospel of Philip transmitted in Epiphanius’s account. ψυχή, “soul,” is grammatically feminine, which explains the feminine self-reference. The speech links knowing oneself, gathering the scattered members, recognizing the ruler, and refusing to sow children for him. The short expression συνέλεξα ἐμαυτήν, “I gathered myself,” states the purpose. Reproduction extends the self’s attachment to the lower world; recovery makes departure possible. At 26.13.3, a soul with a child is detained until its children can be recovered.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Elijah story turns that principle into a confrontation. A female demon blocks his ascent and claims children conceived from his nocturnal emissions. Elijah insists that he lived chastely, but the story makes dispersed substance a problem even where conscious intention was chaste.</w:t>
      </w:r>
    </w:p>
    <w:p w:rsidR="00000000" w:rsidDel="00000000" w:rsidP="00000000" w:rsidRDefault="00000000" w:rsidRPr="00000000" w14:paraId="0000005D">
      <w:pPr>
        <w:keepNext w:val="1"/>
        <w:rPr/>
      </w:pPr>
      <w:r w:rsidDel="00000000" w:rsidR="00000000" w:rsidRPr="00000000">
        <w:rPr>
          <w:rFonts w:ascii="Arial" w:cs="Arial" w:eastAsia="Arial" w:hAnsi="Arial"/>
          <w:b w:val="1"/>
          <w:bCs w:val="1"/>
          <w:sz w:val="18"/>
          <w:szCs w:val="18"/>
          <w:rtl w:val="0"/>
        </w:rPr>
        <w:t xml:space="preserve">26.13.5   The demon’s objection</w:t>
      </w:r>
      <w:r w:rsidDel="00000000" w:rsidR="00000000" w:rsidRPr="00000000">
        <w:rPr>
          <w:rtl w:val="0"/>
        </w:rPr>
      </w:r>
    </w:p>
    <w:p w:rsidR="00000000" w:rsidDel="00000000" w:rsidP="00000000" w:rsidRDefault="00000000" w:rsidRPr="00000000" w14:paraId="0000005E">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οὐ δύνασαι ἀνελθεῖν καὶ ὧδε ἀφεῖναι τὰ τέκνα σου</w:t>
      </w:r>
      <w:r w:rsidDel="00000000" w:rsidR="00000000" w:rsidRPr="00000000">
        <w:rPr>
          <w:rtl w:val="0"/>
        </w:rPr>
      </w:r>
    </w:p>
    <w:p w:rsidR="00000000" w:rsidDel="00000000" w:rsidP="00000000" w:rsidRDefault="00000000" w:rsidRPr="00000000" w14:paraId="0000005F">
      <w:pPr>
        <w:ind w:left="230" w:firstLine="0"/>
        <w:rPr/>
      </w:pPr>
      <w:r w:rsidDel="00000000" w:rsidR="00000000" w:rsidRPr="00000000">
        <w:rPr>
          <w:i w:val="1"/>
          <w:iCs w:val="1"/>
          <w:rtl w:val="0"/>
        </w:rPr>
        <w:t xml:space="preserve">“You cannot ascend and leave your children here.”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Epiphanius answers with a body-and-spirit objection: how could a bodiless spirit receive bodily substance and become pregnant? He also contests the appeal to Jude’s “dreamers,” interpreting it as confused thought. His reply and the rival story therefore disagree about the relation between material life and spiritual responsibility. The Timekeeper reading follows the story’s mechanism: something left below supplies a claim that can hold the traveler back. [S1]</w:t>
      </w:r>
    </w:p>
    <w:p w:rsidR="00000000" w:rsidDel="00000000" w:rsidP="00000000" w:rsidRDefault="00000000" w:rsidRPr="00000000" w14:paraId="00000061">
      <w:pPr>
        <w:pStyle w:val="Heading1"/>
        <w:rPr>
          <w:sz w:val="38"/>
          <w:szCs w:val="38"/>
        </w:rPr>
      </w:pPr>
      <w:r w:rsidDel="00000000" w:rsidR="00000000" w:rsidRPr="00000000">
        <w:rPr>
          <w:sz w:val="38"/>
          <w:szCs w:val="38"/>
          <w:rtl w:val="0"/>
        </w:rPr>
        <w:t xml:space="preserve">Other ancient voices make the cosmos more intelligible</w:t>
      </w:r>
    </w:p>
    <w:p w:rsidR="00000000" w:rsidDel="00000000" w:rsidP="00000000" w:rsidRDefault="00000000" w:rsidRPr="00000000" w14:paraId="00000062">
      <w:pPr>
        <w:keepNext w:val="0"/>
        <w:spacing w:after="160" w:lineRule="auto"/>
        <w:rPr/>
      </w:pPr>
      <w:r w:rsidDel="00000000" w:rsidR="00000000" w:rsidRPr="00000000">
        <w:rPr>
          <w:rtl w:val="0"/>
        </w:rPr>
        <w:t xml:space="preserve">Surviving texts outside Epiphanius give us access to related arguments without passing through his selection of quotations. That independence concerns the route by which a text survives. Each witness still stages its own authority, chooses its speakers, and judges rival accounts. The comparison below separates what a text says from the historical claims it can support. Dates of surviving copies are distinguished from dates of composition or earlier attestation.</w:t>
      </w:r>
    </w:p>
    <w:p w:rsidR="00000000" w:rsidDel="00000000" w:rsidP="00000000" w:rsidRDefault="00000000" w:rsidRPr="00000000" w14:paraId="00000063">
      <w:pPr>
        <w:keepNext w:val="0"/>
        <w:pageBreakBefore w:val="1"/>
        <w:spacing w:after="0" w:before="0" w:lineRule="auto"/>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960"/>
        <w:gridCol w:w="3960"/>
        <w:tblGridChange w:id="0">
          <w:tblGrid>
            <w:gridCol w:w="2160"/>
            <w:gridCol w:w="3960"/>
            <w:gridCol w:w="3960"/>
          </w:tblGrid>
        </w:tblGridChange>
      </w:tblGrid>
      <w:tr>
        <w:trPr>
          <w:cantSplit w:val="1"/>
          <w:tblHeader w:val="1"/>
        </w:trPr>
        <w:tc>
          <w:tcPr>
            <w:shd w:fill="304d59" w:val="clear"/>
            <w:tcMar>
              <w:top w:w="85.0" w:type="dxa"/>
              <w:left w:w="85.0" w:type="dxa"/>
              <w:bottom w:w="85.0" w:type="dxa"/>
              <w:right w:w="85.0" w:type="dxa"/>
            </w:tcMar>
          </w:tcPr>
          <w:p w:rsidR="00000000" w:rsidDel="00000000" w:rsidP="00000000" w:rsidRDefault="00000000" w:rsidRPr="00000000" w14:paraId="00000064">
            <w:pPr>
              <w:keepNext w:val="0"/>
              <w:keepLines w:val="0"/>
              <w:spacing w:after="60" w:before="60" w:line="264" w:lineRule="auto"/>
              <w:rPr>
                <w:b w:val="1"/>
                <w:bCs w:val="1"/>
                <w:color w:val="ffffff"/>
                <w:sz w:val="19"/>
                <w:szCs w:val="19"/>
              </w:rPr>
            </w:pPr>
            <w:r w:rsidDel="00000000" w:rsidR="00000000" w:rsidRPr="00000000">
              <w:rPr>
                <w:b w:val="1"/>
                <w:bCs w:val="1"/>
                <w:color w:val="ffffff"/>
                <w:sz w:val="19"/>
                <w:szCs w:val="19"/>
                <w:rtl w:val="0"/>
              </w:rPr>
              <w:t xml:space="preserve">Witness and date</w:t>
            </w:r>
          </w:p>
        </w:tc>
        <w:tc>
          <w:tcPr>
            <w:shd w:fill="304d59" w:val="clear"/>
            <w:tcMar>
              <w:top w:w="85.0" w:type="dxa"/>
              <w:left w:w="85.0" w:type="dxa"/>
              <w:bottom w:w="85.0" w:type="dxa"/>
              <w:right w:w="85.0" w:type="dxa"/>
            </w:tcMar>
          </w:tcPr>
          <w:p w:rsidR="00000000" w:rsidDel="00000000" w:rsidP="00000000" w:rsidRDefault="00000000" w:rsidRPr="00000000" w14:paraId="00000065">
            <w:pPr>
              <w:keepNext w:val="0"/>
              <w:keepLines w:val="0"/>
              <w:spacing w:after="60" w:before="60" w:line="264" w:lineRule="auto"/>
              <w:rPr>
                <w:b w:val="1"/>
                <w:bCs w:val="1"/>
                <w:color w:val="ffffff"/>
                <w:sz w:val="19"/>
                <w:szCs w:val="19"/>
              </w:rPr>
            </w:pPr>
            <w:r w:rsidDel="00000000" w:rsidR="00000000" w:rsidRPr="00000000">
              <w:rPr>
                <w:b w:val="1"/>
                <w:bCs w:val="1"/>
                <w:color w:val="ffffff"/>
                <w:sz w:val="19"/>
                <w:szCs w:val="19"/>
                <w:rtl w:val="0"/>
              </w:rPr>
              <w:t xml:space="preserve">Voice and passage mechanism</w:t>
            </w:r>
          </w:p>
        </w:tc>
        <w:tc>
          <w:tcPr>
            <w:shd w:fill="304d59" w:val="clear"/>
            <w:tcMar>
              <w:top w:w="85.0" w:type="dxa"/>
              <w:left w:w="85.0" w:type="dxa"/>
              <w:bottom w:w="85.0" w:type="dxa"/>
              <w:right w:w="85.0" w:type="dxa"/>
            </w:tcMar>
          </w:tcPr>
          <w:p w:rsidR="00000000" w:rsidDel="00000000" w:rsidP="00000000" w:rsidRDefault="00000000" w:rsidRPr="00000000" w14:paraId="00000066">
            <w:pPr>
              <w:keepNext w:val="0"/>
              <w:keepLines w:val="0"/>
              <w:spacing w:after="60" w:before="60" w:line="264" w:lineRule="auto"/>
              <w:rPr>
                <w:b w:val="1"/>
                <w:bCs w:val="1"/>
                <w:color w:val="ffffff"/>
                <w:sz w:val="19"/>
                <w:szCs w:val="19"/>
              </w:rPr>
            </w:pPr>
            <w:r w:rsidDel="00000000" w:rsidR="00000000" w:rsidRPr="00000000">
              <w:rPr>
                <w:b w:val="1"/>
                <w:bCs w:val="1"/>
                <w:color w:val="ffffff"/>
                <w:sz w:val="19"/>
                <w:szCs w:val="19"/>
                <w:rtl w:val="0"/>
              </w:rPr>
              <w:t xml:space="preserve">What the comparison supports and limits</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67">
            <w:pPr>
              <w:keepNext w:val="0"/>
              <w:keepLines w:val="0"/>
              <w:spacing w:after="60" w:before="60" w:line="264" w:lineRule="auto"/>
              <w:rPr>
                <w:sz w:val="19"/>
                <w:szCs w:val="19"/>
              </w:rPr>
            </w:pPr>
            <w:r w:rsidDel="00000000" w:rsidR="00000000" w:rsidRPr="00000000">
              <w:rPr>
                <w:sz w:val="19"/>
                <w:szCs w:val="19"/>
                <w:rtl w:val="0"/>
              </w:rPr>
              <w:t xml:space="preserve">Epiphanius</w:t>
            </w:r>
          </w:p>
          <w:p w:rsidR="00000000" w:rsidDel="00000000" w:rsidP="00000000" w:rsidRDefault="00000000" w:rsidRPr="00000000" w14:paraId="00000068">
            <w:pPr>
              <w:keepNext w:val="0"/>
              <w:keepLines w:val="0"/>
              <w:spacing w:after="60" w:before="60" w:line="264" w:lineRule="auto"/>
              <w:rPr>
                <w:sz w:val="19"/>
                <w:szCs w:val="19"/>
              </w:rPr>
            </w:pPr>
            <w:r w:rsidDel="00000000" w:rsidR="00000000" w:rsidRPr="00000000">
              <w:rPr>
                <w:sz w:val="19"/>
                <w:szCs w:val="19"/>
                <w:rtl w:val="0"/>
              </w:rPr>
              <w:t xml:space="preserve">Panarion 26</w:t>
            </w:r>
          </w:p>
          <w:p w:rsidR="00000000" w:rsidDel="00000000" w:rsidP="00000000" w:rsidRDefault="00000000" w:rsidRPr="00000000" w14:paraId="00000069">
            <w:pPr>
              <w:keepNext w:val="0"/>
              <w:keepLines w:val="0"/>
              <w:spacing w:after="60" w:before="60" w:line="264" w:lineRule="auto"/>
              <w:rPr>
                <w:sz w:val="19"/>
                <w:szCs w:val="19"/>
              </w:rPr>
            </w:pPr>
            <w:r w:rsidDel="00000000" w:rsidR="00000000" w:rsidRPr="00000000">
              <w:rPr>
                <w:sz w:val="19"/>
                <w:szCs w:val="19"/>
                <w:rtl w:val="0"/>
              </w:rPr>
              <w:t xml:space="preserve">Fourth-century composition</w:t>
            </w:r>
          </w:p>
        </w:tc>
        <w:tc>
          <w:tcPr>
            <w:shd w:fill="ffffff" w:val="clear"/>
            <w:tcMar>
              <w:top w:w="85.0" w:type="dxa"/>
              <w:left w:w="85.0" w:type="dxa"/>
              <w:bottom w:w="85.0" w:type="dxa"/>
              <w:right w:w="85.0" w:type="dxa"/>
            </w:tcMar>
          </w:tcPr>
          <w:p w:rsidR="00000000" w:rsidDel="00000000" w:rsidP="00000000" w:rsidRDefault="00000000" w:rsidRPr="00000000" w14:paraId="0000006A">
            <w:pPr>
              <w:keepNext w:val="0"/>
              <w:keepLines w:val="0"/>
              <w:spacing w:after="60" w:before="60" w:line="264" w:lineRule="auto"/>
              <w:rPr>
                <w:sz w:val="19"/>
                <w:szCs w:val="19"/>
              </w:rPr>
            </w:pPr>
            <w:r w:rsidDel="00000000" w:rsidR="00000000" w:rsidRPr="00000000">
              <w:rPr>
                <w:sz w:val="19"/>
                <w:szCs w:val="19"/>
                <w:rtl w:val="0"/>
              </w:rPr>
              <w:t xml:space="preserve">Hostile report with selected rival speeches. The alleged 365-name rite totals 730 acts; the eight-heaven list assigns rulers to levels. Gathering the soul enables escape. </w:t>
            </w:r>
            <w:hyperlink r:id="rId60">
              <w:r w:rsidDel="00000000" w:rsidR="00000000" w:rsidRPr="00000000">
                <w:rPr>
                  <w:color w:val="1155cc"/>
                  <w:sz w:val="19"/>
                  <w:szCs w:val="19"/>
                  <w:u w:val="single"/>
                  <w:rtl w:val="0"/>
                </w:rPr>
                <w:t xml:space="preserve">[S1]</w:t>
              </w:r>
            </w:hyperlink>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6B">
            <w:pPr>
              <w:keepNext w:val="0"/>
              <w:keepLines w:val="0"/>
              <w:spacing w:after="60" w:before="60" w:line="264" w:lineRule="auto"/>
              <w:rPr>
                <w:sz w:val="19"/>
                <w:szCs w:val="19"/>
              </w:rPr>
            </w:pPr>
            <w:r w:rsidDel="00000000" w:rsidR="00000000" w:rsidRPr="00000000">
              <w:rPr>
                <w:sz w:val="19"/>
                <w:szCs w:val="19"/>
                <w:rtl w:val="0"/>
              </w:rPr>
              <w:t xml:space="preserve">The reported rite and the hierarchy are not fully coordinated in his account. Overlapping names do not make Saklas and Ialdabaoth aliases here. The later expulsion narrative also makes the reporter a claimed participant in suppression.</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6C">
            <w:pPr>
              <w:keepNext w:val="0"/>
              <w:keepLines w:val="0"/>
              <w:spacing w:after="60" w:before="60" w:line="264" w:lineRule="auto"/>
              <w:rPr>
                <w:sz w:val="19"/>
                <w:szCs w:val="19"/>
              </w:rPr>
            </w:pPr>
            <w:r w:rsidDel="00000000" w:rsidR="00000000" w:rsidRPr="00000000">
              <w:rPr>
                <w:sz w:val="19"/>
                <w:szCs w:val="19"/>
                <w:rtl w:val="0"/>
              </w:rPr>
              <w:t xml:space="preserve">Irenaeus</w:t>
            </w:r>
          </w:p>
          <w:p w:rsidR="00000000" w:rsidDel="00000000" w:rsidP="00000000" w:rsidRDefault="00000000" w:rsidRPr="00000000" w14:paraId="0000006D">
            <w:pPr>
              <w:keepNext w:val="0"/>
              <w:keepLines w:val="0"/>
              <w:spacing w:after="60" w:before="60" w:line="264" w:lineRule="auto"/>
              <w:rPr>
                <w:sz w:val="19"/>
                <w:szCs w:val="19"/>
              </w:rPr>
            </w:pPr>
            <w:r w:rsidDel="00000000" w:rsidR="00000000" w:rsidRPr="00000000">
              <w:rPr>
                <w:sz w:val="19"/>
                <w:szCs w:val="19"/>
                <w:rtl w:val="0"/>
              </w:rPr>
              <w:t xml:space="preserve">Against Heresies 1.24 and 1.30</w:t>
            </w:r>
          </w:p>
          <w:p w:rsidR="00000000" w:rsidDel="00000000" w:rsidP="00000000" w:rsidRDefault="00000000" w:rsidRPr="00000000" w14:paraId="0000006E">
            <w:pPr>
              <w:keepNext w:val="0"/>
              <w:keepLines w:val="0"/>
              <w:spacing w:after="60" w:before="60" w:line="264" w:lineRule="auto"/>
              <w:rPr>
                <w:sz w:val="19"/>
                <w:szCs w:val="19"/>
              </w:rPr>
            </w:pPr>
            <w:r w:rsidDel="00000000" w:rsidR="00000000" w:rsidRPr="00000000">
              <w:rPr>
                <w:sz w:val="19"/>
                <w:szCs w:val="19"/>
                <w:rtl w:val="0"/>
              </w:rPr>
              <w:t xml:space="preserve">About 180 CE</w:t>
            </w:r>
          </w:p>
        </w:tc>
        <w:tc>
          <w:tcPr>
            <w:shd w:fill="ffffff" w:val="clear"/>
            <w:tcMar>
              <w:top w:w="85.0" w:type="dxa"/>
              <w:left w:w="85.0" w:type="dxa"/>
              <w:bottom w:w="85.0" w:type="dxa"/>
              <w:right w:w="85.0" w:type="dxa"/>
            </w:tcMar>
          </w:tcPr>
          <w:p w:rsidR="00000000" w:rsidDel="00000000" w:rsidP="00000000" w:rsidRDefault="00000000" w:rsidRPr="00000000" w14:paraId="0000006F">
            <w:pPr>
              <w:keepNext w:val="0"/>
              <w:keepLines w:val="0"/>
              <w:spacing w:after="60" w:before="60" w:line="264" w:lineRule="auto"/>
              <w:rPr>
                <w:sz w:val="19"/>
                <w:szCs w:val="19"/>
              </w:rPr>
            </w:pPr>
            <w:r w:rsidDel="00000000" w:rsidR="00000000" w:rsidRPr="00000000">
              <w:rPr>
                <w:sz w:val="19"/>
                <w:szCs w:val="19"/>
                <w:rtl w:val="0"/>
              </w:rPr>
              <w:t xml:space="preserve">Earlier hostile accounts. In 1.24.3–7, Basilides’s 365 heavens correspond to the year; knowledge permits passage, and Abraxas has the numerical value 365. In 1.30.14, gathering the spirit of light diminishes Ialdabaoth and culminates in an incorruptible aeon. </w:t>
            </w:r>
            <w:hyperlink r:id="rId61">
              <w:r w:rsidDel="00000000" w:rsidR="00000000" w:rsidRPr="00000000">
                <w:rPr>
                  <w:color w:val="1155cc"/>
                  <w:sz w:val="19"/>
                  <w:szCs w:val="19"/>
                  <w:u w:val="single"/>
                  <w:rtl w:val="0"/>
                </w:rPr>
                <w:t xml:space="preserve">[S2]</w:t>
              </w:r>
            </w:hyperlink>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0">
            <w:pPr>
              <w:keepNext w:val="0"/>
              <w:keepLines w:val="0"/>
              <w:spacing w:after="60" w:before="60" w:line="264" w:lineRule="auto"/>
              <w:rPr>
                <w:sz w:val="19"/>
                <w:szCs w:val="19"/>
              </w:rPr>
            </w:pPr>
            <w:r w:rsidDel="00000000" w:rsidR="00000000" w:rsidRPr="00000000">
              <w:rPr>
                <w:sz w:val="19"/>
                <w:szCs w:val="19"/>
                <w:rtl w:val="0"/>
              </w:rPr>
              <w:t xml:space="preserve">The first passage explicitly joins cosmic number and calendar; the second supplies an earlier parallel for recovery of light. They are separate reported systems. Neither establishes the sexual rites alleged in Panarion 26 or direct continuity of its community.</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71">
            <w:pPr>
              <w:keepNext w:val="0"/>
              <w:keepLines w:val="0"/>
              <w:spacing w:after="60" w:before="60" w:line="264" w:lineRule="auto"/>
              <w:rPr>
                <w:sz w:val="19"/>
                <w:szCs w:val="19"/>
              </w:rPr>
            </w:pPr>
            <w:r w:rsidDel="00000000" w:rsidR="00000000" w:rsidRPr="00000000">
              <w:rPr>
                <w:sz w:val="19"/>
                <w:szCs w:val="19"/>
                <w:rtl w:val="0"/>
              </w:rPr>
              <w:t xml:space="preserve">Apocryphon of John</w:t>
            </w:r>
          </w:p>
          <w:p w:rsidR="00000000" w:rsidDel="00000000" w:rsidP="00000000" w:rsidRDefault="00000000" w:rsidRPr="00000000" w14:paraId="00000072">
            <w:pPr>
              <w:keepNext w:val="0"/>
              <w:keepLines w:val="0"/>
              <w:spacing w:after="60" w:before="60" w:line="264" w:lineRule="auto"/>
              <w:rPr>
                <w:sz w:val="19"/>
                <w:szCs w:val="19"/>
              </w:rPr>
            </w:pPr>
            <w:r w:rsidDel="00000000" w:rsidR="00000000" w:rsidRPr="00000000">
              <w:rPr>
                <w:sz w:val="19"/>
                <w:szCs w:val="19"/>
                <w:rtl w:val="0"/>
              </w:rPr>
              <w:t xml:space="preserve">Long recension, NHC II and IV</w:t>
            </w:r>
          </w:p>
          <w:p w:rsidR="00000000" w:rsidDel="00000000" w:rsidP="00000000" w:rsidRDefault="00000000" w:rsidRPr="00000000" w14:paraId="00000073">
            <w:pPr>
              <w:keepNext w:val="0"/>
              <w:keepLines w:val="0"/>
              <w:spacing w:after="60" w:before="60" w:line="264" w:lineRule="auto"/>
              <w:rPr>
                <w:sz w:val="19"/>
                <w:szCs w:val="19"/>
              </w:rPr>
            </w:pPr>
            <w:r w:rsidDel="00000000" w:rsidR="00000000" w:rsidRPr="00000000">
              <w:rPr>
                <w:sz w:val="19"/>
                <w:szCs w:val="19"/>
                <w:rtl w:val="0"/>
              </w:rPr>
              <w:t xml:space="preserve">Nag Hammadi copies usually dated to the fourth century</w:t>
            </w:r>
          </w:p>
        </w:tc>
        <w:tc>
          <w:tcPr>
            <w:shd w:fill="ffffff" w:val="clear"/>
            <w:tcMar>
              <w:top w:w="85.0" w:type="dxa"/>
              <w:left w:w="85.0" w:type="dxa"/>
              <w:bottom w:w="85.0" w:type="dxa"/>
              <w:right w:w="85.0" w:type="dxa"/>
            </w:tcMar>
          </w:tcPr>
          <w:p w:rsidR="00000000" w:rsidDel="00000000" w:rsidP="00000000" w:rsidRDefault="00000000" w:rsidRPr="00000000" w14:paraId="00000074">
            <w:pPr>
              <w:keepNext w:val="0"/>
              <w:keepLines w:val="0"/>
              <w:spacing w:after="60" w:before="60" w:line="264" w:lineRule="auto"/>
              <w:rPr>
                <w:sz w:val="19"/>
                <w:szCs w:val="19"/>
              </w:rPr>
            </w:pPr>
            <w:r w:rsidDel="00000000" w:rsidR="00000000" w:rsidRPr="00000000">
              <w:rPr>
                <w:sz w:val="19"/>
                <w:szCs w:val="19"/>
                <w:rtl w:val="0"/>
              </w:rPr>
              <w:t xml:space="preserve">A revelatory dialogue framed by John’s encounter with a Pharisee and the Savior’s correction of Moses. NHC II calls the chief ruler Yaldabaoth, Saklas, and Samael; 365 makers form the body, and Sophia’s power enters Adam through the ruler’s breath. </w:t>
            </w:r>
            <w:hyperlink r:id="rId62">
              <w:r w:rsidDel="00000000" w:rsidR="00000000" w:rsidRPr="00000000">
                <w:rPr>
                  <w:color w:val="1155cc"/>
                  <w:sz w:val="19"/>
                  <w:szCs w:val="19"/>
                  <w:u w:val="single"/>
                  <w:rtl w:val="0"/>
                </w:rPr>
                <w:t xml:space="preserve">[S3]</w:t>
              </w:r>
            </w:hyperlink>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5">
            <w:pPr>
              <w:keepNext w:val="0"/>
              <w:keepLines w:val="0"/>
              <w:spacing w:after="60" w:before="60" w:line="264" w:lineRule="auto"/>
              <w:rPr>
                <w:sz w:val="19"/>
                <w:szCs w:val="19"/>
              </w:rPr>
            </w:pPr>
            <w:r w:rsidDel="00000000" w:rsidR="00000000" w:rsidRPr="00000000">
              <w:rPr>
                <w:sz w:val="19"/>
                <w:szCs w:val="19"/>
                <w:rtl w:val="0"/>
              </w:rPr>
              <w:t xml:space="preserve">Direct textual access supports comparison of body, lower powers, and recovered divine origin. NHC III and Berlin preserve the short recension. Irenaeus 1.29 attests a related cosmogony around 180, not every detail of the surviving long form.</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76">
            <w:pPr>
              <w:keepNext w:val="0"/>
              <w:keepLines w:val="0"/>
              <w:spacing w:after="60" w:before="60" w:line="264" w:lineRule="auto"/>
              <w:rPr>
                <w:sz w:val="19"/>
                <w:szCs w:val="19"/>
              </w:rPr>
            </w:pPr>
            <w:r w:rsidDel="00000000" w:rsidR="00000000" w:rsidRPr="00000000">
              <w:rPr>
                <w:sz w:val="19"/>
                <w:szCs w:val="19"/>
                <w:rtl w:val="0"/>
              </w:rPr>
              <w:t xml:space="preserve">Hypostasis of the Archons</w:t>
            </w:r>
          </w:p>
          <w:p w:rsidR="00000000" w:rsidDel="00000000" w:rsidP="00000000" w:rsidRDefault="00000000" w:rsidRPr="00000000" w14:paraId="00000077">
            <w:pPr>
              <w:keepNext w:val="0"/>
              <w:keepLines w:val="0"/>
              <w:spacing w:after="60" w:before="60" w:line="264" w:lineRule="auto"/>
              <w:rPr>
                <w:sz w:val="19"/>
                <w:szCs w:val="19"/>
              </w:rPr>
            </w:pPr>
            <w:r w:rsidDel="00000000" w:rsidR="00000000" w:rsidRPr="00000000">
              <w:rPr>
                <w:sz w:val="19"/>
                <w:szCs w:val="19"/>
                <w:rtl w:val="0"/>
              </w:rPr>
              <w:t xml:space="preserve">NHC II,4</w:t>
            </w:r>
          </w:p>
          <w:p w:rsidR="00000000" w:rsidDel="00000000" w:rsidP="00000000" w:rsidRDefault="00000000" w:rsidRPr="00000000" w14:paraId="00000078">
            <w:pPr>
              <w:keepNext w:val="0"/>
              <w:keepLines w:val="0"/>
              <w:spacing w:after="60" w:before="60" w:line="264" w:lineRule="auto"/>
              <w:rPr>
                <w:sz w:val="19"/>
                <w:szCs w:val="19"/>
              </w:rPr>
            </w:pPr>
            <w:r w:rsidDel="00000000" w:rsidR="00000000" w:rsidRPr="00000000">
              <w:rPr>
                <w:sz w:val="19"/>
                <w:szCs w:val="19"/>
                <w:rtl w:val="0"/>
              </w:rPr>
              <w:t xml:space="preserve">Surviving copy usually dated to the fourth century</w:t>
            </w:r>
          </w:p>
        </w:tc>
        <w:tc>
          <w:tcPr>
            <w:shd w:fill="ffffff" w:val="clear"/>
            <w:tcMar>
              <w:top w:w="85.0" w:type="dxa"/>
              <w:left w:w="85.0" w:type="dxa"/>
              <w:bottom w:w="85.0" w:type="dxa"/>
              <w:right w:w="85.0" w:type="dxa"/>
            </w:tcMar>
          </w:tcPr>
          <w:p w:rsidR="00000000" w:rsidDel="00000000" w:rsidP="00000000" w:rsidRDefault="00000000" w:rsidRPr="00000000" w14:paraId="00000079">
            <w:pPr>
              <w:keepNext w:val="0"/>
              <w:keepLines w:val="0"/>
              <w:spacing w:after="60" w:before="60" w:line="264" w:lineRule="auto"/>
              <w:rPr>
                <w:sz w:val="19"/>
                <w:szCs w:val="19"/>
              </w:rPr>
            </w:pPr>
            <w:r w:rsidDel="00000000" w:rsidR="00000000" w:rsidRPr="00000000">
              <w:rPr>
                <w:sz w:val="19"/>
                <w:szCs w:val="19"/>
                <w:rtl w:val="0"/>
              </w:rPr>
              <w:t xml:space="preserve">Eleleth reveals the rulers’ origins to Norea. Zoe’s fiery angel binds Yaldabaoth in Tartaros; Sabaoth repents and is raised to the seventh heaven. Zoe teaches him about the eighth; wrath is stationed on his left. Yaldabaoth’s envy produces death. </w:t>
            </w:r>
            <w:hyperlink r:id="rId63">
              <w:r w:rsidDel="00000000" w:rsidR="00000000" w:rsidRPr="00000000">
                <w:rPr>
                  <w:color w:val="1155cc"/>
                  <w:sz w:val="19"/>
                  <w:szCs w:val="19"/>
                  <w:u w:val="single"/>
                  <w:rtl w:val="0"/>
                </w:rPr>
                <w:t xml:space="preserve">[S4]</w:t>
              </w:r>
            </w:hyperlink>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A">
            <w:pPr>
              <w:keepNext w:val="0"/>
              <w:keepLines w:val="0"/>
              <w:spacing w:after="60" w:before="60" w:line="264" w:lineRule="auto"/>
              <w:rPr>
                <w:sz w:val="19"/>
                <w:szCs w:val="19"/>
              </w:rPr>
            </w:pPr>
            <w:r w:rsidDel="00000000" w:rsidR="00000000" w:rsidRPr="00000000">
              <w:rPr>
                <w:sz w:val="19"/>
                <w:szCs w:val="19"/>
                <w:rtl w:val="0"/>
              </w:rPr>
              <w:t xml:space="preserve">II 95.1–96.14 turns a ruler into a teachable ally. Sabaoth’s role differs from his role in the Panarion list. The manuscript date does not settle when each stage of this narrative was composed.</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7B">
            <w:pPr>
              <w:keepNext w:val="0"/>
              <w:keepLines w:val="0"/>
              <w:spacing w:after="60" w:before="60" w:line="264" w:lineRule="auto"/>
              <w:rPr>
                <w:sz w:val="19"/>
                <w:szCs w:val="19"/>
              </w:rPr>
            </w:pPr>
            <w:r w:rsidDel="00000000" w:rsidR="00000000" w:rsidRPr="00000000">
              <w:rPr>
                <w:sz w:val="19"/>
                <w:szCs w:val="19"/>
                <w:rtl w:val="0"/>
              </w:rPr>
              <w:t xml:space="preserve">Pistis Sophia 147</w:t>
            </w:r>
          </w:p>
          <w:p w:rsidR="00000000" w:rsidDel="00000000" w:rsidP="00000000" w:rsidRDefault="00000000" w:rsidRPr="00000000" w14:paraId="0000007C">
            <w:pPr>
              <w:keepNext w:val="0"/>
              <w:keepLines w:val="0"/>
              <w:spacing w:after="60" w:before="60" w:line="264" w:lineRule="auto"/>
              <w:rPr>
                <w:sz w:val="19"/>
                <w:szCs w:val="19"/>
              </w:rPr>
            </w:pPr>
            <w:r w:rsidDel="00000000" w:rsidR="00000000" w:rsidRPr="00000000">
              <w:rPr>
                <w:sz w:val="19"/>
                <w:szCs w:val="19"/>
                <w:rtl w:val="0"/>
              </w:rPr>
              <w:t xml:space="preserve">Askew Codex</w:t>
            </w:r>
          </w:p>
          <w:p w:rsidR="00000000" w:rsidDel="00000000" w:rsidP="00000000" w:rsidRDefault="00000000" w:rsidRPr="00000000" w14:paraId="0000007D">
            <w:pPr>
              <w:keepNext w:val="0"/>
              <w:keepLines w:val="0"/>
              <w:spacing w:after="60" w:before="60" w:line="264" w:lineRule="auto"/>
              <w:rPr>
                <w:sz w:val="19"/>
                <w:szCs w:val="19"/>
              </w:rPr>
            </w:pPr>
            <w:r w:rsidDel="00000000" w:rsidR="00000000" w:rsidRPr="00000000">
              <w:rPr>
                <w:sz w:val="19"/>
                <w:szCs w:val="19"/>
                <w:rtl w:val="0"/>
              </w:rPr>
              <w:t xml:space="preserve">Copy dated about 350–450 CE in 4CARE; wider datings exist</w:t>
            </w:r>
          </w:p>
        </w:tc>
        <w:tc>
          <w:tcPr>
            <w:shd w:fill="ffffff" w:val="clear"/>
            <w:tcMar>
              <w:top w:w="85.0" w:type="dxa"/>
              <w:left w:w="85.0" w:type="dxa"/>
              <w:bottom w:w="85.0" w:type="dxa"/>
              <w:right w:w="85.0" w:type="dxa"/>
            </w:tcMar>
          </w:tcPr>
          <w:p w:rsidR="00000000" w:rsidDel="00000000" w:rsidP="00000000" w:rsidRDefault="00000000" w:rsidRPr="00000000" w14:paraId="0000007E">
            <w:pPr>
              <w:keepNext w:val="0"/>
              <w:keepLines w:val="0"/>
              <w:spacing w:after="60" w:before="60" w:line="264" w:lineRule="auto"/>
              <w:rPr>
                <w:sz w:val="19"/>
                <w:szCs w:val="19"/>
              </w:rPr>
            </w:pPr>
            <w:r w:rsidDel="00000000" w:rsidR="00000000" w:rsidRPr="00000000">
              <w:rPr>
                <w:sz w:val="19"/>
                <w:szCs w:val="19"/>
                <w:rtl w:val="0"/>
              </w:rPr>
              <w:t xml:space="preserve">Thomas introduces the ingestion accusation as hearsay; the Jesus figure condemns it. John’s next question concerns a righteous soul without the mysteries. Instruction, judgment, celestial timing, and renewed embodiment govern its route. </w:t>
            </w:r>
            <w:hyperlink r:id="rId64">
              <w:r w:rsidDel="00000000" w:rsidR="00000000" w:rsidRPr="00000000">
                <w:rPr>
                  <w:color w:val="1155cc"/>
                  <w:sz w:val="19"/>
                  <w:szCs w:val="19"/>
                  <w:u w:val="single"/>
                  <w:rtl w:val="0"/>
                </w:rPr>
                <w:t xml:space="preserve">[S5]</w:t>
              </w:r>
            </w:hyperlink>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F">
            <w:pPr>
              <w:keepNext w:val="0"/>
              <w:keepLines w:val="0"/>
              <w:spacing w:after="60" w:before="60" w:line="264" w:lineRule="auto"/>
              <w:rPr>
                <w:sz w:val="19"/>
                <w:szCs w:val="19"/>
              </w:rPr>
            </w:pPr>
            <w:r w:rsidDel="00000000" w:rsidR="00000000" w:rsidRPr="00000000">
              <w:rPr>
                <w:sz w:val="19"/>
                <w:szCs w:val="19"/>
                <w:rtl w:val="0"/>
              </w:rPr>
              <w:t xml:space="preserve">The text attests a controversy about the alleged practice, not direct observation of it. Its own polemic prevents treating a non-Epiphanian witness as neutral corroboration. The copy’s date is distinct from the dates of the work’s constituent materials.</w:t>
            </w:r>
          </w:p>
        </w:tc>
      </w:tr>
    </w:tbl>
    <w:p w:rsidR="00000000" w:rsidDel="00000000" w:rsidP="00000000" w:rsidRDefault="00000000" w:rsidRPr="00000000" w14:paraId="00000080">
      <w:pPr>
        <w:keepNext w:val="0"/>
        <w:spacing w:after="160" w:lineRule="auto"/>
        <w:rPr/>
      </w:pPr>
      <w:r w:rsidDel="00000000" w:rsidR="00000000" w:rsidRPr="00000000">
        <w:rPr>
          <w:rtl w:val="0"/>
        </w:rPr>
      </w:r>
    </w:p>
    <w:p w:rsidR="00000000" w:rsidDel="00000000" w:rsidP="00000000" w:rsidRDefault="00000000" w:rsidRPr="00000000" w14:paraId="00000081">
      <w:pPr>
        <w:keepNext w:val="0"/>
        <w:spacing w:after="160" w:lineRule="auto"/>
        <w:rPr/>
      </w:pPr>
      <w:r w:rsidDel="00000000" w:rsidR="00000000" w:rsidRPr="00000000">
        <w:rPr>
          <w:rtl w:val="0"/>
        </w:rPr>
        <w:t xml:space="preserve">The numerical comparison needs particular care. In the long Apocryphon of John, NHC II 11.22–26 gives a sequence of rulers, seven powers, and six angels for each power, then states a total of 365. The transmitted scheme does not yield a straightforward calculation of 7 × 6 = 365. Its wording and arrangement also vary across recensions. Likewise, John’s three names for one chief ruler must not be imposed on Epiphanius’s separate heavenly placements. Shared numbers and names invite comparison; their functions must be established within each account. </w:t>
      </w:r>
      <w:hyperlink r:id="rId65">
        <w:r w:rsidDel="00000000" w:rsidR="00000000" w:rsidRPr="00000000">
          <w:rPr>
            <w:color w:val="1155cc"/>
            <w:u w:val="single"/>
            <w:rtl w:val="0"/>
          </w:rPr>
          <w:t xml:space="preserve">[S1]</w:t>
        </w:r>
      </w:hyperlink>
      <w:hyperlink r:id="rId66">
        <w:r w:rsidDel="00000000" w:rsidR="00000000" w:rsidRPr="00000000">
          <w:rPr>
            <w:color w:val="1155cc"/>
            <w:u w:val="single"/>
            <w:rtl w:val="0"/>
          </w:rPr>
          <w:t xml:space="preserve">[S3]</w:t>
        </w:r>
      </w:hyperlink>
      <w:r w:rsidDel="00000000" w:rsidR="00000000" w:rsidRPr="00000000">
        <w:rPr>
          <w:rtl w:val="0"/>
        </w:rPr>
      </w:r>
    </w:p>
    <w:p w:rsidR="00000000" w:rsidDel="00000000" w:rsidP="00000000" w:rsidRDefault="00000000" w:rsidRPr="00000000" w14:paraId="00000082">
      <w:pPr>
        <w:keepNext w:val="0"/>
        <w:spacing w:after="160" w:lineRule="auto"/>
        <w:rPr/>
      </w:pPr>
      <w:r w:rsidDel="00000000" w:rsidR="00000000" w:rsidRPr="00000000">
        <w:rPr>
          <w:rtl w:val="0"/>
        </w:rPr>
        <w:t xml:space="preserve">Pistis Sophia makes the timing mechanism especially explicit. The righteous but uninitiated soul receives instruction, is judged by the Virgin of Light, and waits with little Sabaoth until Zeus and Aphrodite stand before her and Kronos and Ares behind her. Purification is followed by two different drinks: Yaluham’s water erases previous memories; another receiver then gives wisdom and soberness before renewed embodiment, producing persistent pursuit of the mysteries. This is a sequence of forgetting and reorientation, rather than uninterrupted recollection. </w:t>
      </w:r>
      <w:hyperlink r:id="rId67">
        <w:r w:rsidDel="00000000" w:rsidR="00000000" w:rsidRPr="00000000">
          <w:rPr>
            <w:color w:val="1155cc"/>
            <w:u w:val="single"/>
            <w:rtl w:val="0"/>
          </w:rPr>
          <w:t xml:space="preserve">[S5]</w:t>
        </w:r>
      </w:hyperlink>
      <w:r w:rsidDel="00000000" w:rsidR="00000000" w:rsidRPr="00000000">
        <w:rPr>
          <w:rtl w:val="0"/>
        </w:rPr>
      </w:r>
    </w:p>
    <w:p w:rsidR="00000000" w:rsidDel="00000000" w:rsidP="00000000" w:rsidRDefault="00000000" w:rsidRPr="00000000" w14:paraId="00000083">
      <w:pPr>
        <w:keepNext w:val="0"/>
        <w:spacing w:after="160" w:lineRule="auto"/>
        <w:rPr/>
      </w:pPr>
      <w:r w:rsidDel="00000000" w:rsidR="00000000" w:rsidRPr="00000000">
        <w:rPr>
          <w:rtl w:val="0"/>
        </w:rPr>
        <w:t xml:space="preserve">These comparisons strengthen the Timekeeper question by showing different conditions of passage: counted names, recovered power, changed allegiance, instruction, and a timed return. They also extend the eethnic shield question to every witness. Revelation can challenge an established interpreter while supplying a new claim to authority. Its narrative form alone does not establish that it is immune to correction. The test remains how a claim meets questions, competing readings, and contrary evidence. Irenaeus’s earlier gathering account makes the cosmological comparison historically deeper, but neither his report nor the independent Coptic works confirms Epiphanius’s particular rites or identifies all these writers with one community.</w:t>
      </w:r>
    </w:p>
    <w:p w:rsidR="00000000" w:rsidDel="00000000" w:rsidP="00000000" w:rsidRDefault="00000000" w:rsidRPr="00000000" w14:paraId="00000084">
      <w:pPr>
        <w:rPr/>
      </w:pPr>
      <w:r w:rsidDel="00000000" w:rsidR="00000000" w:rsidRPr="00000000">
        <w:rPr>
          <w:rtl w:val="0"/>
        </w:rPr>
        <w:t xml:space="preserve">The surviving Nag Hammadi Gospel of Philip develops its own account of resurrection and transformation during life. It is a separate textual witness from the ascent speech Epiphanius quotes under that title. Keeping both works visible enriches the comparison: ancient writers could ask related questions about transformation while giving different answers about its means. The shared problem is how embodied life relates to a higher origin; the answers remain available for close reading in their own texts. [S6]</w:t>
      </w:r>
    </w:p>
    <w:p w:rsidR="00000000" w:rsidDel="00000000" w:rsidP="00000000" w:rsidRDefault="00000000" w:rsidRPr="00000000" w14:paraId="00000085">
      <w:pPr>
        <w:pStyle w:val="Heading1"/>
        <w:rPr>
          <w:sz w:val="38"/>
          <w:szCs w:val="38"/>
        </w:rPr>
      </w:pPr>
      <w:r w:rsidDel="00000000" w:rsidR="00000000" w:rsidRPr="00000000">
        <w:rPr>
          <w:sz w:val="38"/>
          <w:szCs w:val="38"/>
          <w:rtl w:val="0"/>
        </w:rPr>
        <w:t xml:space="preserve">Who may reveal what a sanctuary conceals</w:t>
      </w:r>
    </w:p>
    <w:p w:rsidR="00000000" w:rsidDel="00000000" w:rsidP="00000000" w:rsidRDefault="00000000" w:rsidRPr="00000000" w14:paraId="00000086">
      <w:pPr>
        <w:rPr/>
      </w:pPr>
      <w:r w:rsidDel="00000000" w:rsidR="00000000" w:rsidRPr="00000000">
        <w:rPr>
          <w:rtl w:val="0"/>
        </w:rPr>
        <w:t xml:space="preserve">The same conflict over interpretation appears in the Birth of Mary story reported by Epiphanius. Zechariah enters the sanctuary, sees a figure in the form of an ass, and seeks to expose what he has discovered. His mouth is stopped. When he later speaks, the story says, he is killed. The revelation is condensed into a question.</w:t>
      </w:r>
    </w:p>
    <w:p w:rsidR="00000000" w:rsidDel="00000000" w:rsidP="00000000" w:rsidRDefault="00000000" w:rsidRPr="00000000" w14:paraId="00000087">
      <w:pPr>
        <w:keepNext w:val="1"/>
        <w:rPr/>
      </w:pPr>
      <w:r w:rsidDel="00000000" w:rsidR="00000000" w:rsidRPr="00000000">
        <w:rPr>
          <w:rFonts w:ascii="Arial" w:cs="Arial" w:eastAsia="Arial" w:hAnsi="Arial"/>
          <w:b w:val="1"/>
          <w:bCs w:val="1"/>
          <w:sz w:val="18"/>
          <w:szCs w:val="18"/>
          <w:rtl w:val="0"/>
        </w:rPr>
        <w:t xml:space="preserve">26.12.3   The interrupted revelation</w:t>
      </w:r>
      <w:r w:rsidDel="00000000" w:rsidR="00000000" w:rsidRPr="00000000">
        <w:rPr>
          <w:rtl w:val="0"/>
        </w:rPr>
      </w:r>
    </w:p>
    <w:p w:rsidR="00000000" w:rsidDel="00000000" w:rsidP="00000000" w:rsidRDefault="00000000" w:rsidRPr="00000000" w14:paraId="00000088">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οὐαὶ ὑμῖν, τίνι προσκυνεῖτε;</w:t>
      </w:r>
      <w:r w:rsidDel="00000000" w:rsidR="00000000" w:rsidRPr="00000000">
        <w:rPr>
          <w:rtl w:val="0"/>
        </w:rPr>
      </w:r>
    </w:p>
    <w:p w:rsidR="00000000" w:rsidDel="00000000" w:rsidP="00000000" w:rsidRDefault="00000000" w:rsidRPr="00000000" w14:paraId="00000089">
      <w:pPr>
        <w:ind w:left="230" w:firstLine="0"/>
        <w:rPr/>
      </w:pPr>
      <w:r w:rsidDel="00000000" w:rsidR="00000000" w:rsidRPr="00000000">
        <w:rPr>
          <w:i w:val="1"/>
          <w:iCs w:val="1"/>
          <w:rtl w:val="0"/>
        </w:rPr>
        <w:t xml:space="preserve">“Woe to you! Whom are you worshipping?”</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rtl w:val="0"/>
        </w:rPr>
        <w:t xml:space="preserve">Priestly bells receive a striking explanation: their sound warns the hidden object of worship that a priest is approaching, giving it time to conceal itself. Epiphanius records the purpose with κρύπτηται, “so that he may hide.” Within the rival story, a ritual safeguard protects a deception. </w:t>
      </w:r>
      <w:hyperlink r:id="rId68">
        <w:r w:rsidDel="00000000" w:rsidR="00000000" w:rsidRPr="00000000">
          <w:rPr>
            <w:color w:val="1155cc"/>
            <w:u w:val="single"/>
            <w:rtl w:val="0"/>
          </w:rPr>
          <w:t xml:space="preserve">The eethnic shield</w:t>
        </w:r>
      </w:hyperlink>
      <w:r w:rsidDel="00000000" w:rsidR="00000000" w:rsidRPr="00000000">
        <w:rPr>
          <w:rtl w:val="0"/>
        </w:rPr>
        <w:t xml:space="preserve"> connection is the organization of access to truth: the person who sees behind the authorized account becomes a threat to the institution the account supports.</w:t>
      </w:r>
    </w:p>
    <w:p w:rsidR="00000000" w:rsidDel="00000000" w:rsidP="00000000" w:rsidRDefault="00000000" w:rsidRPr="00000000" w14:paraId="0000008B">
      <w:pPr>
        <w:rPr/>
      </w:pPr>
      <w:r w:rsidDel="00000000" w:rsidR="00000000" w:rsidRPr="00000000">
        <w:rPr>
          <w:rtl w:val="0"/>
        </w:rPr>
        <w:t xml:space="preserve">Epiphanius replies by testing the story’s account of embodiment and its biblical chronology. Would an invisible spirit need an audible warning to avoid being seen? Luke’s narrative also has Zechariah living after John’s birth and speaking prophecy. The reader can follow those objections as arguments, comparing the rival story with the physical assumptions and scriptural narrative Epiphanius invokes. [S1][S7]</w:t>
      </w:r>
    </w:p>
    <w:p w:rsidR="00000000" w:rsidDel="00000000" w:rsidP="00000000" w:rsidRDefault="00000000" w:rsidRPr="00000000" w14:paraId="0000008C">
      <w:pPr>
        <w:rPr/>
      </w:pPr>
      <w:r w:rsidDel="00000000" w:rsidR="00000000" w:rsidRPr="00000000">
        <w:rPr>
          <w:rtl w:val="0"/>
        </w:rPr>
        <w:t xml:space="preserve">His defense of Sabaoth addresses the authority of naming. The rival reading turns the designation into a lower ruler’s name. Epiphanius interprets “Lord Sabaoth” as praise of God, appealing to hosts or armies: Hebrew ṣəḇāʾōt means “hosts,” within the fuller title “Lord of hosts.”</w:t>
      </w:r>
    </w:p>
    <w:p w:rsidR="00000000" w:rsidDel="00000000" w:rsidP="00000000" w:rsidRDefault="00000000" w:rsidRPr="00000000" w14:paraId="0000008D">
      <w:pPr>
        <w:keepNext w:val="1"/>
        <w:rPr/>
      </w:pPr>
      <w:r w:rsidDel="00000000" w:rsidR="00000000" w:rsidRPr="00000000">
        <w:rPr>
          <w:rFonts w:ascii="Arial" w:cs="Arial" w:eastAsia="Arial" w:hAnsi="Arial"/>
          <w:b w:val="1"/>
          <w:bCs w:val="1"/>
          <w:sz w:val="18"/>
          <w:szCs w:val="18"/>
          <w:rtl w:val="0"/>
        </w:rPr>
        <w:t xml:space="preserve">26.10.11   Epiphanius’s interpretation of the title</w:t>
      </w:r>
      <w:r w:rsidDel="00000000" w:rsidR="00000000" w:rsidRPr="00000000">
        <w:rPr>
          <w:rtl w:val="0"/>
        </w:rPr>
      </w:r>
    </w:p>
    <w:p w:rsidR="00000000" w:rsidDel="00000000" w:rsidP="00000000" w:rsidRDefault="00000000" w:rsidRPr="00000000" w14:paraId="0000008E">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οὐκ ὄνομά τινος εἶπεν, ἀλλ᾽ ὄνομα δοξολογίας τῆς θεότητος</w:t>
      </w:r>
      <w:r w:rsidDel="00000000" w:rsidR="00000000" w:rsidRPr="00000000">
        <w:rPr>
          <w:rtl w:val="0"/>
        </w:rPr>
      </w:r>
    </w:p>
    <w:p w:rsidR="00000000" w:rsidDel="00000000" w:rsidP="00000000" w:rsidRDefault="00000000" w:rsidRPr="00000000" w14:paraId="0000008F">
      <w:pPr>
        <w:ind w:left="230" w:firstLine="0"/>
        <w:rPr/>
      </w:pPr>
      <w:r w:rsidDel="00000000" w:rsidR="00000000" w:rsidRPr="00000000">
        <w:rPr>
          <w:i w:val="1"/>
          <w:iCs w:val="1"/>
          <w:rtl w:val="0"/>
        </w:rPr>
        <w:t xml:space="preserve">“It did not give someone’s name, but a designation praising the divinity.”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disagreement is about what a sacred name points to. A title that authorizes worship in one account identifies an obstacle in another. The sanctuary story asks who is being worshipped; the discussion of Sabaoth asks how language tells the worshipper whom to recognize. Both connect the interpretation of a sign to the legitimacy of an institution. [S1][D1]</w:t>
      </w:r>
    </w:p>
    <w:p w:rsidR="00000000" w:rsidDel="00000000" w:rsidP="00000000" w:rsidRDefault="00000000" w:rsidRPr="00000000" w14:paraId="00000091">
      <w:pPr>
        <w:pStyle w:val="Heading1"/>
        <w:rPr>
          <w:sz w:val="38"/>
          <w:szCs w:val="38"/>
        </w:rPr>
      </w:pPr>
      <w:r w:rsidDel="00000000" w:rsidR="00000000" w:rsidRPr="00000000">
        <w:rPr>
          <w:sz w:val="38"/>
          <w:szCs w:val="38"/>
          <w:rtl w:val="0"/>
        </w:rPr>
        <w:t xml:space="preserve">How scripture defines the body and the community</w:t>
      </w:r>
    </w:p>
    <w:p w:rsidR="00000000" w:rsidDel="00000000" w:rsidP="00000000" w:rsidRDefault="00000000" w:rsidRPr="00000000" w14:paraId="00000092">
      <w:pPr>
        <w:rPr/>
      </w:pPr>
      <w:r w:rsidDel="00000000" w:rsidR="00000000" w:rsidRPr="00000000">
        <w:rPr>
          <w:rtl w:val="0"/>
        </w:rPr>
        <w:t xml:space="preserve">Epiphanius often contests rival readings with words both sides recognize. At 26.8.7, he reports an interpretation of Psalm 1 in which the tree’s fruit signifies emission and its unfailing leaf means that the substance is consumed rather than dropped. At 26.15.1, he restores the preceding verse and asks the reader to hear the image within the psalm’s account of the righteous person.</w:t>
      </w:r>
    </w:p>
    <w:p w:rsidR="00000000" w:rsidDel="00000000" w:rsidP="00000000" w:rsidRDefault="00000000" w:rsidRPr="00000000" w14:paraId="00000093">
      <w:pPr>
        <w:keepNext w:val="1"/>
        <w:rPr/>
      </w:pPr>
      <w:r w:rsidDel="00000000" w:rsidR="00000000" w:rsidRPr="00000000">
        <w:rPr>
          <w:rFonts w:ascii="Arial" w:cs="Arial" w:eastAsia="Arial" w:hAnsi="Arial"/>
          <w:b w:val="1"/>
          <w:bCs w:val="1"/>
          <w:sz w:val="18"/>
          <w:szCs w:val="18"/>
          <w:rtl w:val="0"/>
        </w:rPr>
        <w:t xml:space="preserve">26.15.1   The context Epiphanius restores</w:t>
      </w:r>
      <w:r w:rsidDel="00000000" w:rsidR="00000000" w:rsidRPr="00000000">
        <w:rPr>
          <w:rtl w:val="0"/>
        </w:rPr>
      </w:r>
    </w:p>
    <w:p w:rsidR="00000000" w:rsidDel="00000000" w:rsidP="00000000" w:rsidRDefault="00000000" w:rsidRPr="00000000" w14:paraId="00000094">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ἐν τῷ νόμῳ κυρίου τὸ θέλημα αὐτοῦ</w:t>
      </w:r>
      <w:r w:rsidDel="00000000" w:rsidR="00000000" w:rsidRPr="00000000">
        <w:rPr>
          <w:rtl w:val="0"/>
        </w:rPr>
      </w:r>
    </w:p>
    <w:p w:rsidR="00000000" w:rsidDel="00000000" w:rsidP="00000000" w:rsidRDefault="00000000" w:rsidRPr="00000000" w14:paraId="00000095">
      <w:pPr>
        <w:ind w:left="230" w:firstLine="0"/>
        <w:rPr/>
      </w:pPr>
      <w:r w:rsidDel="00000000" w:rsidR="00000000" w:rsidRPr="00000000">
        <w:rPr>
          <w:i w:val="1"/>
          <w:iCs w:val="1"/>
          <w:rtl w:val="0"/>
        </w:rPr>
        <w:t xml:space="preserve">“His delight is in the law of the Lord.”</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blessed person delights in the Lord’s law and meditates on it day and night. That context gives Epiphanius a substantive objection to readers who reject the lawgiver while claiming the flourishing tree as their model. This is a useful example of correction through surrounding language: the interpretation can be tested against the passage it cites.</w:t>
      </w:r>
    </w:p>
    <w:p w:rsidR="00000000" w:rsidDel="00000000" w:rsidP="00000000" w:rsidRDefault="00000000" w:rsidRPr="00000000" w14:paraId="00000097">
      <w:pPr>
        <w:rPr/>
      </w:pPr>
      <w:r w:rsidDel="00000000" w:rsidR="00000000" w:rsidRPr="00000000">
        <w:rPr>
          <w:rtl w:val="0"/>
        </w:rPr>
        <w:t xml:space="preserve">His treatment of Mary and the risen Jesus shows a different interpretive move. He quotes John 20:17 within an argument about chastity.</w:t>
      </w:r>
    </w:p>
    <w:p w:rsidR="00000000" w:rsidDel="00000000" w:rsidP="00000000" w:rsidRDefault="00000000" w:rsidRPr="00000000" w14:paraId="00000098">
      <w:pPr>
        <w:keepNext w:val="1"/>
        <w:rPr/>
      </w:pPr>
      <w:r w:rsidDel="00000000" w:rsidR="00000000" w:rsidRPr="00000000">
        <w:rPr>
          <w:rFonts w:ascii="Arial" w:cs="Arial" w:eastAsia="Arial" w:hAnsi="Arial"/>
          <w:b w:val="1"/>
          <w:bCs w:val="1"/>
          <w:sz w:val="18"/>
          <w:szCs w:val="18"/>
          <w:rtl w:val="0"/>
        </w:rPr>
        <w:t xml:space="preserve">26.15.6   John 20.17 within Epiphanius’s argument</w:t>
      </w:r>
      <w:r w:rsidDel="00000000" w:rsidR="00000000" w:rsidRPr="00000000">
        <w:rPr>
          <w:rtl w:val="0"/>
        </w:rPr>
      </w:r>
    </w:p>
    <w:p w:rsidR="00000000" w:rsidDel="00000000" w:rsidP="00000000" w:rsidRDefault="00000000" w:rsidRPr="00000000" w14:paraId="00000099">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μή μου ἅπτου· οὔπω γὰρ ἀναβέβηκα πρὸς τὸν πατέρα</w:t>
      </w:r>
      <w:r w:rsidDel="00000000" w:rsidR="00000000" w:rsidRPr="00000000">
        <w:rPr>
          <w:rtl w:val="0"/>
        </w:rPr>
      </w:r>
    </w:p>
    <w:p w:rsidR="00000000" w:rsidDel="00000000" w:rsidP="00000000" w:rsidRDefault="00000000" w:rsidRPr="00000000" w14:paraId="0000009A">
      <w:pPr>
        <w:ind w:left="230" w:firstLine="0"/>
        <w:rPr/>
      </w:pPr>
      <w:r w:rsidDel="00000000" w:rsidR="00000000" w:rsidRPr="00000000">
        <w:rPr>
          <w:i w:val="1"/>
          <w:iCs w:val="1"/>
          <w:rtl w:val="0"/>
        </w:rPr>
        <w:t xml:space="preserve">“Do not touch me,” or “Do not hold on to me,” “for I have not yet ascended to the Father.”</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rtl w:val="0"/>
        </w:rPr>
        <w:t xml:space="preserve">ἅπτομαι can mean touching or taking hold and can carry a sexual sense in a suitable setting, as in 1 Corinthians 7:1. John’s scene is the encounter with Mary Magdalene after the resurrection and continues with a message for the disciples. Epiphanius introduces his explanation with ἵνα δείξῃ, “so that he might show,” assigning the saying a purpose: to display chastity unmixed with bodies. The grammar lets us see the interpreter at work. John supplies the saying; Epiphanius supplies this account of what it is intended to demonstrate. [S1][S7]</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His defense of Christ’s flesh likewise gathers Johannine warnings into a doctrinal boundary and applies it to his opponents. In the passages on marriage, the positive teaching becomes clearer. Epiphanius honors both celibacy and marriage: abstinence can be chaste, and a faithful marriage can have an undefiled bed.</w:t>
      </w:r>
    </w:p>
    <w:p w:rsidR="00000000" w:rsidDel="00000000" w:rsidP="00000000" w:rsidRDefault="00000000" w:rsidRPr="00000000" w14:paraId="0000009D">
      <w:pPr>
        <w:keepNext w:val="1"/>
        <w:rPr/>
      </w:pPr>
      <w:r w:rsidDel="00000000" w:rsidR="00000000" w:rsidRPr="00000000">
        <w:rPr>
          <w:rFonts w:ascii="Arial" w:cs="Arial" w:eastAsia="Arial" w:hAnsi="Arial"/>
          <w:b w:val="1"/>
          <w:bCs w:val="1"/>
          <w:sz w:val="18"/>
          <w:szCs w:val="18"/>
          <w:rtl w:val="0"/>
        </w:rPr>
        <w:t xml:space="preserve">26.16.1   Hebrews 13.4 in his defense of marriage</w:t>
      </w:r>
      <w:r w:rsidDel="00000000" w:rsidR="00000000" w:rsidRPr="00000000">
        <w:rPr>
          <w:rtl w:val="0"/>
        </w:rPr>
      </w:r>
    </w:p>
    <w:p w:rsidR="00000000" w:rsidDel="00000000" w:rsidP="00000000" w:rsidRDefault="00000000" w:rsidRPr="00000000" w14:paraId="0000009E">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τίμιος ὁ γάμος καὶ ἡ κοίτη ἀμίαντος</w:t>
      </w:r>
      <w:r w:rsidDel="00000000" w:rsidR="00000000" w:rsidRPr="00000000">
        <w:rPr>
          <w:rtl w:val="0"/>
        </w:rPr>
      </w:r>
    </w:p>
    <w:p w:rsidR="00000000" w:rsidDel="00000000" w:rsidP="00000000" w:rsidRDefault="00000000" w:rsidRPr="00000000" w14:paraId="0000009F">
      <w:pPr>
        <w:ind w:left="230" w:firstLine="0"/>
        <w:rPr/>
      </w:pPr>
      <w:r w:rsidDel="00000000" w:rsidR="00000000" w:rsidRPr="00000000">
        <w:rPr>
          <w:i w:val="1"/>
          <w:iCs w:val="1"/>
          <w:rtl w:val="0"/>
        </w:rPr>
        <w:t xml:space="preserve">“Marriage is honorable, and the bed undefiled.”</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conflict over “virginity” follows from these different accounts of bodily life. He says the rivals use the term for women who avoid insemination despite sexual activity, whereas he reserves it for abstinence. One definition seeks to prevent reproduction and the dispersal of life; the other defines a form of sexual conduct. Understanding that difference makes the argument’s stakes much clearer than its insults do.</w:t>
      </w:r>
    </w:p>
    <w:tbl>
      <w:tblPr>
        <w:tblStyle w:val="Table4"/>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00"/>
        <w:gridCol w:w="7680"/>
        <w:tblGridChange w:id="0">
          <w:tblGrid>
            <w:gridCol w:w="2400"/>
            <w:gridCol w:w="7680"/>
          </w:tblGrid>
        </w:tblGridChange>
      </w:tblGrid>
      <w:tr>
        <w:trPr>
          <w:cantSplit w:val="1"/>
          <w:tblHeader w:val="1"/>
        </w:trPr>
        <w:tc>
          <w:tcPr>
            <w:shd w:fill="304d59" w:val="clear"/>
            <w:tcMar>
              <w:top w:w="85.0" w:type="dxa"/>
              <w:left w:w="85.0" w:type="dxa"/>
              <w:bottom w:w="85.0" w:type="dxa"/>
              <w:right w:w="85.0" w:type="dxa"/>
            </w:tcMar>
            <w:vAlign w:val="center"/>
          </w:tcPr>
          <w:p w:rsidR="00000000" w:rsidDel="00000000" w:rsidP="00000000" w:rsidRDefault="00000000" w:rsidRPr="00000000" w14:paraId="000000A1">
            <w:pPr>
              <w:spacing w:after="60" w:before="60" w:line="264" w:lineRule="auto"/>
              <w:rPr/>
            </w:pPr>
            <w:r w:rsidDel="00000000" w:rsidR="00000000" w:rsidRPr="00000000">
              <w:rPr>
                <w:b w:val="1"/>
                <w:bCs w:val="1"/>
                <w:color w:val="ffffff"/>
                <w:sz w:val="19"/>
                <w:szCs w:val="19"/>
                <w:rtl w:val="0"/>
              </w:rPr>
              <w:t xml:space="preserve">Passage he uses</w:t>
            </w:r>
            <w:r w:rsidDel="00000000" w:rsidR="00000000" w:rsidRPr="00000000">
              <w:rPr>
                <w:rtl w:val="0"/>
              </w:rPr>
            </w:r>
          </w:p>
        </w:tc>
        <w:tc>
          <w:tcPr>
            <w:shd w:fill="304d59" w:val="clear"/>
            <w:tcMar>
              <w:top w:w="85.0" w:type="dxa"/>
              <w:left w:w="85.0" w:type="dxa"/>
              <w:bottom w:w="85.0" w:type="dxa"/>
              <w:right w:w="85.0" w:type="dxa"/>
            </w:tcMar>
            <w:vAlign w:val="center"/>
          </w:tcPr>
          <w:p w:rsidR="00000000" w:rsidDel="00000000" w:rsidP="00000000" w:rsidRDefault="00000000" w:rsidRPr="00000000" w14:paraId="000000A2">
            <w:pPr>
              <w:spacing w:after="60" w:before="60" w:line="264" w:lineRule="auto"/>
              <w:rPr/>
            </w:pPr>
            <w:r w:rsidDel="00000000" w:rsidR="00000000" w:rsidRPr="00000000">
              <w:rPr>
                <w:b w:val="1"/>
                <w:bCs w:val="1"/>
                <w:color w:val="ffffff"/>
                <w:sz w:val="19"/>
                <w:szCs w:val="19"/>
                <w:rtl w:val="0"/>
              </w:rPr>
              <w:t xml:space="preserve">What it contributes to his argument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3">
            <w:pPr>
              <w:spacing w:after="60" w:before="60" w:line="264" w:lineRule="auto"/>
              <w:rPr/>
            </w:pPr>
            <w:r w:rsidDel="00000000" w:rsidR="00000000" w:rsidRPr="00000000">
              <w:rPr>
                <w:sz w:val="19"/>
                <w:szCs w:val="19"/>
                <w:rtl w:val="0"/>
              </w:rPr>
              <w:t xml:space="preserve">1 Corinthians 7:32 and 34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4">
            <w:pPr>
              <w:spacing w:after="60" w:before="60" w:line="264" w:lineRule="auto"/>
              <w:rPr/>
            </w:pPr>
            <w:r w:rsidDel="00000000" w:rsidR="00000000" w:rsidRPr="00000000">
              <w:rPr>
                <w:sz w:val="19"/>
                <w:szCs w:val="19"/>
                <w:rtl w:val="0"/>
              </w:rPr>
              <w:t xml:space="preserve">The unmarried person and the virgin attend to the Lord.</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A5">
            <w:pPr>
              <w:spacing w:after="60" w:before="60" w:line="264" w:lineRule="auto"/>
              <w:rPr/>
            </w:pPr>
            <w:r w:rsidDel="00000000" w:rsidR="00000000" w:rsidRPr="00000000">
              <w:rPr>
                <w:sz w:val="19"/>
                <w:szCs w:val="19"/>
                <w:rtl w:val="0"/>
              </w:rPr>
              <w:t xml:space="preserve">Hebrews 13:4</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A6">
            <w:pPr>
              <w:spacing w:after="60" w:before="60" w:line="264" w:lineRule="auto"/>
              <w:rPr/>
            </w:pPr>
            <w:r w:rsidDel="00000000" w:rsidR="00000000" w:rsidRPr="00000000">
              <w:rPr>
                <w:sz w:val="19"/>
                <w:szCs w:val="19"/>
                <w:rtl w:val="0"/>
              </w:rPr>
              <w:t xml:space="preserve">Marriage and the marital bed can be honorable and undefiled.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7">
            <w:pPr>
              <w:spacing w:after="60" w:before="60" w:line="264" w:lineRule="auto"/>
              <w:rPr/>
            </w:pPr>
            <w:r w:rsidDel="00000000" w:rsidR="00000000" w:rsidRPr="00000000">
              <w:rPr>
                <w:sz w:val="19"/>
                <w:szCs w:val="19"/>
                <w:rtl w:val="0"/>
              </w:rPr>
              <w:t xml:space="preserve">1 Timothy 5:11–14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8">
            <w:pPr>
              <w:spacing w:after="60" w:before="60" w:line="264" w:lineRule="auto"/>
              <w:rPr/>
            </w:pPr>
            <w:r w:rsidDel="00000000" w:rsidR="00000000" w:rsidRPr="00000000">
              <w:rPr>
                <w:sz w:val="19"/>
                <w:szCs w:val="19"/>
                <w:rtl w:val="0"/>
              </w:rPr>
              <w:t xml:space="preserve">Younger widows and the place of marriage, children, and household care.</w:t>
            </w:r>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A9">
            <w:pPr>
              <w:spacing w:after="60" w:before="60" w:line="264" w:lineRule="auto"/>
              <w:rPr/>
            </w:pPr>
            <w:r w:rsidDel="00000000" w:rsidR="00000000" w:rsidRPr="00000000">
              <w:rPr>
                <w:sz w:val="19"/>
                <w:szCs w:val="19"/>
                <w:rtl w:val="0"/>
              </w:rPr>
              <w:t xml:space="preserve">Romans 1:26–27</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AA">
            <w:pPr>
              <w:spacing w:after="60" w:before="60" w:line="264" w:lineRule="auto"/>
              <w:rPr/>
            </w:pPr>
            <w:r w:rsidDel="00000000" w:rsidR="00000000" w:rsidRPr="00000000">
              <w:rPr>
                <w:sz w:val="19"/>
                <w:szCs w:val="19"/>
                <w:rtl w:val="0"/>
              </w:rPr>
              <w:t xml:space="preserve">A vocabulary of disordered desire, applied to the people he attacks.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B">
            <w:pPr>
              <w:spacing w:after="60" w:before="60" w:line="264" w:lineRule="auto"/>
              <w:rPr/>
            </w:pPr>
            <w:r w:rsidDel="00000000" w:rsidR="00000000" w:rsidRPr="00000000">
              <w:rPr>
                <w:sz w:val="19"/>
                <w:szCs w:val="19"/>
                <w:rtl w:val="0"/>
              </w:rPr>
              <w:t xml:space="preserve">2 Timothy 3:1–4 and 1 Timothy 4:2–3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C">
            <w:pPr>
              <w:spacing w:after="60" w:before="60" w:line="264" w:lineRule="auto"/>
              <w:rPr/>
            </w:pPr>
            <w:r w:rsidDel="00000000" w:rsidR="00000000" w:rsidRPr="00000000">
              <w:rPr>
                <w:sz w:val="19"/>
                <w:szCs w:val="19"/>
                <w:rtl w:val="0"/>
              </w:rPr>
              <w:t xml:space="preserve">Pleasure, damaged conscience, and the prohibition of marriage.</w:t>
            </w:r>
            <w:r w:rsidDel="00000000" w:rsidR="00000000" w:rsidRPr="00000000">
              <w:rPr>
                <w:rtl w:val="0"/>
              </w:rPr>
            </w:r>
          </w:p>
        </w:tc>
      </w:tr>
    </w:tbl>
    <w:p w:rsidR="00000000" w:rsidDel="00000000" w:rsidP="00000000" w:rsidRDefault="00000000" w:rsidRPr="00000000" w14:paraId="000000AD">
      <w:pPr>
        <w:spacing w:after="40" w:line="6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Times New Roman" w:cs="Times New Roman" w:eastAsia="Times New Roman" w:hAnsi="Times New Roman"/>
          <w:rtl w:val="0"/>
        </w:rPr>
        <w:t xml:space="preserve">Paul, Jude, and the pastoral letters provide Epiphanius with language for judging desire, conscience, household life, and rival authority. At 26.16.3, he combines difficult last days, love of pleasure, the prohibition of marriage, and seared consciences. κατ’ αὐτῶν, “against them,” and περὶ τούτων, “about these people,” show him assigning the warnings to the people he is attacking. The quotations establish his moral framework; his application identifies his opponents as its target. [S1][S7]</w:t>
      </w:r>
      <w:r w:rsidDel="00000000" w:rsidR="00000000" w:rsidRPr="00000000">
        <w:rPr>
          <w:rtl w:val="0"/>
        </w:rPr>
      </w:r>
    </w:p>
    <w:p w:rsidR="00000000" w:rsidDel="00000000" w:rsidP="00000000" w:rsidRDefault="00000000" w:rsidRPr="00000000" w14:paraId="000000AF">
      <w:pPr>
        <w:rPr/>
      </w:pPr>
      <w:hyperlink r:id="rId69">
        <w:r w:rsidDel="00000000" w:rsidR="00000000" w:rsidRPr="00000000">
          <w:rPr>
            <w:color w:val="1155cc"/>
            <w:u w:val="single"/>
            <w:rtl w:val="0"/>
          </w:rPr>
          <w:t xml:space="preserve">The eethnic shield</w:t>
        </w:r>
      </w:hyperlink>
      <w:r w:rsidDel="00000000" w:rsidR="00000000" w:rsidRPr="00000000">
        <w:rPr>
          <w:rtl w:val="0"/>
        </w:rPr>
        <w:t xml:space="preserve"> asks what happens after that identification. If a sacred warning settles who the opponent is before their words are heard, interpretation can make its own verdict difficult to challenge. Yet a shared text can also supply a standard by which the interpreter is judged. The project’s use of Malachi 2:7–9 develops this constructive possibility: priestly knowledge carries obligations, and the office can be criticized for violating them. Authority becomes answerable through the responsibilities it claims. </w:t>
      </w:r>
      <w:hyperlink r:id="rId70">
        <w:r w:rsidDel="00000000" w:rsidR="00000000" w:rsidRPr="00000000">
          <w:rPr>
            <w:color w:val="1155cc"/>
            <w:u w:val="single"/>
            <w:rtl w:val="0"/>
          </w:rPr>
          <w:t xml:space="preserve">[U1]</w:t>
        </w:r>
      </w:hyperlink>
      <w:r w:rsidDel="00000000" w:rsidR="00000000" w:rsidRPr="00000000">
        <w:rPr>
          <w:rtl w:val="0"/>
        </w:rPr>
        <w:t xml:space="preserve">[D1]</w:t>
      </w:r>
    </w:p>
    <w:p w:rsidR="00000000" w:rsidDel="00000000" w:rsidP="00000000" w:rsidRDefault="00000000" w:rsidRPr="00000000" w14:paraId="000000B0">
      <w:pPr>
        <w:pStyle w:val="Heading1"/>
        <w:rPr>
          <w:sz w:val="38"/>
          <w:szCs w:val="38"/>
        </w:rPr>
      </w:pPr>
      <w:hyperlink r:id="rId71">
        <w:r w:rsidDel="00000000" w:rsidR="00000000" w:rsidRPr="00000000">
          <w:rPr>
            <w:sz w:val="38"/>
            <w:szCs w:val="38"/>
            <w:u w:val="single"/>
            <w:rtl w:val="0"/>
          </w:rPr>
          <w:t xml:space="preserve">The eethnic shield</w:t>
        </w:r>
      </w:hyperlink>
      <w:r w:rsidDel="00000000" w:rsidR="00000000" w:rsidRPr="00000000">
        <w:rPr>
          <w:sz w:val="38"/>
          <w:szCs w:val="38"/>
          <w:rtl w:val="0"/>
        </w:rPr>
        <w:t xml:space="preserve"> and the decision to let a teaching be heard</w:t>
      </w:r>
    </w:p>
    <w:p w:rsidR="00000000" w:rsidDel="00000000" w:rsidP="00000000" w:rsidRDefault="00000000" w:rsidRPr="00000000" w14:paraId="000000B1">
      <w:pPr>
        <w:rPr/>
      </w:pPr>
      <w:r w:rsidDel="00000000" w:rsidR="00000000" w:rsidRPr="00000000">
        <w:rPr>
          <w:rtl w:val="0"/>
        </w:rPr>
        <w:t xml:space="preserve">Epiphanius makes his policy of disclosure explicit at 26.14.4. The passage moves from judging a teaching to controlling its circulation in speech, writing, and hearing.</w:t>
      </w:r>
    </w:p>
    <w:p w:rsidR="00000000" w:rsidDel="00000000" w:rsidP="00000000" w:rsidRDefault="00000000" w:rsidRPr="00000000" w14:paraId="000000B2">
      <w:pPr>
        <w:keepNext w:val="1"/>
        <w:rPr/>
      </w:pPr>
      <w:r w:rsidDel="00000000" w:rsidR="00000000" w:rsidRPr="00000000">
        <w:rPr>
          <w:rFonts w:ascii="Arial" w:cs="Arial" w:eastAsia="Arial" w:hAnsi="Arial"/>
          <w:b w:val="1"/>
          <w:bCs w:val="1"/>
          <w:sz w:val="18"/>
          <w:szCs w:val="18"/>
          <w:rtl w:val="0"/>
        </w:rPr>
        <w:t xml:space="preserve">26.14.4   The burial passage</w:t>
      </w:r>
      <w:r w:rsidDel="00000000" w:rsidR="00000000" w:rsidRPr="00000000">
        <w:rPr>
          <w:rtl w:val="0"/>
        </w:rPr>
      </w:r>
    </w:p>
    <w:p w:rsidR="00000000" w:rsidDel="00000000" w:rsidP="00000000" w:rsidRDefault="00000000" w:rsidRPr="00000000" w14:paraId="000000B3">
      <w:pPr>
        <w:keepNext w:val="1"/>
        <w:ind w:left="230" w:right="230" w:firstLine="0"/>
        <w:rPr/>
      </w:pPr>
      <w:r w:rsidDel="00000000" w:rsidR="00000000" w:rsidRPr="00000000">
        <w:rPr>
          <w:rFonts w:ascii="Times New Roman" w:cs="Times New Roman" w:eastAsia="Times New Roman" w:hAnsi="Times New Roman"/>
          <w:sz w:val="24"/>
          <w:szCs w:val="24"/>
          <w:rtl w:val="0"/>
        </w:rPr>
        <w:t xml:space="preserve">καὶ ἔδει μὲν ἀληθῶς ταῦτα μήτε λέγεσθαι μήτε ἐν συντάγμασι καταξιοῦσθαι γράφεσθαι, θάπτεσθαι δὲ ὥσπερ νεκρόν τινα ὀδωδότα καὶ λοιμώδη ἀποφορὰν πνέοντα, ἵνα μὴ καὶ διὰ τῆς ἀκοῆς λυμήνηται τοὺς ἀνθρώπους.</w:t>
      </w:r>
      <w:r w:rsidDel="00000000" w:rsidR="00000000" w:rsidRPr="00000000">
        <w:rPr>
          <w:rtl w:val="0"/>
        </w:rPr>
      </w:r>
    </w:p>
    <w:p w:rsidR="00000000" w:rsidDel="00000000" w:rsidP="00000000" w:rsidRDefault="00000000" w:rsidRPr="00000000" w14:paraId="000000B4">
      <w:pPr>
        <w:ind w:left="230" w:firstLine="0"/>
        <w:rPr/>
      </w:pPr>
      <w:r w:rsidDel="00000000" w:rsidR="00000000" w:rsidRPr="00000000">
        <w:rPr>
          <w:i w:val="1"/>
          <w:iCs w:val="1"/>
          <w:rtl w:val="0"/>
        </w:rPr>
        <w:t xml:space="preserve">“These things really ought neither to be spoken nor considered worthy of being written in treatises, but to be buried like a stinking corpse breathing a pestilential stench, so that they might not harm people even through hearing.”</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 then explains why he writes about it anyway. If the teaching had disappeared, silence would be best; because he says it remains active, he recounts selected parts to warn hearers and turn people away. Disclosure is presented as a protective duty. That decision also shapes the archive available to later readers: the opponent selects the fragments and introduces the explanation under which they are encountered. [S1]</w:t>
      </w:r>
    </w:p>
    <w:p w:rsidR="00000000" w:rsidDel="00000000" w:rsidP="00000000" w:rsidRDefault="00000000" w:rsidRPr="00000000" w14:paraId="000000B6">
      <w:pPr>
        <w:keepNext w:val="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26.17.9   The expulsion</w:t>
      </w:r>
    </w:p>
    <w:p w:rsidR="00000000" w:rsidDel="00000000" w:rsidP="00000000" w:rsidRDefault="00000000" w:rsidRPr="00000000" w14:paraId="000000B7">
      <w:pPr>
        <w:rPr/>
      </w:pPr>
      <w:r w:rsidDel="00000000" w:rsidR="00000000" w:rsidRPr="00000000">
        <w:rPr>
          <w:rFonts w:ascii="Cardo" w:cs="Cardo" w:eastAsia="Cardo" w:hAnsi="Cardo"/>
          <w:rtl w:val="0"/>
        </w:rPr>
        <w:t xml:space="preserve">καὶ τοὺς αὐτοὺς ἀπελαθῆναι τῆς πόλεως, ὀνόματα περί που ὀγδοήκοντα</w:t>
      </w:r>
    </w:p>
    <w:p w:rsidR="00000000" w:rsidDel="00000000" w:rsidP="00000000" w:rsidRDefault="00000000" w:rsidRPr="00000000" w14:paraId="000000B8">
      <w:pPr>
        <w:rPr/>
      </w:pPr>
      <w:r w:rsidDel="00000000" w:rsidR="00000000" w:rsidRPr="00000000">
        <w:rPr>
          <w:rtl w:val="0"/>
        </w:rPr>
        <w:t xml:space="preserve">“And for those same people to be expelled from the city, about eighty persons [literally, ‘names’].”</w:t>
      </w:r>
    </w:p>
    <w:p w:rsidR="00000000" w:rsidDel="00000000" w:rsidP="00000000" w:rsidRDefault="00000000" w:rsidRPr="00000000" w14:paraId="000000B9">
      <w:pPr>
        <w:rPr/>
      </w:pPr>
      <w:r w:rsidDel="00000000" w:rsidR="00000000" w:rsidRPr="00000000">
        <w:rPr>
          <w:rtl w:val="0"/>
        </w:rPr>
        <w:t xml:space="preserve">Epiphanius’s authority over this material does not rest on reading alone. At 26.17.4–9 he says he encountered adherents of the sect in his youth. </w:t>
      </w:r>
      <w:hyperlink r:id="rId72">
        <w:r w:rsidDel="00000000" w:rsidR="00000000" w:rsidRPr="00000000">
          <w:rPr>
            <w:color w:val="1155cc"/>
            <w:u w:val="single"/>
            <w:rtl w:val="0"/>
          </w:rPr>
          <w:t xml:space="preserve">Frank Williams places</w:t>
        </w:r>
      </w:hyperlink>
      <w:r w:rsidDel="00000000" w:rsidR="00000000" w:rsidRPr="00000000">
        <w:rPr>
          <w:rtl w:val="0"/>
        </w:rPr>
        <w:t xml:space="preserve"> the episode during his Egyptian years, at Alexandria, although the passage itself identifies neither country nor city (Book I, introduction, p. xiii). Women belonging to the group approached him and tried to draw him in, and he read its books. He casts his escape as divine rescue through the biblical comparison with Joseph and Potiphar’s wife. He then reported the members to the bishops in that place, identifying those concealed within the church, and says that about eighty were expelled from the city. No numerical age is given. By his own account, the writer who decides how this teaching should be heard was also the informant whose report led to its adherents’ removal. [S1]</w:t>
      </w:r>
    </w:p>
    <w:p w:rsidR="00000000" w:rsidDel="00000000" w:rsidP="00000000" w:rsidRDefault="00000000" w:rsidRPr="00000000" w14:paraId="000000BA">
      <w:pPr>
        <w:rPr/>
      </w:pPr>
      <w:r w:rsidDel="00000000" w:rsidR="00000000" w:rsidRPr="00000000">
        <w:rPr>
          <w:rtl w:val="0"/>
        </w:rPr>
        <w:t xml:space="preserve">That changes how the burial passage can be read. Silencing a teaching and expelling the people who hold it apply a single judgment: the danger is contagion, and the remedy is removal. The eethnic shield asks whether an interpreter can be corrected. Here the interpreter presents himself as having acted on his interpretation before writing this account, so the treatise can also be read as a defense of a decision already carried out. His testimony deserves the same scrutiny he applies to his rivals. April DeConick likewise links his report against eighty people to her judgment that the story is “slanted and exaggerated to his own benefit” (</w:t>
      </w:r>
      <w:hyperlink r:id="rId73">
        <w:r w:rsidDel="00000000" w:rsidR="00000000" w:rsidRPr="00000000">
          <w:rPr>
            <w:color w:val="1155cc"/>
            <w:u w:val="single"/>
            <w:rtl w:val="0"/>
          </w:rPr>
          <w:t xml:space="preserve">“Is marriage salvation?”, 18 June 2010</w:t>
        </w:r>
      </w:hyperlink>
      <w:r w:rsidDel="00000000" w:rsidR="00000000" w:rsidRPr="00000000">
        <w:rPr>
          <w:rtl w:val="0"/>
        </w:rPr>
        <w:t xml:space="preserve">). This is her critical interpretation of his narrative, not independent confirmation of the episode. The episode gives him eyewitness credibility, a story of resisted temptation, and a successful outcome. It may preserve real events, but the surviving account of this particular episode is his own, written by the person whose standing it raises. Like the fragments he quotes, it records both his claims about what happened and how he wished it to be remembered. [S1]</w:t>
      </w:r>
    </w:p>
    <w:p w:rsidR="00000000" w:rsidDel="00000000" w:rsidP="00000000" w:rsidRDefault="00000000" w:rsidRPr="00000000" w14:paraId="000000BB">
      <w:pPr>
        <w:rPr/>
      </w:pPr>
      <w:r w:rsidDel="00000000" w:rsidR="00000000" w:rsidRPr="00000000">
        <w:rPr>
          <w:rtl w:val="0"/>
        </w:rPr>
        <w:t xml:space="preserve">Textual note. The Greek counts “about eighty names,” an idiom for persons. The names of the 365 rulers at 26.9.6–9 belong to a different context of invocation; the shared word permits comparison but does not establish an intentional echo. Greek checked in Gilski/Baron, Panarion: Herezje 1–33 (2015), printed pp. 284–286, especially p. 286 (PDF p. 144; Holl I, p. 298). </w:t>
      </w:r>
      <w:hyperlink r:id="rId74">
        <w:r w:rsidDel="00000000" w:rsidR="00000000" w:rsidRPr="00000000">
          <w:rPr>
            <w:color w:val="1155cc"/>
            <w:u w:val="single"/>
            <w:rtl w:val="0"/>
          </w:rPr>
          <w:t xml:space="preserve">[S1]</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is the closest point of contact with the eethnic shield’s concern about interpretive authority. The user’s phrase in the archive is direct: “they decide what’s real and what isn’t.” The surrounding discussion asks what happens when an institution determines whose testimony counts while treating its own credibility as settled. Epiphanius gives the question a literary form. He decides what the audience should hear and how it should understand the danger. At the same time, the words he preserves give future readers material with which to examine his decision. [D1]</w:t>
      </w:r>
    </w:p>
    <w:p w:rsidR="00000000" w:rsidDel="00000000" w:rsidP="00000000" w:rsidRDefault="00000000" w:rsidRPr="00000000" w14:paraId="000000BD">
      <w:pPr>
        <w:keepNext w:val="1"/>
        <w:rPr/>
      </w:pPr>
      <w:r w:rsidDel="00000000" w:rsidR="00000000" w:rsidRPr="00000000">
        <w:rPr/>
        <w:drawing>
          <wp:inline distB="0" distT="0" distL="114300" distR="114300">
            <wp:extent cx="6400800" cy="1651000"/>
            <wp:effectExtent b="0" l="0" r="0" t="0"/>
            <wp:docPr id="2" name="image1.png"/>
            <a:graphic>
              <a:graphicData uri="http://schemas.openxmlformats.org/drawingml/2006/picture">
                <pic:pic>
                  <pic:nvPicPr>
                    <pic:cNvPr id="0" name="image1.png"/>
                    <pic:cNvPicPr preferRelativeResize="0"/>
                  </pic:nvPicPr>
                  <pic:blipFill>
                    <a:blip r:embed="rId75"/>
                    <a:srcRect b="0" l="0" r="0" t="0"/>
                    <a:stretch>
                      <a:fillRect/>
                    </a:stretch>
                  </pic:blipFill>
                  <pic:spPr>
                    <a:xfrm>
                      <a:off x="0" y="0"/>
                      <a:ext cx="64008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Figure 2. The eethnic shield directs attention to disclosure, interpretation, and response. The comparison draws on Panarion 26.14.4–5 and the project archive.</w:t>
      </w:r>
    </w:p>
    <w:p w:rsidR="00000000" w:rsidDel="00000000" w:rsidP="00000000" w:rsidRDefault="00000000" w:rsidRPr="00000000" w14:paraId="000000BF">
      <w:pPr>
        <w:rPr/>
      </w:pPr>
      <w:r w:rsidDel="00000000" w:rsidR="00000000" w:rsidRPr="00000000">
        <w:rPr>
          <w:rFonts w:ascii="Cardo" w:cs="Cardo" w:eastAsia="Cardo" w:hAnsi="Cardo"/>
          <w:sz w:val="20"/>
          <w:szCs w:val="20"/>
          <w:rtl w:val="0"/>
        </w:rPr>
        <w:t xml:space="preserve">Disclosure → Interpretation → Response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w:t>
      </w:r>
      <w:hyperlink r:id="rId76">
        <w:r w:rsidDel="00000000" w:rsidR="00000000" w:rsidRPr="00000000">
          <w:rPr>
            <w:color w:val="1155cc"/>
            <w:u w:val="single"/>
            <w:rtl w:val="0"/>
          </w:rPr>
          <w:t xml:space="preserve">Hippocratic On the Sacred Disease</w:t>
        </w:r>
      </w:hyperlink>
      <w:r w:rsidDel="00000000" w:rsidR="00000000" w:rsidRPr="00000000">
        <w:rPr>
          <w:rtl w:val="0"/>
        </w:rPr>
        <w:t xml:space="preserve"> supplies an especially clear account of an explanation that protects its custodian. Its author attacks purifiers who call an illness divine: recovery enhances their reputation, while failure is attributed to the gods. Either outcome can leave the practitioners’ authority intact. </w:t>
      </w:r>
      <w:hyperlink r:id="rId77">
        <w:r w:rsidDel="00000000" w:rsidR="00000000" w:rsidRPr="00000000">
          <w:rPr>
            <w:color w:val="1155cc"/>
            <w:u w:val="single"/>
            <w:rtl w:val="0"/>
          </w:rPr>
          <w:t xml:space="preserve">The eethnic shield</w:t>
        </w:r>
      </w:hyperlink>
      <w:r w:rsidDel="00000000" w:rsidR="00000000" w:rsidRPr="00000000">
        <w:rPr>
          <w:rtl w:val="0"/>
        </w:rPr>
        <w:t xml:space="preserve"> helps us describe the mechanism and ask what would count as correction. Because the medical author is also advancing a rival explanation, the same question remains available for his own claims. </w:t>
      </w:r>
      <w:hyperlink r:id="rId78">
        <w:r w:rsidDel="00000000" w:rsidR="00000000" w:rsidRPr="00000000">
          <w:rPr>
            <w:color w:val="1155cc"/>
            <w:u w:val="single"/>
            <w:rtl w:val="0"/>
          </w:rPr>
          <w:t xml:space="preserve">[10]</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Plato’s Phaedrus approaches the problem through writing. Theuth offers it as an aid to memory and wisdom; Thamus asks whether reminders produce understanding. A written statement cannot answer a fresh question as a knowledgeable speaker can. The story also associates Theuth with technical arts, including astronomy. It brings us back to the relation between a useful representation and the living work of interpreting it. A calendar, a treatise, or an authorized quotation becomes more useful when readers can question how it applies. </w:t>
      </w:r>
      <w:hyperlink r:id="rId79">
        <w:r w:rsidDel="00000000" w:rsidR="00000000" w:rsidRPr="00000000">
          <w:rPr>
            <w:color w:val="1155cc"/>
            <w:u w:val="single"/>
            <w:rtl w:val="0"/>
          </w:rPr>
          <w:t xml:space="preserve">[11]</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constructive lesson is a practice of correction. Place the preserved words beside the explanation. Follow their subjects and speakers. Read the surrounding sentences. Ask what response would change the interpreter’s account or conduct. That practice can be applied to Epiphanius, Hillman, the medical polemicist, and this essay. It keeps the project’s criticism connected to the possibility of learning.</w:t>
      </w:r>
    </w:p>
    <w:p w:rsidR="00000000" w:rsidDel="00000000" w:rsidP="00000000" w:rsidRDefault="00000000" w:rsidRPr="00000000" w14:paraId="000000C3">
      <w:pPr>
        <w:pStyle w:val="Heading1"/>
        <w:rPr>
          <w:sz w:val="38"/>
          <w:szCs w:val="38"/>
        </w:rPr>
      </w:pPr>
      <w:r w:rsidDel="00000000" w:rsidR="00000000" w:rsidRPr="00000000">
        <w:rPr>
          <w:sz w:val="38"/>
          <w:szCs w:val="38"/>
          <w:rtl w:val="0"/>
        </w:rPr>
        <w:t xml:space="preserve">Time empire and the changing life of an inherited idea</w:t>
      </w:r>
    </w:p>
    <w:p w:rsidR="00000000" w:rsidDel="00000000" w:rsidP="00000000" w:rsidRDefault="00000000" w:rsidRPr="00000000" w14:paraId="000000C4">
      <w:pPr>
        <w:rPr/>
      </w:pPr>
      <w:hyperlink r:id="rId80">
        <w:r w:rsidDel="00000000" w:rsidR="00000000" w:rsidRPr="00000000">
          <w:rPr>
            <w:color w:val="1155cc"/>
            <w:u w:val="single"/>
            <w:rtl w:val="0"/>
          </w:rPr>
          <w:t xml:space="preserve">The Babylonian Patch</w:t>
        </w:r>
      </w:hyperlink>
      <w:r w:rsidDel="00000000" w:rsidR="00000000" w:rsidRPr="00000000">
        <w:rPr>
          <w:rtl w:val="0"/>
        </w:rPr>
        <w:t xml:space="preserve"> extends the inquiry toward Iranian traditions and political theology. Here, too, the strongest teaching comes from following particular transformations. Avestan zruuan concerns time; an epithet such as akarana expresses boundlessness. The later Zurvan myth makes time part of a divine genealogy. Gherardo Gnoli interprets the development through contact with Babylonian astral culture, while Albert de Jong challenges proposed origins and the reconstruction of a distinct Zurvanite movement. These competing accounts direct attention to dated witnesses and stages of interpretation. </w:t>
      </w:r>
      <w:hyperlink r:id="rId81">
        <w:r w:rsidDel="00000000" w:rsidR="00000000" w:rsidRPr="00000000">
          <w:rPr>
            <w:color w:val="1155cc"/>
            <w:u w:val="single"/>
            <w:rtl w:val="0"/>
          </w:rPr>
          <w:t xml:space="preserve">[33]</w:t>
        </w:r>
      </w:hyperlink>
      <w:hyperlink r:id="rId82">
        <w:r w:rsidDel="00000000" w:rsidR="00000000" w:rsidRPr="00000000">
          <w:rPr>
            <w:color w:val="1155cc"/>
            <w:u w:val="single"/>
            <w:rtl w:val="0"/>
          </w:rPr>
          <w:t xml:space="preserve">[34]</w:t>
        </w:r>
      </w:hyperlink>
      <w:hyperlink r:id="rId83">
        <w:r w:rsidDel="00000000" w:rsidR="00000000" w:rsidRPr="00000000">
          <w:rPr>
            <w:color w:val="1155cc"/>
            <w:u w:val="single"/>
            <w:rtl w:val="0"/>
          </w:rPr>
          <w:t xml:space="preserve">[35]</w:t>
        </w:r>
      </w:hyperlink>
      <w:hyperlink r:id="rId84">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 Jong’s discussion of fifth-century Sasanian court theology provides a concrete political setting: Ełišē reports Mihr-Narseh’s letter urging Armenians to accept Zoroastrianism. Gnoli’s treatment distinguishes the twin spirits of Yasna 30.3–4 from the later genealogy in which Zurvan fathers Ohrmazd and Ahriman. The analytical task is to follow how a theological formulation acquires a new setting and purpose. De Jong also considers late Sasanian marginalization of Zurvanite formulations as a historical possibility. These are questions about change, authority, and the survival of competing explanations. </w:t>
      </w:r>
      <w:hyperlink r:id="rId85">
        <w:r w:rsidDel="00000000" w:rsidR="00000000" w:rsidRPr="00000000">
          <w:rPr>
            <w:color w:val="1155cc"/>
            <w:u w:val="single"/>
            <w:rtl w:val="0"/>
          </w:rPr>
          <w:t xml:space="preserve">[34]</w:t>
        </w:r>
      </w:hyperlink>
      <w:hyperlink r:id="rId86">
        <w:r w:rsidDel="00000000" w:rsidR="00000000" w:rsidRPr="00000000">
          <w:rPr>
            <w:color w:val="1155cc"/>
            <w:u w:val="single"/>
            <w:rtl w:val="0"/>
          </w:rPr>
          <w:t xml:space="preserve">[35]</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Institutions give ideas an economic setting as well. Mary Boyce’s account of fire cults documents endowed foundations, land, patronage, and hereditary interests. Those arrangements make religious continuity material: rights and resources help sustain practice. Research into a proposed institutional succession then proceeds through contracts, offices, and named people, just as it does in the Sippar ledger. </w:t>
      </w:r>
      <w:hyperlink r:id="rId87">
        <w:r w:rsidDel="00000000" w:rsidR="00000000" w:rsidRPr="00000000">
          <w:rPr>
            <w:color w:val="1155cc"/>
            <w:u w:val="single"/>
            <w:rtl w:val="0"/>
          </w:rPr>
          <w:t xml:space="preserve">[37]</w:t>
        </w:r>
      </w:hyperlink>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rtl w:val="0"/>
        </w:rPr>
        <w:t xml:space="preserve">Language helps us keep the relevant roles visible. Old Persian magu and Greek μάγος have a real lexical relationship, while Greek usage expands beyond one Iranian priestly role. The standard account of “Pharisee” relates to separation or distinction: the Aramaic pryš family differs from prsy, “Persian.” Schiffman locates the clearly named Pharisees in the Hasmonaean setting and discusses the uncertainty of earlier origins; an older Persian derivation remains a disputed proposal. Reading words in their scripts and dated settings gives the project firmer historical questions than resemblance in English alone. </w:t>
      </w:r>
      <w:hyperlink r:id="rId88">
        <w:r w:rsidDel="00000000" w:rsidR="00000000" w:rsidRPr="00000000">
          <w:rPr>
            <w:color w:val="1155cc"/>
            <w:u w:val="single"/>
            <w:rtl w:val="0"/>
          </w:rPr>
          <w:t xml:space="preserve">[28]</w:t>
        </w:r>
      </w:hyperlink>
      <w:hyperlink r:id="rId89">
        <w:r w:rsidDel="00000000" w:rsidR="00000000" w:rsidRPr="00000000">
          <w:rPr>
            <w:color w:val="1155cc"/>
            <w:u w:val="single"/>
            <w:rtl w:val="0"/>
          </w:rPr>
          <w:t xml:space="preserve">[29]</w:t>
        </w:r>
      </w:hyperlink>
      <w:hyperlink r:id="rId90">
        <w:r w:rsidDel="00000000" w:rsidR="00000000" w:rsidRPr="00000000">
          <w:rPr>
            <w:color w:val="1155cc"/>
            <w:u w:val="single"/>
            <w:rtl w:val="0"/>
          </w:rPr>
          <w:t xml:space="preserve">[30]</w:t>
        </w:r>
      </w:hyperlink>
      <w:hyperlink r:id="rId91">
        <w:r w:rsidDel="00000000" w:rsidR="00000000" w:rsidRPr="00000000">
          <w:rPr>
            <w:color w:val="1155cc"/>
            <w:u w:val="single"/>
            <w:rtl w:val="0"/>
          </w:rPr>
          <w:t xml:space="preserve">[31]</w:t>
        </w:r>
      </w:hyperlink>
      <w:hyperlink r:id="rId92">
        <w:r w:rsidDel="00000000" w:rsidR="00000000" w:rsidRPr="00000000">
          <w:rPr>
            <w:color w:val="1155cc"/>
            <w:u w:val="single"/>
            <w:rtl w:val="0"/>
          </w:rPr>
          <w:t xml:space="preserve">[32]</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same care improves political readings of myth. Atrahasis opens with the labor rebellion of overworked junior gods; Enūma Eliš develops the Marduk–Tiamat conflict. Preserving those distinct plots lets us ask how each imagines work, rule, and the establishment of order. The project’s Set–Osiris architecture belongs to its own interpretive construction and can be developed as such. The comparative question concerns the work an account of order performs in its setting. </w:t>
      </w:r>
      <w:hyperlink r:id="rId93">
        <w:r w:rsidDel="00000000" w:rsidR="00000000" w:rsidRPr="00000000">
          <w:rPr>
            <w:color w:val="1155cc"/>
            <w:u w:val="single"/>
            <w:rtl w:val="0"/>
          </w:rPr>
          <w:t xml:space="preserve">[38]</w:t>
        </w:r>
      </w:hyperlink>
      <w:hyperlink r:id="rId94">
        <w:r w:rsidDel="00000000" w:rsidR="00000000" w:rsidRPr="00000000">
          <w:rPr>
            <w:color w:val="1155cc"/>
            <w:u w:val="single"/>
            <w:rtl w:val="0"/>
          </w:rPr>
          <w:t xml:space="preserve">[U2]</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Across these materials, the recurring pattern becomes teachable. Specialists calculate, preserve, and interpret an order. Communities attach duties, hopes, and rights to that order. Some texts promise a privileged passage through it; others promise release from it. Authorities then judge those promises and decide how rival accounts may circulate. Timekeeper follows the organization of the cycle and the conditions of movement. </w:t>
      </w:r>
      <w:hyperlink r:id="rId95">
        <w:r w:rsidDel="00000000" w:rsidR="00000000" w:rsidRPr="00000000">
          <w:rPr>
            <w:color w:val="1155cc"/>
            <w:u w:val="single"/>
            <w:rtl w:val="0"/>
          </w:rPr>
          <w:t xml:space="preserve">The eethnic shield</w:t>
        </w:r>
      </w:hyperlink>
      <w:r w:rsidDel="00000000" w:rsidR="00000000" w:rsidRPr="00000000">
        <w:rPr>
          <w:rtl w:val="0"/>
        </w:rPr>
        <w:t xml:space="preserve"> follows the conditions under which the organizer and interpreter can be corrected.</w:t>
      </w:r>
    </w:p>
    <w:p w:rsidR="00000000" w:rsidDel="00000000" w:rsidP="00000000" w:rsidRDefault="00000000" w:rsidRPr="00000000" w14:paraId="000000CA">
      <w:pPr>
        <w:rPr/>
      </w:pPr>
      <w:r w:rsidDel="00000000" w:rsidR="00000000" w:rsidRPr="00000000">
        <w:rPr>
          <w:rtl w:val="0"/>
        </w:rPr>
        <w:t xml:space="preserve">The evidence brings those connections into focus at different scales: an extra month in a service roster, a conversion between time schemes, a manuscript invoking Moses and astral fate, a soul gathering itself before the rulers, and a bishop explaining why a teaching should be buried. These examples support a history built from particular mechanisms and relationships. The continuing work is to connect them with the same precision: the person, passage, procedure, and institutional decision that make a proposed link concrete.</w:t>
      </w:r>
    </w:p>
    <w:p w:rsidR="00000000" w:rsidDel="00000000" w:rsidP="00000000" w:rsidRDefault="00000000" w:rsidRPr="00000000" w14:paraId="000000CB">
      <w:pPr>
        <w:pStyle w:val="Heading1"/>
        <w:rPr>
          <w:sz w:val="38"/>
          <w:szCs w:val="38"/>
        </w:rPr>
      </w:pPr>
      <w:r w:rsidDel="00000000" w:rsidR="00000000" w:rsidRPr="00000000">
        <w:rPr>
          <w:sz w:val="38"/>
          <w:szCs w:val="38"/>
          <w:rtl w:val="0"/>
        </w:rPr>
        <w:t xml:space="preserve">Sources and reading notes</w:t>
      </w:r>
    </w:p>
    <w:p w:rsidR="00000000" w:rsidDel="00000000" w:rsidP="00000000" w:rsidRDefault="00000000" w:rsidRPr="00000000" w14:paraId="000000CC">
      <w:pPr>
        <w:rPr/>
      </w:pPr>
      <w:r w:rsidDel="00000000" w:rsidR="00000000" w:rsidRPr="00000000">
        <w:rPr>
          <w:rtl w:val="0"/>
        </w:rPr>
        <w:t xml:space="preserve">This unified essay reorganizes the research assembled on 14 October 2026. Greek quotations and both diagrams are retained from the earlier edition. The English renderings of Panarion passages are the essay’s translations, rather than transcripts of Hillman’s speech; a direct comparison with a particular Hillman translation requires its page or recording timestamp. The source descriptions below retain the original access information.</w:t>
      </w:r>
    </w:p>
    <w:p w:rsidR="00000000" w:rsidDel="00000000" w:rsidP="00000000" w:rsidRDefault="00000000" w:rsidRPr="00000000" w14:paraId="000000CD">
      <w:pPr>
        <w:keepNext w:val="0"/>
        <w:spacing w:after="160" w:lineRule="auto"/>
        <w:rPr/>
      </w:pPr>
      <w:r w:rsidDel="00000000" w:rsidR="00000000" w:rsidRPr="00000000">
        <w:rPr>
          <w:rtl w:val="0"/>
        </w:rPr>
        <w:t xml:space="preserve">The evidence is read at three levels. Direct passages show what a writer says or a document records. Other ancient witnesses supply parallels and disagreements through their own textual and rhetorical settings. Timekeeper and the eethnic shield provide the project’s interpretation of how those arrangements function. A proposed chain of institutional descent is a further historical question, pursued through dated links. This distinction gives the essay room to explain connections clearly while keeping each source’s voice audible.</w:t>
      </w:r>
    </w:p>
    <w:p w:rsidR="00000000" w:rsidDel="00000000" w:rsidP="00000000" w:rsidRDefault="00000000" w:rsidRPr="00000000" w14:paraId="000000CE">
      <w:pPr>
        <w:pStyle w:val="Heading2"/>
        <w:rPr>
          <w:sz w:val="26"/>
          <w:szCs w:val="26"/>
        </w:rPr>
      </w:pPr>
      <w:r w:rsidDel="00000000" w:rsidR="00000000" w:rsidRPr="00000000">
        <w:rPr>
          <w:sz w:val="26"/>
          <w:szCs w:val="26"/>
          <w:rtl w:val="0"/>
        </w:rPr>
        <w:t xml:space="preserve">The Panarion and other ancient witnesses</w:t>
      </w:r>
    </w:p>
    <w:p w:rsidR="00000000" w:rsidDel="00000000" w:rsidP="00000000" w:rsidRDefault="00000000" w:rsidRPr="00000000" w14:paraId="000000CF">
      <w:pPr>
        <w:pStyle w:val="Heading2"/>
        <w:rPr>
          <w:sz w:val="26"/>
          <w:szCs w:val="26"/>
        </w:rPr>
      </w:pPr>
      <w:r w:rsidDel="00000000" w:rsidR="00000000" w:rsidRPr="00000000">
        <w:rPr>
          <w:sz w:val="26"/>
          <w:szCs w:val="26"/>
          <w:rtl w:val="0"/>
        </w:rPr>
        <w:t xml:space="preserve">S1  Epiphanius</w:t>
      </w:r>
    </w:p>
    <w:p w:rsidR="00000000" w:rsidDel="00000000" w:rsidP="00000000" w:rsidRDefault="00000000" w:rsidRPr="00000000" w14:paraId="000000D0">
      <w:pPr>
        <w:spacing w:after="140" w:lineRule="auto"/>
        <w:rPr/>
      </w:pPr>
      <w:r w:rsidDel="00000000" w:rsidR="00000000" w:rsidRPr="00000000">
        <w:rPr>
          <w:i w:val="1"/>
          <w:iCs w:val="1"/>
          <w:sz w:val="19"/>
          <w:szCs w:val="19"/>
          <w:rtl w:val="0"/>
        </w:rPr>
        <w:t xml:space="preserve">Panarion</w:t>
      </w:r>
      <w:r w:rsidDel="00000000" w:rsidR="00000000" w:rsidRPr="00000000">
        <w:rPr>
          <w:sz w:val="19"/>
          <w:szCs w:val="19"/>
          <w:rtl w:val="0"/>
        </w:rPr>
        <w:t xml:space="preserve"> 26.8–16. Greek checked against the edition prepared by Arkadiusz Baron in Marek Gilski, trans., </w:t>
      </w:r>
      <w:r w:rsidDel="00000000" w:rsidR="00000000" w:rsidRPr="00000000">
        <w:rPr>
          <w:i w:val="1"/>
          <w:iCs w:val="1"/>
          <w:sz w:val="19"/>
          <w:szCs w:val="19"/>
          <w:rtl w:val="0"/>
        </w:rPr>
        <w:t xml:space="preserve">Panarion: Herezje 1–33, tekst grecki i polski</w:t>
      </w:r>
      <w:r w:rsidDel="00000000" w:rsidR="00000000" w:rsidRPr="00000000">
        <w:rPr>
          <w:sz w:val="19"/>
          <w:szCs w:val="19"/>
          <w:rtl w:val="0"/>
        </w:rPr>
        <w:t xml:space="preserve"> (Kraków, 2015), especially printed pp. 264–284. </w:t>
      </w:r>
      <w:hyperlink r:id="rId96">
        <w:r w:rsidDel="00000000" w:rsidR="00000000" w:rsidRPr="00000000">
          <w:rPr>
            <w:color w:val="1155cc"/>
            <w:sz w:val="19"/>
            <w:szCs w:val="19"/>
            <w:u w:val="single"/>
            <w:rtl w:val="0"/>
          </w:rPr>
          <w:t xml:space="preserve">Open the Greek and Polish edition</w:t>
        </w:r>
      </w:hyperlink>
      <w:r w:rsidDel="00000000" w:rsidR="00000000" w:rsidRPr="00000000">
        <w:rPr>
          <w:sz w:val="19"/>
          <w:szCs w:val="19"/>
          <w:rtl w:val="0"/>
        </w:rPr>
        <w:t xml:space="preserve">. Karl Holl’s </w:t>
      </w:r>
      <w:r w:rsidDel="00000000" w:rsidR="00000000" w:rsidRPr="00000000">
        <w:rPr>
          <w:i w:val="1"/>
          <w:iCs w:val="1"/>
          <w:sz w:val="19"/>
          <w:szCs w:val="19"/>
          <w:rtl w:val="0"/>
        </w:rPr>
        <w:t xml:space="preserve">Epiphanius I: Ancoratus und Panarion haer. 1–33</w:t>
      </w:r>
      <w:r w:rsidDel="00000000" w:rsidR="00000000" w:rsidRPr="00000000">
        <w:rPr>
          <w:sz w:val="19"/>
          <w:szCs w:val="19"/>
          <w:rtl w:val="0"/>
        </w:rPr>
        <w:t xml:space="preserve"> (Leipzig, 1915) supplies the older critical reference: </w:t>
      </w:r>
      <w:hyperlink r:id="rId97">
        <w:r w:rsidDel="00000000" w:rsidR="00000000" w:rsidRPr="00000000">
          <w:rPr>
            <w:color w:val="1155cc"/>
            <w:sz w:val="19"/>
            <w:szCs w:val="19"/>
            <w:u w:val="single"/>
            <w:rtl w:val="0"/>
          </w:rPr>
          <w:t xml:space="preserve">Open Holl’s edition</w:t>
        </w:r>
      </w:hyperlink>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D1">
      <w:pPr>
        <w:spacing w:after="140" w:lineRule="auto"/>
        <w:rPr/>
      </w:pPr>
      <w:r w:rsidDel="00000000" w:rsidR="00000000" w:rsidRPr="00000000">
        <w:rPr>
          <w:sz w:val="19"/>
          <w:szCs w:val="19"/>
          <w:rtl w:val="0"/>
        </w:rPr>
        <w:t xml:space="preserve">English renderings of the selected Greek are original to this essay. Short excerpts retain the source’s wording; omitted surroundings are identified by section references. “Emission” translates the sexual sense supplied by the narrative. The source’s hostile descriptions remain the voice of Epiphanius.</w:t>
      </w:r>
      <w:r w:rsidDel="00000000" w:rsidR="00000000" w:rsidRPr="00000000">
        <w:rPr>
          <w:rtl w:val="0"/>
        </w:rPr>
      </w:r>
    </w:p>
    <w:p w:rsidR="00000000" w:rsidDel="00000000" w:rsidP="00000000" w:rsidRDefault="00000000" w:rsidRPr="00000000" w14:paraId="000000D2">
      <w:pPr>
        <w:pStyle w:val="Heading2"/>
        <w:rPr>
          <w:sz w:val="26"/>
          <w:szCs w:val="26"/>
        </w:rPr>
      </w:pPr>
      <w:r w:rsidDel="00000000" w:rsidR="00000000" w:rsidRPr="00000000">
        <w:rPr>
          <w:sz w:val="26"/>
          <w:szCs w:val="26"/>
          <w:rtl w:val="0"/>
        </w:rPr>
        <w:t xml:space="preserve">S2  Irenaeus</w:t>
      </w:r>
    </w:p>
    <w:p w:rsidR="00000000" w:rsidDel="00000000" w:rsidP="00000000" w:rsidRDefault="00000000" w:rsidRPr="00000000" w14:paraId="000000D3">
      <w:pPr>
        <w:keepNext w:val="0"/>
        <w:spacing w:after="140" w:lineRule="auto"/>
        <w:rPr>
          <w:sz w:val="19"/>
          <w:szCs w:val="19"/>
        </w:rPr>
      </w:pPr>
      <w:r w:rsidDel="00000000" w:rsidR="00000000" w:rsidRPr="00000000">
        <w:rPr>
          <w:sz w:val="19"/>
          <w:szCs w:val="19"/>
          <w:rtl w:val="0"/>
        </w:rPr>
        <w:t xml:space="preserve">Against Heresies 1.24.3–7: 1.24.3 explicitly relates 365 heavens to the year; 1.24.4 describes the lowest makers and their chief; 1.24.5–6 concerns names and passage; 1.24.7 gives Abraxas and its numerical value. </w:t>
      </w:r>
      <w:hyperlink r:id="rId98">
        <w:r w:rsidDel="00000000" w:rsidR="00000000" w:rsidRPr="00000000">
          <w:rPr>
            <w:color w:val="1155cc"/>
            <w:sz w:val="19"/>
            <w:szCs w:val="19"/>
            <w:u w:val="single"/>
            <w:rtl w:val="0"/>
          </w:rPr>
          <w:t xml:space="preserve">Read chapter 24</w:t>
        </w:r>
      </w:hyperlink>
      <w:r w:rsidDel="00000000" w:rsidR="00000000" w:rsidRPr="00000000">
        <w:rPr>
          <w:sz w:val="19"/>
          <w:szCs w:val="19"/>
          <w:rtl w:val="0"/>
        </w:rPr>
        <w:t xml:space="preserve">. The spelling follows this translation; Abrasax occurs in Epiphanius. Separately, 1.30.14 describes gathered light and Ialdabaoth’s diminishing power: </w:t>
      </w:r>
      <w:hyperlink r:id="rId99">
        <w:r w:rsidDel="00000000" w:rsidR="00000000" w:rsidRPr="00000000">
          <w:rPr>
            <w:color w:val="1155cc"/>
            <w:sz w:val="19"/>
            <w:szCs w:val="19"/>
            <w:u w:val="single"/>
            <w:rtl w:val="0"/>
          </w:rPr>
          <w:t xml:space="preserve">read chapter 30</w:t>
        </w:r>
      </w:hyperlink>
      <w:r w:rsidDel="00000000" w:rsidR="00000000" w:rsidRPr="00000000">
        <w:rPr>
          <w:sz w:val="19"/>
          <w:szCs w:val="19"/>
          <w:rtl w:val="0"/>
        </w:rPr>
        <w:t xml:space="preserve">. Alexander Roberts and William Rambaut, Ante-Nicene Fathers 1 (1885), reproduced by New Advent. These are earlier hostile reports, about 180 CE, not independent observation of Panarion 26’s rites.</w:t>
      </w:r>
    </w:p>
    <w:p w:rsidR="00000000" w:rsidDel="00000000" w:rsidP="00000000" w:rsidRDefault="00000000" w:rsidRPr="00000000" w14:paraId="000000D4">
      <w:pPr>
        <w:pStyle w:val="Heading2"/>
        <w:rPr>
          <w:sz w:val="26"/>
          <w:szCs w:val="26"/>
        </w:rPr>
      </w:pPr>
      <w:r w:rsidDel="00000000" w:rsidR="00000000" w:rsidRPr="00000000">
        <w:rPr>
          <w:sz w:val="26"/>
          <w:szCs w:val="26"/>
          <w:rtl w:val="0"/>
        </w:rPr>
        <w:t xml:space="preserve">S3  The Secret Book of John</w:t>
      </w:r>
    </w:p>
    <w:p w:rsidR="00000000" w:rsidDel="00000000" w:rsidP="00000000" w:rsidRDefault="00000000" w:rsidRPr="00000000" w14:paraId="000000D5">
      <w:pPr>
        <w:keepNext w:val="0"/>
        <w:spacing w:after="140" w:lineRule="auto"/>
        <w:rPr>
          <w:sz w:val="19"/>
          <w:szCs w:val="19"/>
        </w:rPr>
      </w:pPr>
      <w:r w:rsidDel="00000000" w:rsidR="00000000" w:rsidRPr="00000000">
        <w:rPr>
          <w:sz w:val="19"/>
          <w:szCs w:val="19"/>
          <w:rtl w:val="0"/>
        </w:rPr>
        <w:t xml:space="preserve">Also called the Apocryphon of John. </w:t>
      </w:r>
      <w:hyperlink r:id="rId100">
        <w:r w:rsidDel="00000000" w:rsidR="00000000" w:rsidRPr="00000000">
          <w:rPr>
            <w:color w:val="1155cc"/>
            <w:sz w:val="19"/>
            <w:szCs w:val="19"/>
            <w:u w:val="single"/>
            <w:rtl w:val="0"/>
          </w:rPr>
          <w:t xml:space="preserve">Stevan Davies’s translation</w:t>
        </w:r>
      </w:hyperlink>
      <w:r w:rsidDel="00000000" w:rsidR="00000000" w:rsidRPr="00000000">
        <w:rPr>
          <w:sz w:val="19"/>
          <w:szCs w:val="19"/>
          <w:rtl w:val="0"/>
        </w:rPr>
        <w:t xml:space="preserve"> remains a readable entry point. For recension-sensitive comparison, see Michael Waldstein and Frederik Wisse, </w:t>
      </w:r>
      <w:hyperlink r:id="rId101">
        <w:r w:rsidDel="00000000" w:rsidR="00000000" w:rsidRPr="00000000">
          <w:rPr>
            <w:color w:val="1155cc"/>
            <w:sz w:val="19"/>
            <w:szCs w:val="19"/>
            <w:u w:val="single"/>
            <w:rtl w:val="0"/>
          </w:rPr>
          <w:t xml:space="preserve">The Apocryphon of John: Synopsis</w:t>
        </w:r>
      </w:hyperlink>
      <w:r w:rsidDel="00000000" w:rsidR="00000000" w:rsidRPr="00000000">
        <w:rPr>
          <w:sz w:val="19"/>
          <w:szCs w:val="19"/>
          <w:rtl w:val="0"/>
        </w:rPr>
        <w:t xml:space="preserve"> (Brill, 1995): NHC II 11.15–26 (names and numerical scheme), 19.2–10 (365 bodily makers and the Book of Zoroaster), and 19.20–33 (Sophia’s power through breath); printed pp. 70, 110, 114 and appendix 2. Long witnesses II/IV and short witnesses III/Berlin must be distinguished. The parallel with Irenaeus 1.29 attests an earlier related cosmogony. Hugo Lundhaug, </w:t>
      </w:r>
      <w:hyperlink r:id="rId102">
        <w:r w:rsidDel="00000000" w:rsidR="00000000" w:rsidRPr="00000000">
          <w:rPr>
            <w:color w:val="1155cc"/>
            <w:sz w:val="19"/>
            <w:szCs w:val="19"/>
            <w:u w:val="single"/>
            <w:rtl w:val="0"/>
          </w:rPr>
          <w:t xml:space="preserve">“Fictional books in Coptic apocrypha”</w:t>
        </w:r>
      </w:hyperlink>
      <w:r w:rsidDel="00000000" w:rsidR="00000000" w:rsidRPr="00000000">
        <w:rPr>
          <w:sz w:val="19"/>
          <w:szCs w:val="19"/>
          <w:rtl w:val="0"/>
        </w:rPr>
        <w:t xml:space="preserve"> (2023), questions whether the Zoroaster reference establishes an actual source and notes late-fourth/early-fifth-century dating for Codex II.</w:t>
      </w:r>
    </w:p>
    <w:p w:rsidR="00000000" w:rsidDel="00000000" w:rsidP="00000000" w:rsidRDefault="00000000" w:rsidRPr="00000000" w14:paraId="000000D6">
      <w:pPr>
        <w:pStyle w:val="Heading2"/>
        <w:rPr>
          <w:sz w:val="26"/>
          <w:szCs w:val="26"/>
        </w:rPr>
      </w:pPr>
      <w:r w:rsidDel="00000000" w:rsidR="00000000" w:rsidRPr="00000000">
        <w:rPr>
          <w:sz w:val="26"/>
          <w:szCs w:val="26"/>
          <w:rtl w:val="0"/>
        </w:rPr>
        <w:t xml:space="preserve">S4  The Reality of the Rulers</w:t>
      </w:r>
    </w:p>
    <w:p w:rsidR="00000000" w:rsidDel="00000000" w:rsidP="00000000" w:rsidRDefault="00000000" w:rsidRPr="00000000" w14:paraId="000000D7">
      <w:pPr>
        <w:keepNext w:val="0"/>
        <w:spacing w:after="140" w:lineRule="auto"/>
        <w:rPr>
          <w:sz w:val="19"/>
          <w:szCs w:val="19"/>
        </w:rPr>
      </w:pPr>
      <w:r w:rsidDel="00000000" w:rsidR="00000000" w:rsidRPr="00000000">
        <w:rPr>
          <w:sz w:val="19"/>
          <w:szCs w:val="19"/>
          <w:rtl w:val="0"/>
        </w:rPr>
        <w:t xml:space="preserve">Also called the Hypostasis of the Archons, Nag Hammadi Codex II, tractate 4. Bentley Layton’s translation: II 95.1–13 for Zoe’s fiery angel and Yaldabaoth’s confinement; 95.13–96.3 for Sabaoth’s repentance, seventh heaven, Zoe and wrath; 96.3–14 for envy and death. </w:t>
      </w:r>
      <w:hyperlink r:id="rId103">
        <w:r w:rsidDel="00000000" w:rsidR="00000000" w:rsidRPr="00000000">
          <w:rPr>
            <w:color w:val="1155cc"/>
            <w:sz w:val="19"/>
            <w:szCs w:val="19"/>
            <w:u w:val="single"/>
            <w:rtl w:val="0"/>
          </w:rPr>
          <w:t xml:space="preserve">Read the translation</w:t>
        </w:r>
      </w:hyperlink>
      <w:r w:rsidDel="00000000" w:rsidR="00000000" w:rsidRPr="00000000">
        <w:rPr>
          <w:sz w:val="19"/>
          <w:szCs w:val="19"/>
          <w:rtl w:val="0"/>
        </w:rPr>
        <w:t xml:space="preserve">. Eleleth’s revelation to Norea supplies the narrative frame.</w:t>
      </w:r>
    </w:p>
    <w:p w:rsidR="00000000" w:rsidDel="00000000" w:rsidP="00000000" w:rsidRDefault="00000000" w:rsidRPr="00000000" w14:paraId="000000D8">
      <w:pPr>
        <w:pStyle w:val="Heading2"/>
        <w:rPr>
          <w:sz w:val="26"/>
          <w:szCs w:val="26"/>
        </w:rPr>
      </w:pPr>
      <w:r w:rsidDel="00000000" w:rsidR="00000000" w:rsidRPr="00000000">
        <w:rPr>
          <w:sz w:val="26"/>
          <w:szCs w:val="26"/>
          <w:rtl w:val="0"/>
        </w:rPr>
        <w:t xml:space="preserve">S5  Pistis Sophia</w:t>
      </w:r>
    </w:p>
    <w:p w:rsidR="00000000" w:rsidDel="00000000" w:rsidP="00000000" w:rsidRDefault="00000000" w:rsidRPr="00000000" w14:paraId="000000D9">
      <w:pPr>
        <w:keepNext w:val="0"/>
        <w:spacing w:after="140" w:lineRule="auto"/>
        <w:rPr>
          <w:sz w:val="19"/>
          <w:szCs w:val="19"/>
        </w:rPr>
      </w:pPr>
      <w:r w:rsidDel="00000000" w:rsidR="00000000" w:rsidRPr="00000000">
        <w:rPr>
          <w:sz w:val="19"/>
          <w:szCs w:val="19"/>
          <w:rtl w:val="0"/>
        </w:rPr>
        <w:t xml:space="preserve">Book IV, chapter 147, G. R. S. Mead’s translation (1921), printed pp. 322–323. Thomas reports hearsay about ingestion; John asks about the righteous uninitiated soul. The subsequent sequence includes planetary alignment, purification, forgetfulness, then a second cup of wisdom and soberness before embodiment. </w:t>
      </w:r>
      <w:hyperlink r:id="rId104">
        <w:r w:rsidDel="00000000" w:rsidR="00000000" w:rsidRPr="00000000">
          <w:rPr>
            <w:color w:val="1155cc"/>
            <w:sz w:val="19"/>
            <w:szCs w:val="19"/>
            <w:u w:val="single"/>
            <w:rtl w:val="0"/>
          </w:rPr>
          <w:t xml:space="preserve">Read chapter 147</w:t>
        </w:r>
      </w:hyperlink>
      <w:r w:rsidDel="00000000" w:rsidR="00000000" w:rsidRPr="00000000">
        <w:rPr>
          <w:sz w:val="19"/>
          <w:szCs w:val="19"/>
          <w:rtl w:val="0"/>
        </w:rPr>
        <w:t xml:space="preserve">. The </w:t>
      </w:r>
      <w:hyperlink r:id="rId105">
        <w:r w:rsidDel="00000000" w:rsidR="00000000" w:rsidRPr="00000000">
          <w:rPr>
            <w:color w:val="1155cc"/>
            <w:sz w:val="19"/>
            <w:szCs w:val="19"/>
            <w:u w:val="single"/>
            <w:rtl w:val="0"/>
          </w:rPr>
          <w:t xml:space="preserve">4CARE Askew Codex record</w:t>
        </w:r>
      </w:hyperlink>
      <w:r w:rsidDel="00000000" w:rsidR="00000000" w:rsidRPr="00000000">
        <w:rPr>
          <w:sz w:val="19"/>
          <w:szCs w:val="19"/>
          <w:rtl w:val="0"/>
        </w:rPr>
        <w:t xml:space="preserve"> gives about 350–450 CE for the surviving copy and notes wider catalogue datings; this is not a composition date.</w:t>
      </w:r>
    </w:p>
    <w:p w:rsidR="00000000" w:rsidDel="00000000" w:rsidP="00000000" w:rsidRDefault="00000000" w:rsidRPr="00000000" w14:paraId="000000DA">
      <w:pPr>
        <w:pStyle w:val="Heading2"/>
        <w:rPr>
          <w:sz w:val="26"/>
          <w:szCs w:val="26"/>
        </w:rPr>
      </w:pPr>
      <w:r w:rsidDel="00000000" w:rsidR="00000000" w:rsidRPr="00000000">
        <w:rPr>
          <w:sz w:val="26"/>
          <w:szCs w:val="26"/>
          <w:rtl w:val="0"/>
        </w:rPr>
        <w:t xml:space="preserve">S6  The Gospel of Philip</w:t>
      </w:r>
    </w:p>
    <w:p w:rsidR="00000000" w:rsidDel="00000000" w:rsidP="00000000" w:rsidRDefault="00000000" w:rsidRPr="00000000" w14:paraId="000000DB">
      <w:pPr>
        <w:spacing w:after="140" w:lineRule="auto"/>
        <w:rPr/>
      </w:pPr>
      <w:r w:rsidDel="00000000" w:rsidR="00000000" w:rsidRPr="00000000">
        <w:rPr>
          <w:sz w:val="19"/>
          <w:szCs w:val="19"/>
          <w:rtl w:val="0"/>
        </w:rPr>
        <w:t xml:space="preserve">Nag Hammadi Codex II, tractate 3, translated by Wesley W. Isenberg. </w:t>
      </w:r>
      <w:hyperlink r:id="rId106">
        <w:r w:rsidDel="00000000" w:rsidR="00000000" w:rsidRPr="00000000">
          <w:rPr>
            <w:color w:val="1155cc"/>
            <w:sz w:val="19"/>
            <w:szCs w:val="19"/>
            <w:u w:val="single"/>
            <w:rtl w:val="0"/>
          </w:rPr>
          <w:t xml:space="preserve">Read the surviving Nag Hammadi text</w:t>
        </w:r>
      </w:hyperlink>
      <w:r w:rsidDel="00000000" w:rsidR="00000000" w:rsidRPr="00000000">
        <w:rPr>
          <w:sz w:val="19"/>
          <w:szCs w:val="19"/>
          <w:rtl w:val="0"/>
        </w:rPr>
        <w:t xml:space="preserve">. This work’s teaching on resurrection during life is distinct from the ascent speech preserved under the same title at Panarion 26.13.2.</w:t>
      </w:r>
      <w:r w:rsidDel="00000000" w:rsidR="00000000" w:rsidRPr="00000000">
        <w:rPr>
          <w:rtl w:val="0"/>
        </w:rPr>
      </w:r>
    </w:p>
    <w:p w:rsidR="00000000" w:rsidDel="00000000" w:rsidP="00000000" w:rsidRDefault="00000000" w:rsidRPr="00000000" w14:paraId="000000DC">
      <w:pPr>
        <w:pStyle w:val="Heading2"/>
        <w:rPr>
          <w:sz w:val="26"/>
          <w:szCs w:val="26"/>
        </w:rPr>
      </w:pPr>
      <w:r w:rsidDel="00000000" w:rsidR="00000000" w:rsidRPr="00000000">
        <w:rPr>
          <w:sz w:val="26"/>
          <w:szCs w:val="26"/>
          <w:rtl w:val="0"/>
        </w:rPr>
        <w:t xml:space="preserve">S7  Biblical passages</w:t>
      </w:r>
    </w:p>
    <w:p w:rsidR="00000000" w:rsidDel="00000000" w:rsidP="00000000" w:rsidRDefault="00000000" w:rsidRPr="00000000" w14:paraId="000000DD">
      <w:pPr>
        <w:spacing w:after="140" w:lineRule="auto"/>
        <w:rPr/>
      </w:pPr>
      <w:r w:rsidDel="00000000" w:rsidR="00000000" w:rsidRPr="00000000">
        <w:rPr>
          <w:sz w:val="19"/>
          <w:szCs w:val="19"/>
          <w:rtl w:val="0"/>
        </w:rPr>
        <w:t xml:space="preserve">Psalm 1:2–3; Luke 1:57–80; John 20:17–18; 1 Corinthians 7:1, 28, 32–35; Hebrews 13:4; Romans 1:26–27; 1 Timothy 4:2–3 and 5:11–14; 2 Timothy 3:1–4; Jude 8–10; 1 John 2:18 and 4:2; 2 John 7 and 10. </w:t>
      </w:r>
      <w:hyperlink r:id="rId107">
        <w:r w:rsidDel="00000000" w:rsidR="00000000" w:rsidRPr="00000000">
          <w:rPr>
            <w:color w:val="1155cc"/>
            <w:sz w:val="19"/>
            <w:szCs w:val="19"/>
            <w:u w:val="single"/>
            <w:rtl w:val="0"/>
          </w:rPr>
          <w:t xml:space="preserve">Greek New Testament starting point</w:t>
        </w:r>
      </w:hyperlink>
      <w:r w:rsidDel="00000000" w:rsidR="00000000" w:rsidRPr="00000000">
        <w:rPr>
          <w:sz w:val="19"/>
          <w:szCs w:val="19"/>
          <w:rtl w:val="0"/>
        </w:rPr>
        <w:t xml:space="preserve">. Epiphanius sometimes combines or paraphrases verses; the essay identifies the source passages rather than treating his wording as a continuous biblical quotation.</w:t>
      </w:r>
      <w:r w:rsidDel="00000000" w:rsidR="00000000" w:rsidRPr="00000000">
        <w:rPr>
          <w:rtl w:val="0"/>
        </w:rPr>
      </w:r>
    </w:p>
    <w:p w:rsidR="00000000" w:rsidDel="00000000" w:rsidP="00000000" w:rsidRDefault="00000000" w:rsidRPr="00000000" w14:paraId="000000DE">
      <w:pPr>
        <w:pStyle w:val="Heading2"/>
        <w:spacing w:after="140" w:lineRule="auto"/>
        <w:rPr>
          <w:sz w:val="26"/>
          <w:szCs w:val="26"/>
        </w:rPr>
      </w:pPr>
      <w:bookmarkStart w:colFirst="0" w:colLast="0" w:name="_48kmgg23xsx2" w:id="2"/>
      <w:bookmarkEnd w:id="2"/>
      <w:r w:rsidDel="00000000" w:rsidR="00000000" w:rsidRPr="00000000">
        <w:rPr>
          <w:sz w:val="26"/>
          <w:szCs w:val="26"/>
          <w:rtl w:val="0"/>
        </w:rPr>
        <w:t xml:space="preserve">S8  Porphyry and attributed revelations</w:t>
      </w:r>
    </w:p>
    <w:p w:rsidR="00000000" w:rsidDel="00000000" w:rsidP="00000000" w:rsidRDefault="00000000" w:rsidRPr="00000000" w14:paraId="000000DF">
      <w:pPr>
        <w:keepNext w:val="0"/>
        <w:spacing w:after="140" w:lineRule="auto"/>
        <w:rPr>
          <w:sz w:val="19"/>
          <w:szCs w:val="19"/>
        </w:rPr>
      </w:pPr>
      <w:r w:rsidDel="00000000" w:rsidR="00000000" w:rsidRPr="00000000">
        <w:rPr>
          <w:sz w:val="19"/>
          <w:szCs w:val="19"/>
          <w:rtl w:val="0"/>
        </w:rPr>
        <w:t xml:space="preserve">Life of Plotinus 16, in Stephen MacKenna’s translation, records revelations circulating under the names of Zoroaster, Zostrianus, and others in Plotinus’s third-century milieu. </w:t>
      </w:r>
      <w:hyperlink r:id="rId108">
        <w:r w:rsidDel="00000000" w:rsidR="00000000" w:rsidRPr="00000000">
          <w:rPr>
            <w:color w:val="1155cc"/>
            <w:sz w:val="19"/>
            <w:szCs w:val="19"/>
            <w:u w:val="single"/>
            <w:rtl w:val="0"/>
          </w:rPr>
          <w:t xml:space="preserve">Read the passage</w:t>
        </w:r>
      </w:hyperlink>
      <w:r w:rsidDel="00000000" w:rsidR="00000000" w:rsidRPr="00000000">
        <w:rPr>
          <w:sz w:val="19"/>
          <w:szCs w:val="19"/>
          <w:rtl w:val="0"/>
        </w:rPr>
        <w:t xml:space="preserve">. This independently attests such attributions, not the identity of the Book of Zoroaster cited by the Apocryphon of John.</w:t>
      </w:r>
    </w:p>
    <w:p w:rsidR="00000000" w:rsidDel="00000000" w:rsidP="00000000" w:rsidRDefault="00000000" w:rsidRPr="00000000" w14:paraId="000000E0">
      <w:pPr>
        <w:pStyle w:val="Heading2"/>
        <w:rPr>
          <w:sz w:val="26"/>
          <w:szCs w:val="26"/>
        </w:rPr>
      </w:pPr>
      <w:r w:rsidDel="00000000" w:rsidR="00000000" w:rsidRPr="00000000">
        <w:rPr>
          <w:sz w:val="26"/>
          <w:szCs w:val="26"/>
          <w:rtl w:val="0"/>
        </w:rPr>
        <w:t xml:space="preserve">The project archive</w:t>
      </w:r>
    </w:p>
    <w:p w:rsidR="00000000" w:rsidDel="00000000" w:rsidP="00000000" w:rsidRDefault="00000000" w:rsidRPr="00000000" w14:paraId="000000E1">
      <w:pPr>
        <w:spacing w:after="140" w:lineRule="auto"/>
        <w:rPr/>
      </w:pPr>
      <w:r w:rsidDel="00000000" w:rsidR="00000000" w:rsidRPr="00000000">
        <w:rPr>
          <w:sz w:val="19"/>
          <w:szCs w:val="19"/>
          <w:rtl w:val="0"/>
        </w:rPr>
        <w:t xml:space="preserve">The four project sources below are archived text copies read on 14 October 2026. The titles and terminology are retained, including “Timekeeper” and “eethnic.” Their conceptual language belongs to the project; citations to them identify actual passages used in this essay.</w:t>
      </w:r>
      <w:r w:rsidDel="00000000" w:rsidR="00000000" w:rsidRPr="00000000">
        <w:rPr>
          <w:rtl w:val="0"/>
        </w:rPr>
      </w:r>
    </w:p>
    <w:p w:rsidR="00000000" w:rsidDel="00000000" w:rsidP="00000000" w:rsidRDefault="00000000" w:rsidRPr="00000000" w14:paraId="000000E2">
      <w:pPr>
        <w:pStyle w:val="Heading2"/>
        <w:rPr>
          <w:sz w:val="26"/>
          <w:szCs w:val="26"/>
        </w:rPr>
      </w:pPr>
      <w:r w:rsidDel="00000000" w:rsidR="00000000" w:rsidRPr="00000000">
        <w:rPr>
          <w:sz w:val="26"/>
          <w:szCs w:val="26"/>
          <w:rtl w:val="0"/>
        </w:rPr>
        <w:t xml:space="preserve">D1  </w:t>
      </w:r>
      <w:hyperlink r:id="rId109">
        <w:r w:rsidDel="00000000" w:rsidR="00000000" w:rsidRPr="00000000">
          <w:rPr>
            <w:sz w:val="26"/>
            <w:szCs w:val="26"/>
            <w:u w:val="single"/>
            <w:rtl w:val="0"/>
          </w:rPr>
          <w:t xml:space="preserve">The eethnic shield</w:t>
        </w:r>
      </w:hyperlink>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sz w:val="19"/>
          <w:szCs w:val="19"/>
          <w:rtl w:val="0"/>
        </w:rPr>
        <w:t xml:space="preserve">File: D1-The-eethnic-shield.txt. The user’s statement at line 11 supplies “they decide what’s real and what isn’t.” Lines 5–8 and 14–16 develop the problem of interpretive authority and correction. Line 34 makes religious office answerable to its own obligations. Lines 49–54 contrast correction that changes behavior with an authorized explanation that leaves the harm in place.</w:t>
      </w:r>
      <w:r w:rsidDel="00000000" w:rsidR="00000000" w:rsidRPr="00000000">
        <w:rPr>
          <w:rtl w:val="0"/>
        </w:rPr>
      </w:r>
    </w:p>
    <w:p w:rsidR="00000000" w:rsidDel="00000000" w:rsidP="00000000" w:rsidRDefault="00000000" w:rsidRPr="00000000" w14:paraId="000000E4">
      <w:pPr>
        <w:spacing w:after="140" w:lineRule="auto"/>
        <w:rPr/>
      </w:pPr>
      <w:r w:rsidDel="00000000" w:rsidR="00000000" w:rsidRPr="00000000">
        <w:rPr>
          <w:sz w:val="19"/>
          <w:szCs w:val="19"/>
          <w:rtl w:val="0"/>
        </w:rPr>
        <w:t xml:space="preserve">This source is a conversation. The quotation at line 11 is the user’s wording; the explanatory formulations at the other cited locations are assistant responses in that conversation. The essay draws on both while keeping that distinction visible.</w:t>
      </w:r>
      <w:r w:rsidDel="00000000" w:rsidR="00000000" w:rsidRPr="00000000">
        <w:rPr>
          <w:rtl w:val="0"/>
        </w:rPr>
      </w:r>
    </w:p>
    <w:p w:rsidR="00000000" w:rsidDel="00000000" w:rsidP="00000000" w:rsidRDefault="00000000" w:rsidRPr="00000000" w14:paraId="000000E5">
      <w:pPr>
        <w:pStyle w:val="Heading2"/>
        <w:rPr>
          <w:sz w:val="26"/>
          <w:szCs w:val="26"/>
        </w:rPr>
      </w:pPr>
      <w:r w:rsidDel="00000000" w:rsidR="00000000" w:rsidRPr="00000000">
        <w:rPr>
          <w:sz w:val="26"/>
          <w:szCs w:val="26"/>
          <w:rtl w:val="0"/>
        </w:rPr>
        <w:t xml:space="preserve">D2  </w:t>
      </w:r>
      <w:hyperlink r:id="rId110">
        <w:r w:rsidDel="00000000" w:rsidR="00000000" w:rsidRPr="00000000">
          <w:rPr>
            <w:sz w:val="26"/>
            <w:szCs w:val="26"/>
            <w:u w:val="single"/>
            <w:rtl w:val="0"/>
          </w:rPr>
          <w:t xml:space="preserve">Babylonia time</w:t>
        </w:r>
      </w:hyperlink>
      <w:r w:rsidDel="00000000" w:rsidR="00000000" w:rsidRPr="00000000">
        <w:rPr>
          <w:rtl w:val="0"/>
        </w:rPr>
      </w:r>
    </w:p>
    <w:p w:rsidR="00000000" w:rsidDel="00000000" w:rsidP="00000000" w:rsidRDefault="00000000" w:rsidRPr="00000000" w14:paraId="000000E6">
      <w:pPr>
        <w:rPr/>
      </w:pPr>
      <w:r w:rsidDel="00000000" w:rsidR="00000000" w:rsidRPr="00000000">
        <w:rPr>
          <w:sz w:val="20"/>
          <w:szCs w:val="20"/>
          <w:rtl w:val="0"/>
        </w:rPr>
        <w:t xml:space="preserve">File: D2-Babylonia-time.txt. Lines 177–220 develop the project’s account of celestial scholarship, recurrence, and guarded knowledge. Line 291 asks who defines the calendar, sets the ritual window, interprets time, and turns timing into obligation. Lines 333–361 connect authorized revelation with the custody of celestial knowledge. The calendar question quoted near the opening of this essay is from line 291.</w:t>
      </w:r>
      <w:r w:rsidDel="00000000" w:rsidR="00000000" w:rsidRPr="00000000">
        <w:rPr>
          <w:rtl w:val="0"/>
        </w:rPr>
      </w:r>
    </w:p>
    <w:p w:rsidR="00000000" w:rsidDel="00000000" w:rsidP="00000000" w:rsidRDefault="00000000" w:rsidRPr="00000000" w14:paraId="000000E7">
      <w:pPr>
        <w:pStyle w:val="Heading2"/>
        <w:rPr>
          <w:sz w:val="26"/>
          <w:szCs w:val="26"/>
        </w:rPr>
      </w:pPr>
      <w:r w:rsidDel="00000000" w:rsidR="00000000" w:rsidRPr="00000000">
        <w:rPr>
          <w:sz w:val="26"/>
          <w:szCs w:val="26"/>
          <w:rtl w:val="0"/>
        </w:rPr>
        <w:t xml:space="preserve">D3  </w:t>
      </w:r>
      <w:hyperlink r:id="rId111">
        <w:r w:rsidDel="00000000" w:rsidR="00000000" w:rsidRPr="00000000">
          <w:rPr>
            <w:sz w:val="26"/>
            <w:szCs w:val="26"/>
            <w:u w:val="single"/>
            <w:rtl w:val="0"/>
          </w:rPr>
          <w:t xml:space="preserve">Babylonia time</w:t>
        </w:r>
      </w:hyperlink>
      <w:r w:rsidDel="00000000" w:rsidR="00000000" w:rsidRPr="00000000">
        <w:rPr>
          <w:sz w:val="26"/>
          <w:szCs w:val="26"/>
          <w:rtl w:val="0"/>
        </w:rPr>
        <w:t xml:space="preserve"> Sippar Ebabbar path ledger</w:t>
      </w:r>
    </w:p>
    <w:p w:rsidR="00000000" w:rsidDel="00000000" w:rsidP="00000000" w:rsidRDefault="00000000" w:rsidRPr="00000000" w14:paraId="000000E8">
      <w:pPr>
        <w:rPr/>
      </w:pPr>
      <w:r w:rsidDel="00000000" w:rsidR="00000000" w:rsidRPr="00000000">
        <w:rPr>
          <w:sz w:val="20"/>
          <w:szCs w:val="20"/>
          <w:rtl w:val="0"/>
        </w:rPr>
        <w:t xml:space="preserve">File: D3-Sippar-Ebabbar-path-ledger.txt. Summary rows 3–6 distinguish temple brokerage and contextual routes from direct encounters with named learned specialists. Path P007 follows Kaššāya through Šūzubu to Marduk-rēmanni. Its documentary references include BM 68921 and the Marduk-rēmanni archive. The ledger supplies the method used in the discussion of how knowledge travels: follow named relationships and identify what the documents record.</w:t>
      </w:r>
      <w:r w:rsidDel="00000000" w:rsidR="00000000" w:rsidRPr="00000000">
        <w:rPr>
          <w:rtl w:val="0"/>
        </w:rPr>
      </w:r>
    </w:p>
    <w:p w:rsidR="00000000" w:rsidDel="00000000" w:rsidP="00000000" w:rsidRDefault="00000000" w:rsidRPr="00000000" w14:paraId="000000E9">
      <w:pPr>
        <w:pStyle w:val="Heading2"/>
        <w:rPr>
          <w:sz w:val="26"/>
          <w:szCs w:val="26"/>
        </w:rPr>
      </w:pPr>
      <w:r w:rsidDel="00000000" w:rsidR="00000000" w:rsidRPr="00000000">
        <w:rPr>
          <w:sz w:val="26"/>
          <w:szCs w:val="26"/>
          <w:rtl w:val="0"/>
        </w:rPr>
        <w:t xml:space="preserve">D4  The Babylonian Priesthood Function</w:t>
      </w:r>
    </w:p>
    <w:p w:rsidR="00000000" w:rsidDel="00000000" w:rsidP="00000000" w:rsidRDefault="00000000" w:rsidRPr="00000000" w14:paraId="000000EA">
      <w:pPr>
        <w:spacing w:after="140" w:lineRule="auto"/>
        <w:rPr/>
      </w:pPr>
      <w:r w:rsidDel="00000000" w:rsidR="00000000" w:rsidRPr="00000000">
        <w:rPr>
          <w:sz w:val="19"/>
          <w:szCs w:val="19"/>
          <w:rtl w:val="0"/>
        </w:rPr>
        <w:t xml:space="preserve">File: D4-Babylonian-priesthood-function.txt. Line 25 defines a recurring function involving custody of time, texts, authorized interpretation, and legitimacy. Section I, especially lines 63–79, gives the sequence from sky and calendar to interpretation, administration, and political legitimacy. Only this conceptual and ancient-history portion is used here.</w:t>
      </w:r>
      <w:r w:rsidDel="00000000" w:rsidR="00000000" w:rsidRPr="00000000">
        <w:rPr>
          <w:rtl w:val="0"/>
        </w:rPr>
      </w:r>
    </w:p>
    <w:p w:rsidR="00000000" w:rsidDel="00000000" w:rsidP="00000000" w:rsidRDefault="00000000" w:rsidRPr="00000000" w14:paraId="000000EB">
      <w:pPr>
        <w:spacing w:after="140" w:lineRule="auto"/>
        <w:rPr/>
      </w:pPr>
      <w:r w:rsidDel="00000000" w:rsidR="00000000" w:rsidRPr="00000000">
        <w:rPr>
          <w:sz w:val="19"/>
          <w:szCs w:val="19"/>
          <w:rtl w:val="0"/>
        </w:rPr>
        <w:t xml:space="preserve">The archived copies accompany the research in Hillman-source-copies. Source locators refer to those preserved copies, rather than an assumed current cloud revision.</w:t>
      </w:r>
      <w:r w:rsidDel="00000000" w:rsidR="00000000" w:rsidRPr="00000000">
        <w:rPr>
          <w:rtl w:val="0"/>
        </w:rPr>
      </w:r>
    </w:p>
    <w:p w:rsidR="00000000" w:rsidDel="00000000" w:rsidP="00000000" w:rsidRDefault="00000000" w:rsidRPr="00000000" w14:paraId="000000EC">
      <w:pPr>
        <w:pStyle w:val="Heading2"/>
        <w:rPr>
          <w:sz w:val="26"/>
          <w:szCs w:val="26"/>
        </w:rPr>
      </w:pPr>
      <w:r w:rsidDel="00000000" w:rsidR="00000000" w:rsidRPr="00000000">
        <w:rPr>
          <w:sz w:val="26"/>
          <w:szCs w:val="26"/>
          <w:rtl w:val="0"/>
        </w:rPr>
        <w:t xml:space="preserve">Continuing the BT ledger</w:t>
      </w:r>
    </w:p>
    <w:p w:rsidR="00000000" w:rsidDel="00000000" w:rsidP="00000000" w:rsidRDefault="00000000" w:rsidRPr="00000000" w14:paraId="000000ED">
      <w:pPr>
        <w:rPr/>
      </w:pPr>
      <w:r w:rsidDel="00000000" w:rsidR="00000000" w:rsidRPr="00000000">
        <w:rPr>
          <w:sz w:val="20"/>
          <w:szCs w:val="20"/>
          <w:rtl w:val="0"/>
        </w:rPr>
        <w:t xml:space="preserve">The original BT numbering is retained as a route into the project’s research. Entries 1–9 concern documented settings, technical practices, and literary claims; entries 10–11 remain proposals requiring a dated institutional chain. These notes condense the earlier assessments. </w:t>
      </w:r>
      <w:hyperlink r:id="rId112">
        <w:r w:rsidDel="00000000" w:rsidR="00000000" w:rsidRPr="00000000">
          <w:rPr>
            <w:color w:val="1155cc"/>
            <w:sz w:val="20"/>
            <w:szCs w:val="20"/>
            <w:u w:val="single"/>
            <w:rtl w:val="0"/>
          </w:rPr>
          <w:t xml:space="preserve">[U2]</w:t>
        </w:r>
      </w:hyperlink>
      <w:r w:rsidDel="00000000" w:rsidR="00000000" w:rsidRPr="00000000">
        <w:rPr>
          <w:rtl w:val="0"/>
        </w:rPr>
      </w:r>
    </w:p>
    <w:tbl>
      <w:tblPr>
        <w:tblStyle w:val="Table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0"/>
        <w:gridCol w:w="8780"/>
        <w:tblGridChange w:id="0">
          <w:tblGrid>
            <w:gridCol w:w="1300"/>
            <w:gridCol w:w="8780"/>
          </w:tblGrid>
        </w:tblGridChange>
      </w:tblGrid>
      <w:tr>
        <w:trPr>
          <w:cantSplit w:val="1"/>
          <w:tblHeader w:val="1"/>
        </w:trPr>
        <w:tc>
          <w:tcPr>
            <w:shd w:fill="304d59" w:val="clear"/>
            <w:tcMar>
              <w:top w:w="85.0" w:type="dxa"/>
              <w:left w:w="85.0" w:type="dxa"/>
              <w:bottom w:w="85.0" w:type="dxa"/>
              <w:right w:w="85.0" w:type="dxa"/>
            </w:tcMar>
            <w:vAlign w:val="center"/>
          </w:tcPr>
          <w:p w:rsidR="00000000" w:rsidDel="00000000" w:rsidP="00000000" w:rsidRDefault="00000000" w:rsidRPr="00000000" w14:paraId="000000EE">
            <w:pPr>
              <w:spacing w:after="60" w:before="60" w:line="264" w:lineRule="auto"/>
              <w:rPr/>
            </w:pPr>
            <w:r w:rsidDel="00000000" w:rsidR="00000000" w:rsidRPr="00000000">
              <w:rPr>
                <w:b w:val="1"/>
                <w:bCs w:val="1"/>
                <w:color w:val="ffffff"/>
                <w:sz w:val="19"/>
                <w:szCs w:val="19"/>
                <w:rtl w:val="0"/>
              </w:rPr>
              <w:t xml:space="preserve">Entry</w:t>
            </w:r>
            <w:r w:rsidDel="00000000" w:rsidR="00000000" w:rsidRPr="00000000">
              <w:rPr>
                <w:rtl w:val="0"/>
              </w:rPr>
            </w:r>
          </w:p>
        </w:tc>
        <w:tc>
          <w:tcPr>
            <w:shd w:fill="304d59" w:val="clear"/>
            <w:tcMar>
              <w:top w:w="85.0" w:type="dxa"/>
              <w:left w:w="85.0" w:type="dxa"/>
              <w:bottom w:w="85.0" w:type="dxa"/>
              <w:right w:w="85.0" w:type="dxa"/>
            </w:tcMar>
            <w:vAlign w:val="center"/>
          </w:tcPr>
          <w:p w:rsidR="00000000" w:rsidDel="00000000" w:rsidP="00000000" w:rsidRDefault="00000000" w:rsidRPr="00000000" w14:paraId="000000EF">
            <w:pPr>
              <w:spacing w:after="60" w:before="60" w:line="264" w:lineRule="auto"/>
              <w:rPr/>
            </w:pPr>
            <w:r w:rsidDel="00000000" w:rsidR="00000000" w:rsidRPr="00000000">
              <w:rPr>
                <w:b w:val="1"/>
                <w:bCs w:val="1"/>
                <w:color w:val="ffffff"/>
                <w:sz w:val="19"/>
                <w:szCs w:val="19"/>
                <w:rtl w:val="0"/>
              </w:rPr>
              <w:t xml:space="preserve">Research focus and current footing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0">
            <w:pPr>
              <w:spacing w:after="60" w:before="60" w:line="264" w:lineRule="auto"/>
              <w:rPr/>
            </w:pPr>
            <w:r w:rsidDel="00000000" w:rsidR="00000000" w:rsidRPr="00000000">
              <w:rPr>
                <w:sz w:val="19"/>
                <w:szCs w:val="19"/>
                <w:rtl w:val="0"/>
              </w:rPr>
              <w:t xml:space="preserve">BT-01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1">
            <w:pPr>
              <w:spacing w:after="60" w:before="60" w:line="264" w:lineRule="auto"/>
              <w:rPr/>
            </w:pPr>
            <w:r w:rsidDel="00000000" w:rsidR="00000000" w:rsidRPr="00000000">
              <w:rPr>
                <w:sz w:val="19"/>
                <w:szCs w:val="19"/>
                <w:rtl w:val="0"/>
              </w:rPr>
              <w:t xml:space="preserve">Mesopotamian celestial scholarship within religious and political settings. Observation, prediction, and learned authority supply the foundation. </w:t>
            </w:r>
            <w:hyperlink r:id="rId113">
              <w:r w:rsidDel="00000000" w:rsidR="00000000" w:rsidRPr="00000000">
                <w:rPr>
                  <w:color w:val="1155cc"/>
                  <w:sz w:val="19"/>
                  <w:szCs w:val="19"/>
                  <w:u w:val="single"/>
                  <w:rtl w:val="0"/>
                </w:rPr>
                <w:t xml:space="preserve">[18]</w:t>
              </w:r>
            </w:hyperlink>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F2">
            <w:pPr>
              <w:spacing w:after="60" w:before="60" w:line="264" w:lineRule="auto"/>
              <w:rPr/>
            </w:pPr>
            <w:r w:rsidDel="00000000" w:rsidR="00000000" w:rsidRPr="00000000">
              <w:rPr>
                <w:sz w:val="19"/>
                <w:szCs w:val="19"/>
                <w:rtl w:val="0"/>
              </w:rPr>
              <w:t xml:space="preserve">BT-02</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F3">
            <w:pPr>
              <w:spacing w:after="60" w:before="60" w:line="264" w:lineRule="auto"/>
              <w:rPr/>
            </w:pPr>
            <w:r w:rsidDel="00000000" w:rsidR="00000000" w:rsidRPr="00000000">
              <w:rPr>
                <w:sz w:val="19"/>
                <w:szCs w:val="19"/>
                <w:rtl w:val="0"/>
              </w:rPr>
              <w:t xml:space="preserve">Protected knowledge and specialist identity. Investigate how access was granted, maintained, and challenged. </w:t>
            </w:r>
            <w:hyperlink r:id="rId114">
              <w:r w:rsidDel="00000000" w:rsidR="00000000" w:rsidRPr="00000000">
                <w:rPr>
                  <w:color w:val="1155cc"/>
                  <w:sz w:val="19"/>
                  <w:szCs w:val="19"/>
                  <w:u w:val="single"/>
                  <w:rtl w:val="0"/>
                </w:rPr>
                <w:t xml:space="preserve">[19]</w:t>
              </w:r>
            </w:hyperlink>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4">
            <w:pPr>
              <w:spacing w:after="60" w:before="60" w:line="264" w:lineRule="auto"/>
              <w:rPr/>
            </w:pPr>
            <w:r w:rsidDel="00000000" w:rsidR="00000000" w:rsidRPr="00000000">
              <w:rPr>
                <w:sz w:val="19"/>
                <w:szCs w:val="19"/>
                <w:rtl w:val="0"/>
              </w:rPr>
              <w:t xml:space="preserve">BT-03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5">
            <w:pPr>
              <w:spacing w:after="60" w:before="60" w:line="264" w:lineRule="auto"/>
              <w:rPr/>
            </w:pPr>
            <w:r w:rsidDel="00000000" w:rsidR="00000000" w:rsidRPr="00000000">
              <w:rPr>
                <w:sz w:val="19"/>
                <w:szCs w:val="19"/>
                <w:rtl w:val="0"/>
              </w:rPr>
              <w:t xml:space="preserve">Ancient or antediluvian origins claimed for knowledge. Read these claims as evidence of professional self-presentation. </w:t>
            </w:r>
            <w:hyperlink r:id="rId115">
              <w:r w:rsidDel="00000000" w:rsidR="00000000" w:rsidRPr="00000000">
                <w:rPr>
                  <w:color w:val="1155cc"/>
                  <w:sz w:val="19"/>
                  <w:szCs w:val="19"/>
                  <w:u w:val="single"/>
                  <w:rtl w:val="0"/>
                </w:rPr>
                <w:t xml:space="preserve">[18]</w:t>
              </w:r>
            </w:hyperlink>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F6">
            <w:pPr>
              <w:spacing w:after="60" w:before="60" w:line="264" w:lineRule="auto"/>
              <w:rPr/>
            </w:pPr>
            <w:r w:rsidDel="00000000" w:rsidR="00000000" w:rsidRPr="00000000">
              <w:rPr>
                <w:sz w:val="19"/>
                <w:szCs w:val="19"/>
                <w:rtl w:val="0"/>
              </w:rPr>
              <w:t xml:space="preserve">BT-04</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F7">
            <w:pPr>
              <w:spacing w:after="60" w:before="60" w:line="264" w:lineRule="auto"/>
              <w:rPr/>
            </w:pPr>
            <w:r w:rsidDel="00000000" w:rsidR="00000000" w:rsidRPr="00000000">
              <w:rPr>
                <w:sz w:val="19"/>
                <w:szCs w:val="19"/>
                <w:rtl w:val="0"/>
              </w:rPr>
              <w:t xml:space="preserve">Recurrence, position, observation, and numerical schemes. The Timekeeper comparison has concrete technical points of contact. </w:t>
            </w:r>
            <w:hyperlink r:id="rId116">
              <w:r w:rsidDel="00000000" w:rsidR="00000000" w:rsidRPr="00000000">
                <w:rPr>
                  <w:color w:val="1155cc"/>
                  <w:sz w:val="19"/>
                  <w:szCs w:val="19"/>
                  <w:u w:val="single"/>
                  <w:rtl w:val="0"/>
                </w:rPr>
                <w:t xml:space="preserve">[18]</w:t>
              </w:r>
            </w:hyperlink>
            <w:hyperlink r:id="rId117">
              <w:r w:rsidDel="00000000" w:rsidR="00000000" w:rsidRPr="00000000">
                <w:rPr>
                  <w:color w:val="1155cc"/>
                  <w:sz w:val="19"/>
                  <w:szCs w:val="19"/>
                  <w:u w:val="single"/>
                  <w:rtl w:val="0"/>
                </w:rPr>
                <w:t xml:space="preserve">[23]</w:t>
              </w:r>
            </w:hyperlink>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8">
            <w:pPr>
              <w:spacing w:after="60" w:before="60" w:line="264" w:lineRule="auto"/>
              <w:rPr/>
            </w:pPr>
            <w:r w:rsidDel="00000000" w:rsidR="00000000" w:rsidRPr="00000000">
              <w:rPr>
                <w:sz w:val="19"/>
                <w:szCs w:val="19"/>
                <w:rtl w:val="0"/>
              </w:rPr>
              <w:t xml:space="preserve">BT-05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9">
            <w:pPr>
              <w:spacing w:after="60" w:before="60" w:line="264" w:lineRule="auto"/>
              <w:rPr/>
            </w:pPr>
            <w:r w:rsidDel="00000000" w:rsidR="00000000" w:rsidRPr="00000000">
              <w:rPr>
                <w:sz w:val="19"/>
                <w:szCs w:val="19"/>
                <w:rtl w:val="0"/>
              </w:rPr>
              <w:t xml:space="preserve">Judean contact with Babylonian administration through deportation. More specific royal scribal-continuity claims remain carried forward from the ledger. </w:t>
            </w:r>
            <w:hyperlink r:id="rId118">
              <w:r w:rsidDel="00000000" w:rsidR="00000000" w:rsidRPr="00000000">
                <w:rPr>
                  <w:color w:val="1155cc"/>
                  <w:sz w:val="19"/>
                  <w:szCs w:val="19"/>
                  <w:u w:val="single"/>
                  <w:rtl w:val="0"/>
                </w:rPr>
                <w:t xml:space="preserve">[U2]</w:t>
              </w:r>
            </w:hyperlink>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FA">
            <w:pPr>
              <w:spacing w:after="60" w:before="60" w:line="264" w:lineRule="auto"/>
              <w:rPr/>
            </w:pPr>
            <w:r w:rsidDel="00000000" w:rsidR="00000000" w:rsidRPr="00000000">
              <w:rPr>
                <w:sz w:val="19"/>
                <w:szCs w:val="19"/>
                <w:rtl w:val="0"/>
              </w:rPr>
              <w:t xml:space="preserve">BT-06</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FB">
            <w:pPr>
              <w:spacing w:after="60" w:before="60" w:line="264" w:lineRule="auto"/>
              <w:rPr/>
            </w:pPr>
            <w:r w:rsidDel="00000000" w:rsidR="00000000" w:rsidRPr="00000000">
              <w:rPr>
                <w:sz w:val="19"/>
                <w:szCs w:val="19"/>
                <w:rtl w:val="0"/>
              </w:rPr>
              <w:t xml:space="preserve">Economic and social integration. The Sippar documents identify mercantile ties and particular temple connections. </w:t>
            </w:r>
            <w:hyperlink r:id="rId119">
              <w:r w:rsidDel="00000000" w:rsidR="00000000" w:rsidRPr="00000000">
                <w:rPr>
                  <w:color w:val="1155cc"/>
                  <w:sz w:val="19"/>
                  <w:szCs w:val="19"/>
                  <w:u w:val="single"/>
                  <w:rtl w:val="0"/>
                </w:rPr>
                <w:t xml:space="preserve">[20]</w:t>
              </w:r>
            </w:hyperlink>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C">
            <w:pPr>
              <w:spacing w:after="60" w:before="60" w:line="264" w:lineRule="auto"/>
              <w:rPr/>
            </w:pPr>
            <w:r w:rsidDel="00000000" w:rsidR="00000000" w:rsidRPr="00000000">
              <w:rPr>
                <w:sz w:val="19"/>
                <w:szCs w:val="19"/>
                <w:rtl w:val="0"/>
              </w:rPr>
              <w:t xml:space="preserve">BT-07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D">
            <w:pPr>
              <w:spacing w:after="60" w:before="60" w:line="264" w:lineRule="auto"/>
              <w:rPr/>
            </w:pPr>
            <w:r w:rsidDel="00000000" w:rsidR="00000000" w:rsidRPr="00000000">
              <w:rPr>
                <w:sz w:val="19"/>
                <w:szCs w:val="19"/>
                <w:rtl w:val="0"/>
              </w:rPr>
              <w:t xml:space="preserve">Adoption of Babylonian calendar conventions and month names in Judean usage. </w:t>
            </w:r>
            <w:hyperlink r:id="rId120">
              <w:r w:rsidDel="00000000" w:rsidR="00000000" w:rsidRPr="00000000">
                <w:rPr>
                  <w:color w:val="1155cc"/>
                  <w:sz w:val="19"/>
                  <w:szCs w:val="19"/>
                  <w:u w:val="single"/>
                  <w:rtl w:val="0"/>
                </w:rPr>
                <w:t xml:space="preserve">[39]</w:t>
              </w:r>
            </w:hyperlink>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0FE">
            <w:pPr>
              <w:spacing w:after="60" w:before="60" w:line="264" w:lineRule="auto"/>
              <w:rPr/>
            </w:pPr>
            <w:r w:rsidDel="00000000" w:rsidR="00000000" w:rsidRPr="00000000">
              <w:rPr>
                <w:sz w:val="19"/>
                <w:szCs w:val="19"/>
                <w:rtl w:val="0"/>
              </w:rPr>
              <w:t xml:space="preserve">BT-08</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0FF">
            <w:pPr>
              <w:spacing w:after="60" w:before="60" w:line="264" w:lineRule="auto"/>
              <w:rPr/>
            </w:pPr>
            <w:r w:rsidDel="00000000" w:rsidR="00000000" w:rsidRPr="00000000">
              <w:rPr>
                <w:sz w:val="19"/>
                <w:szCs w:val="19"/>
                <w:rtl w:val="0"/>
              </w:rPr>
              <w:t xml:space="preserve">Enochic adaptation of Babylonian schematic material. Drawnel supplies specific numerical and verbal comparisons. </w:t>
            </w:r>
            <w:hyperlink r:id="rId121">
              <w:r w:rsidDel="00000000" w:rsidR="00000000" w:rsidRPr="00000000">
                <w:rPr>
                  <w:color w:val="1155cc"/>
                  <w:sz w:val="19"/>
                  <w:szCs w:val="19"/>
                  <w:u w:val="single"/>
                  <w:rtl w:val="0"/>
                </w:rPr>
                <w:t xml:space="preserve">[22]</w:t>
              </w:r>
            </w:hyperlink>
            <w:hyperlink r:id="rId122">
              <w:r w:rsidDel="00000000" w:rsidR="00000000" w:rsidRPr="00000000">
                <w:rPr>
                  <w:color w:val="1155cc"/>
                  <w:sz w:val="19"/>
                  <w:szCs w:val="19"/>
                  <w:u w:val="single"/>
                  <w:rtl w:val="0"/>
                </w:rPr>
                <w:t xml:space="preserve">[23]</w:t>
              </w:r>
            </w:hyperlink>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0">
            <w:pPr>
              <w:spacing w:after="60" w:before="60" w:line="264" w:lineRule="auto"/>
              <w:rPr/>
            </w:pPr>
            <w:r w:rsidDel="00000000" w:rsidR="00000000" w:rsidRPr="00000000">
              <w:rPr>
                <w:sz w:val="19"/>
                <w:szCs w:val="19"/>
                <w:rtl w:val="0"/>
              </w:rPr>
              <w:t xml:space="preserve">BT-09</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1">
            <w:pPr>
              <w:spacing w:after="60" w:before="60" w:line="264" w:lineRule="auto"/>
              <w:rPr/>
            </w:pPr>
            <w:r w:rsidDel="00000000" w:rsidR="00000000" w:rsidRPr="00000000">
              <w:rPr>
                <w:sz w:val="19"/>
                <w:szCs w:val="19"/>
                <w:rtl w:val="0"/>
              </w:rPr>
              <w:t xml:space="preserve">Authorized revelation and illicit astral instruction as competing literary accounts of knowledge. </w:t>
            </w:r>
            <w:hyperlink r:id="rId123">
              <w:r w:rsidDel="00000000" w:rsidR="00000000" w:rsidRPr="00000000">
                <w:rPr>
                  <w:color w:val="1155cc"/>
                  <w:sz w:val="19"/>
                  <w:szCs w:val="19"/>
                  <w:u w:val="single"/>
                  <w:rtl w:val="0"/>
                </w:rPr>
                <w:t xml:space="preserve">[24]</w:t>
              </w:r>
            </w:hyperlink>
            <w:r w:rsidDel="00000000" w:rsidR="00000000" w:rsidRPr="00000000">
              <w:rPr>
                <w:rtl w:val="0"/>
              </w:rPr>
            </w:r>
          </w:p>
        </w:tc>
      </w:tr>
      <w:tr>
        <w:trPr>
          <w:cantSplit w:val="1"/>
          <w:tblHeader w:val="0"/>
        </w:trPr>
        <w:tc>
          <w:tcPr>
            <w:shd w:fill="f2f5f6" w:val="clear"/>
            <w:tcMar>
              <w:top w:w="85.0" w:type="dxa"/>
              <w:left w:w="85.0" w:type="dxa"/>
              <w:bottom w:w="85.0" w:type="dxa"/>
              <w:right w:w="85.0" w:type="dxa"/>
            </w:tcMar>
            <w:vAlign w:val="center"/>
          </w:tcPr>
          <w:p w:rsidR="00000000" w:rsidDel="00000000" w:rsidP="00000000" w:rsidRDefault="00000000" w:rsidRPr="00000000" w14:paraId="00000102">
            <w:pPr>
              <w:spacing w:after="60" w:before="60" w:line="264" w:lineRule="auto"/>
              <w:rPr/>
            </w:pPr>
            <w:r w:rsidDel="00000000" w:rsidR="00000000" w:rsidRPr="00000000">
              <w:rPr>
                <w:sz w:val="19"/>
                <w:szCs w:val="19"/>
                <w:rtl w:val="0"/>
              </w:rPr>
              <w:t xml:space="preserve">BT-10</w:t>
            </w:r>
            <w:r w:rsidDel="00000000" w:rsidR="00000000" w:rsidRPr="00000000">
              <w:rPr>
                <w:rtl w:val="0"/>
              </w:rPr>
            </w:r>
          </w:p>
        </w:tc>
        <w:tc>
          <w:tcPr>
            <w:shd w:fill="f2f5f6" w:val="clear"/>
            <w:tcMar>
              <w:top w:w="85.0" w:type="dxa"/>
              <w:left w:w="85.0" w:type="dxa"/>
              <w:bottom w:w="85.0" w:type="dxa"/>
              <w:right w:w="85.0" w:type="dxa"/>
            </w:tcMar>
            <w:vAlign w:val="center"/>
          </w:tcPr>
          <w:p w:rsidR="00000000" w:rsidDel="00000000" w:rsidP="00000000" w:rsidRDefault="00000000" w:rsidRPr="00000000" w14:paraId="00000103">
            <w:pPr>
              <w:spacing w:after="60" w:before="60" w:line="264" w:lineRule="auto"/>
              <w:rPr/>
            </w:pPr>
            <w:r w:rsidDel="00000000" w:rsidR="00000000" w:rsidRPr="00000000">
              <w:rPr>
                <w:sz w:val="19"/>
                <w:szCs w:val="19"/>
                <w:rtl w:val="0"/>
              </w:rPr>
              <w:t xml:space="preserve">Proposed secret entry of a particular priestly group into the exilic community. Open: identify the group and its actions in dated records. </w:t>
            </w:r>
            <w:hyperlink r:id="rId124">
              <w:r w:rsidDel="00000000" w:rsidR="00000000" w:rsidRPr="00000000">
                <w:rPr>
                  <w:color w:val="1155cc"/>
                  <w:sz w:val="19"/>
                  <w:szCs w:val="19"/>
                  <w:u w:val="single"/>
                  <w:rtl w:val="0"/>
                </w:rPr>
                <w:t xml:space="preserve">[U2]</w:t>
              </w:r>
            </w:hyperlink>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4">
            <w:pPr>
              <w:spacing w:after="60" w:before="60" w:line="264" w:lineRule="auto"/>
              <w:rPr/>
            </w:pPr>
            <w:r w:rsidDel="00000000" w:rsidR="00000000" w:rsidRPr="00000000">
              <w:rPr>
                <w:sz w:val="19"/>
                <w:szCs w:val="19"/>
                <w:rtl w:val="0"/>
              </w:rPr>
              <w:t xml:space="preserve">BT-11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5">
            <w:pPr>
              <w:spacing w:after="60" w:before="60" w:line="264" w:lineRule="auto"/>
              <w:rPr/>
            </w:pPr>
            <w:r w:rsidDel="00000000" w:rsidR="00000000" w:rsidRPr="00000000">
              <w:rPr>
                <w:sz w:val="19"/>
                <w:szCs w:val="19"/>
                <w:rtl w:val="0"/>
              </w:rPr>
              <w:t xml:space="preserve">Proposed continuity of that organization into modern institutions. Open: trace successive membership, offices, or communications across the proposed transitions. </w:t>
            </w:r>
            <w:hyperlink r:id="rId125">
              <w:r w:rsidDel="00000000" w:rsidR="00000000" w:rsidRPr="00000000">
                <w:rPr>
                  <w:color w:val="1155cc"/>
                  <w:sz w:val="19"/>
                  <w:szCs w:val="19"/>
                  <w:u w:val="single"/>
                  <w:rtl w:val="0"/>
                </w:rPr>
                <w:t xml:space="preserve">[U2]</w:t>
              </w:r>
            </w:hyperlink>
            <w:r w:rsidDel="00000000" w:rsidR="00000000" w:rsidRPr="00000000">
              <w:rPr>
                <w:rtl w:val="0"/>
              </w:rPr>
            </w:r>
          </w:p>
        </w:tc>
      </w:tr>
    </w:tbl>
    <w:p w:rsidR="00000000" w:rsidDel="00000000" w:rsidP="00000000" w:rsidRDefault="00000000" w:rsidRPr="00000000" w14:paraId="00000106">
      <w:pPr>
        <w:spacing w:after="40" w:line="6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sz w:val="20"/>
          <w:szCs w:val="20"/>
          <w:rtl w:val="0"/>
        </w:rPr>
        <w:t xml:space="preserve">Further work can now be specific: a timestamped Hillman passage beside its Greek; a person connected by a document to instruction; the Enochic numerical and verbal correspondences; a disputed calendar adjustment and its consequences; or the same dated witnesses assessed under the Gnoli and de Jong reconstructions. “Babylon” as an institutional function is the project’s comparison; ethnic identity and inherited culpability are separate from that model. Modern political and biological claims are outside this essay’s historical account.</w:t>
      </w:r>
      <w:r w:rsidDel="00000000" w:rsidR="00000000" w:rsidRPr="00000000">
        <w:rPr>
          <w:rtl w:val="0"/>
        </w:rPr>
      </w:r>
    </w:p>
    <w:p w:rsidR="00000000" w:rsidDel="00000000" w:rsidP="00000000" w:rsidRDefault="00000000" w:rsidRPr="00000000" w14:paraId="00000108">
      <w:pPr>
        <w:pStyle w:val="Heading2"/>
        <w:rPr>
          <w:sz w:val="26"/>
          <w:szCs w:val="26"/>
        </w:rPr>
      </w:pPr>
      <w:r w:rsidDel="00000000" w:rsidR="00000000" w:rsidRPr="00000000">
        <w:rPr>
          <w:sz w:val="26"/>
          <w:szCs w:val="26"/>
          <w:rtl w:val="0"/>
        </w:rPr>
        <w:t xml:space="preserve">Linked research sources and access notes</w:t>
      </w:r>
    </w:p>
    <w:p w:rsidR="00000000" w:rsidDel="00000000" w:rsidP="00000000" w:rsidRDefault="00000000" w:rsidRPr="00000000" w14:paraId="00000109">
      <w:pPr>
        <w:rPr/>
      </w:pPr>
      <w:r w:rsidDel="00000000" w:rsidR="00000000" w:rsidRPr="00000000">
        <w:rPr>
          <w:sz w:val="20"/>
          <w:szCs w:val="20"/>
          <w:rtl w:val="0"/>
        </w:rPr>
        <w:t xml:space="preserve">The following register preserves the original source numbers and links. Ancient work and section numbers are the stable locators. “Inspected” describes the material available during the underlying investigation; catalogue and publisher records identify publications and their stated theses.</w:t>
      </w:r>
      <w:r w:rsidDel="00000000" w:rsidR="00000000" w:rsidRPr="00000000">
        <w:rPr>
          <w:rtl w:val="0"/>
        </w:rPr>
      </w:r>
    </w:p>
    <w:p w:rsidR="00000000" w:rsidDel="00000000" w:rsidP="00000000" w:rsidRDefault="00000000" w:rsidRPr="00000000" w14:paraId="0000010A">
      <w:pPr>
        <w:spacing w:after="140" w:lineRule="auto"/>
        <w:rPr/>
      </w:pPr>
      <w:hyperlink r:id="rId126">
        <w:r w:rsidDel="00000000" w:rsidR="00000000" w:rsidRPr="00000000">
          <w:rPr>
            <w:color w:val="1155cc"/>
            <w:sz w:val="19"/>
            <w:szCs w:val="19"/>
            <w:u w:val="single"/>
            <w:rtl w:val="0"/>
          </w:rPr>
          <w:t xml:space="preserve">[U1]</w:t>
        </w:r>
      </w:hyperlink>
      <w:r w:rsidDel="00000000" w:rsidR="00000000" w:rsidRPr="00000000">
        <w:rPr>
          <w:sz w:val="19"/>
          <w:szCs w:val="19"/>
          <w:rtl w:val="0"/>
        </w:rPr>
        <w:t xml:space="preserve"> </w:t>
      </w:r>
      <w:hyperlink r:id="rId127">
        <w:r w:rsidDel="00000000" w:rsidR="00000000" w:rsidRPr="00000000">
          <w:rPr>
            <w:color w:val="1155cc"/>
            <w:sz w:val="19"/>
            <w:szCs w:val="19"/>
            <w:u w:val="single"/>
            <w:rtl w:val="0"/>
          </w:rPr>
          <w:t xml:space="preserve">The eethnic shield</w:t>
        </w:r>
      </w:hyperlink>
      <w:r w:rsidDel="00000000" w:rsidR="00000000" w:rsidRPr="00000000">
        <w:rPr>
          <w:sz w:val="19"/>
          <w:szCs w:val="19"/>
          <w:rtl w:val="0"/>
        </w:rPr>
        <w:t xml:space="preserve">. User research document. Full accessible text read; discussion of priestly authority, correction, and institutional explanations.</w:t>
      </w:r>
      <w:r w:rsidDel="00000000" w:rsidR="00000000" w:rsidRPr="00000000">
        <w:rPr>
          <w:rtl w:val="0"/>
        </w:rPr>
      </w:r>
    </w:p>
    <w:p w:rsidR="00000000" w:rsidDel="00000000" w:rsidP="00000000" w:rsidRDefault="00000000" w:rsidRPr="00000000" w14:paraId="0000010B">
      <w:pPr>
        <w:spacing w:after="140" w:lineRule="auto"/>
        <w:rPr/>
      </w:pPr>
      <w:hyperlink r:id="rId128">
        <w:r w:rsidDel="00000000" w:rsidR="00000000" w:rsidRPr="00000000">
          <w:rPr>
            <w:color w:val="1155cc"/>
            <w:sz w:val="19"/>
            <w:szCs w:val="19"/>
            <w:u w:val="single"/>
            <w:rtl w:val="0"/>
          </w:rPr>
          <w:t xml:space="preserve">[U2]</w:t>
        </w:r>
      </w:hyperlink>
      <w:r w:rsidDel="00000000" w:rsidR="00000000" w:rsidRPr="00000000">
        <w:rPr>
          <w:sz w:val="19"/>
          <w:szCs w:val="19"/>
          <w:rtl w:val="0"/>
        </w:rPr>
        <w:t xml:space="preserve"> </w:t>
      </w:r>
      <w:hyperlink r:id="rId129">
        <w:r w:rsidDel="00000000" w:rsidR="00000000" w:rsidRPr="00000000">
          <w:rPr>
            <w:color w:val="1155cc"/>
            <w:sz w:val="19"/>
            <w:szCs w:val="19"/>
            <w:u w:val="single"/>
            <w:rtl w:val="0"/>
          </w:rPr>
          <w:t xml:space="preserve">Babylonia time</w:t>
        </w:r>
      </w:hyperlink>
      <w:r w:rsidDel="00000000" w:rsidR="00000000" w:rsidRPr="00000000">
        <w:rPr>
          <w:sz w:val="19"/>
          <w:szCs w:val="19"/>
          <w:rtl w:val="0"/>
        </w:rPr>
        <w:t xml:space="preserve">. User research document. Full accessible text read, including BT-01 through BT-11 and subsequent Sippar, Borsippa, calendar, and architectural discussions.</w:t>
      </w:r>
      <w:r w:rsidDel="00000000" w:rsidR="00000000" w:rsidRPr="00000000">
        <w:rPr>
          <w:rtl w:val="0"/>
        </w:rPr>
      </w:r>
    </w:p>
    <w:p w:rsidR="00000000" w:rsidDel="00000000" w:rsidP="00000000" w:rsidRDefault="00000000" w:rsidRPr="00000000" w14:paraId="0000010C">
      <w:pPr>
        <w:spacing w:after="140" w:lineRule="auto"/>
        <w:rPr/>
      </w:pPr>
      <w:hyperlink r:id="rId130">
        <w:r w:rsidDel="00000000" w:rsidR="00000000" w:rsidRPr="00000000">
          <w:rPr>
            <w:color w:val="1155cc"/>
            <w:sz w:val="19"/>
            <w:szCs w:val="19"/>
            <w:u w:val="single"/>
            <w:rtl w:val="0"/>
          </w:rPr>
          <w:t xml:space="preserve">[U3]</w:t>
        </w:r>
      </w:hyperlink>
      <w:r w:rsidDel="00000000" w:rsidR="00000000" w:rsidRPr="00000000">
        <w:rPr>
          <w:sz w:val="19"/>
          <w:szCs w:val="19"/>
          <w:rtl w:val="0"/>
        </w:rPr>
        <w:t xml:space="preserve"> </w:t>
      </w:r>
      <w:hyperlink r:id="rId131">
        <w:r w:rsidDel="00000000" w:rsidR="00000000" w:rsidRPr="00000000">
          <w:rPr>
            <w:color w:val="1155cc"/>
            <w:sz w:val="19"/>
            <w:szCs w:val="19"/>
            <w:u w:val="single"/>
            <w:rtl w:val="0"/>
          </w:rPr>
          <w:t xml:space="preserve">The Babylonian Patch</w:t>
        </w:r>
      </w:hyperlink>
      <w:r w:rsidDel="00000000" w:rsidR="00000000" w:rsidRPr="00000000">
        <w:rPr>
          <w:sz w:val="19"/>
          <w:szCs w:val="19"/>
          <w:rtl w:val="0"/>
        </w:rPr>
        <w:t xml:space="preserve">. User research document. Full accessible text read. Historical assertions are audited separately from symbolic interpretation.</w:t>
      </w:r>
      <w:r w:rsidDel="00000000" w:rsidR="00000000" w:rsidRPr="00000000">
        <w:rPr>
          <w:rtl w:val="0"/>
        </w:rPr>
      </w:r>
    </w:p>
    <w:p w:rsidR="00000000" w:rsidDel="00000000" w:rsidP="00000000" w:rsidRDefault="00000000" w:rsidRPr="00000000" w14:paraId="0000010D">
      <w:pPr>
        <w:spacing w:after="140" w:lineRule="auto"/>
        <w:rPr/>
      </w:pPr>
      <w:hyperlink r:id="rId132">
        <w:r w:rsidDel="00000000" w:rsidR="00000000" w:rsidRPr="00000000">
          <w:rPr>
            <w:color w:val="1155cc"/>
            <w:sz w:val="19"/>
            <w:szCs w:val="19"/>
            <w:u w:val="single"/>
            <w:rtl w:val="0"/>
          </w:rPr>
          <w:t xml:space="preserve">[1]</w:t>
        </w:r>
      </w:hyperlink>
      <w:r w:rsidDel="00000000" w:rsidR="00000000" w:rsidRPr="00000000">
        <w:rPr>
          <w:sz w:val="19"/>
          <w:szCs w:val="19"/>
          <w:rtl w:val="0"/>
        </w:rPr>
        <w:t xml:space="preserve"> </w:t>
      </w:r>
      <w:hyperlink r:id="rId133">
        <w:r w:rsidDel="00000000" w:rsidR="00000000" w:rsidRPr="00000000">
          <w:rPr>
            <w:color w:val="1155cc"/>
            <w:sz w:val="19"/>
            <w:szCs w:val="19"/>
            <w:u w:val="single"/>
            <w:rtl w:val="0"/>
          </w:rPr>
          <w:t xml:space="preserve">Macmillan author biography for D C A Hillman</w:t>
        </w:r>
      </w:hyperlink>
      <w:r w:rsidDel="00000000" w:rsidR="00000000" w:rsidRPr="00000000">
        <w:rPr>
          <w:sz w:val="19"/>
          <w:szCs w:val="19"/>
          <w:rtl w:val="0"/>
        </w:rPr>
        <w:t xml:space="preserve">. Publisher biography; source for stated degrees, not a university transcript.</w:t>
      </w:r>
      <w:r w:rsidDel="00000000" w:rsidR="00000000" w:rsidRPr="00000000">
        <w:rPr>
          <w:rtl w:val="0"/>
        </w:rPr>
      </w:r>
    </w:p>
    <w:p w:rsidR="00000000" w:rsidDel="00000000" w:rsidP="00000000" w:rsidRDefault="00000000" w:rsidRPr="00000000" w14:paraId="0000010E">
      <w:pPr>
        <w:spacing w:after="140" w:lineRule="auto"/>
        <w:rPr/>
      </w:pPr>
      <w:hyperlink r:id="rId134">
        <w:r w:rsidDel="00000000" w:rsidR="00000000" w:rsidRPr="00000000">
          <w:rPr>
            <w:color w:val="1155cc"/>
            <w:sz w:val="19"/>
            <w:szCs w:val="19"/>
            <w:u w:val="single"/>
            <w:rtl w:val="0"/>
          </w:rPr>
          <w:t xml:space="preserve">[2]</w:t>
        </w:r>
      </w:hyperlink>
      <w:r w:rsidDel="00000000" w:rsidR="00000000" w:rsidRPr="00000000">
        <w:rPr>
          <w:sz w:val="19"/>
          <w:szCs w:val="19"/>
          <w:rtl w:val="0"/>
        </w:rPr>
        <w:t xml:space="preserve"> </w:t>
      </w:r>
      <w:hyperlink r:id="rId135">
        <w:r w:rsidDel="00000000" w:rsidR="00000000" w:rsidRPr="00000000">
          <w:rPr>
            <w:color w:val="1155cc"/>
            <w:sz w:val="19"/>
            <w:szCs w:val="19"/>
            <w:u w:val="single"/>
            <w:rtl w:val="0"/>
          </w:rPr>
          <w:t xml:space="preserve">Hillman dissertation catalogue record</w:t>
        </w:r>
      </w:hyperlink>
      <w:r w:rsidDel="00000000" w:rsidR="00000000" w:rsidRPr="00000000">
        <w:rPr>
          <w:sz w:val="19"/>
          <w:szCs w:val="19"/>
          <w:rtl w:val="0"/>
        </w:rPr>
        <w:t xml:space="preserve">. Representations of pharmacy in Roman literature from Cato to Ovid. University of Wisconsin–Madison PhD dissertation, 2004. Catalogue metadata inspected; dissertation not read.</w:t>
      </w:r>
      <w:r w:rsidDel="00000000" w:rsidR="00000000" w:rsidRPr="00000000">
        <w:rPr>
          <w:rtl w:val="0"/>
        </w:rPr>
      </w:r>
    </w:p>
    <w:p w:rsidR="00000000" w:rsidDel="00000000" w:rsidP="00000000" w:rsidRDefault="00000000" w:rsidRPr="00000000" w14:paraId="0000010F">
      <w:pPr>
        <w:spacing w:after="140" w:lineRule="auto"/>
        <w:rPr/>
      </w:pPr>
      <w:hyperlink r:id="rId136">
        <w:r w:rsidDel="00000000" w:rsidR="00000000" w:rsidRPr="00000000">
          <w:rPr>
            <w:color w:val="1155cc"/>
            <w:sz w:val="19"/>
            <w:szCs w:val="19"/>
            <w:u w:val="single"/>
            <w:rtl w:val="0"/>
          </w:rPr>
          <w:t xml:space="preserve">[3]</w:t>
        </w:r>
      </w:hyperlink>
      <w:r w:rsidDel="00000000" w:rsidR="00000000" w:rsidRPr="00000000">
        <w:rPr>
          <w:sz w:val="19"/>
          <w:szCs w:val="19"/>
          <w:rtl w:val="0"/>
        </w:rPr>
        <w:t xml:space="preserve"> </w:t>
      </w:r>
      <w:hyperlink r:id="rId137">
        <w:r w:rsidDel="00000000" w:rsidR="00000000" w:rsidRPr="00000000">
          <w:rPr>
            <w:color w:val="1155cc"/>
            <w:sz w:val="19"/>
            <w:szCs w:val="19"/>
            <w:u w:val="single"/>
            <w:rtl w:val="0"/>
          </w:rPr>
          <w:t xml:space="preserve">Hillman 2001 The salamander as a drug in Nicander’s writings</w:t>
        </w:r>
      </w:hyperlink>
      <w:r w:rsidDel="00000000" w:rsidR="00000000" w:rsidRPr="00000000">
        <w:rPr>
          <w:sz w:val="19"/>
          <w:szCs w:val="19"/>
          <w:rtl w:val="0"/>
        </w:rPr>
        <w:t xml:space="preserve">. Pharmacy in History 43(2–3), 93–96. PubMed bibliographic record; full article not accessible in this investigation. JSTOR stable item 41112052.</w:t>
      </w:r>
      <w:r w:rsidDel="00000000" w:rsidR="00000000" w:rsidRPr="00000000">
        <w:rPr>
          <w:rtl w:val="0"/>
        </w:rPr>
      </w:r>
    </w:p>
    <w:p w:rsidR="00000000" w:rsidDel="00000000" w:rsidP="00000000" w:rsidRDefault="00000000" w:rsidRPr="00000000" w14:paraId="00000110">
      <w:pPr>
        <w:spacing w:after="140" w:lineRule="auto"/>
        <w:rPr/>
      </w:pPr>
      <w:hyperlink r:id="rId138">
        <w:r w:rsidDel="00000000" w:rsidR="00000000" w:rsidRPr="00000000">
          <w:rPr>
            <w:color w:val="1155cc"/>
            <w:sz w:val="19"/>
            <w:szCs w:val="19"/>
            <w:u w:val="single"/>
            <w:rtl w:val="0"/>
          </w:rPr>
          <w:t xml:space="preserve">[4]</w:t>
        </w:r>
      </w:hyperlink>
      <w:r w:rsidDel="00000000" w:rsidR="00000000" w:rsidRPr="00000000">
        <w:rPr>
          <w:sz w:val="19"/>
          <w:szCs w:val="19"/>
          <w:rtl w:val="0"/>
        </w:rPr>
        <w:t xml:space="preserve"> </w:t>
      </w:r>
      <w:hyperlink r:id="rId139">
        <w:r w:rsidDel="00000000" w:rsidR="00000000" w:rsidRPr="00000000">
          <w:rPr>
            <w:color w:val="1155cc"/>
            <w:sz w:val="19"/>
            <w:szCs w:val="19"/>
            <w:u w:val="single"/>
            <w:rtl w:val="0"/>
          </w:rPr>
          <w:t xml:space="preserve">Hillman The Chemical Muse</w:t>
        </w:r>
      </w:hyperlink>
      <w:r w:rsidDel="00000000" w:rsidR="00000000" w:rsidRPr="00000000">
        <w:rPr>
          <w:sz w:val="19"/>
          <w:szCs w:val="19"/>
          <w:rtl w:val="0"/>
        </w:rPr>
        <w:t xml:space="preserve">. Macmillan publisher page and accessible promotional/excerpt material. Original book 2008; linked ebook edition 2014. Full book not read.</w:t>
      </w:r>
      <w:r w:rsidDel="00000000" w:rsidR="00000000" w:rsidRPr="00000000">
        <w:rPr>
          <w:rtl w:val="0"/>
        </w:rPr>
      </w:r>
    </w:p>
    <w:p w:rsidR="00000000" w:rsidDel="00000000" w:rsidP="00000000" w:rsidRDefault="00000000" w:rsidRPr="00000000" w14:paraId="00000111">
      <w:pPr>
        <w:spacing w:after="140" w:lineRule="auto"/>
        <w:rPr/>
      </w:pPr>
      <w:hyperlink r:id="rId140">
        <w:r w:rsidDel="00000000" w:rsidR="00000000" w:rsidRPr="00000000">
          <w:rPr>
            <w:color w:val="1155cc"/>
            <w:sz w:val="19"/>
            <w:szCs w:val="19"/>
            <w:u w:val="single"/>
            <w:rtl w:val="0"/>
          </w:rPr>
          <w:t xml:space="preserve">[5]</w:t>
        </w:r>
      </w:hyperlink>
      <w:r w:rsidDel="00000000" w:rsidR="00000000" w:rsidRPr="00000000">
        <w:rPr>
          <w:sz w:val="19"/>
          <w:szCs w:val="19"/>
          <w:rtl w:val="0"/>
        </w:rPr>
        <w:t xml:space="preserve"> </w:t>
      </w:r>
      <w:hyperlink r:id="rId141">
        <w:r w:rsidDel="00000000" w:rsidR="00000000" w:rsidRPr="00000000">
          <w:rPr>
            <w:color w:val="1155cc"/>
            <w:sz w:val="19"/>
            <w:szCs w:val="19"/>
            <w:u w:val="single"/>
            <w:rtl w:val="0"/>
          </w:rPr>
          <w:t xml:space="preserve">Philippe Charlier review of The Chemical Muse</w:t>
        </w:r>
      </w:hyperlink>
      <w:r w:rsidDel="00000000" w:rsidR="00000000" w:rsidRPr="00000000">
        <w:rPr>
          <w:sz w:val="19"/>
          <w:szCs w:val="19"/>
          <w:rtl w:val="0"/>
        </w:rPr>
        <w:t xml:space="preserve">. Bryn Mawr Classical Review 2008.12.29. French review read. Book page references in the report are attributed to this review.</w:t>
      </w:r>
      <w:r w:rsidDel="00000000" w:rsidR="00000000" w:rsidRPr="00000000">
        <w:rPr>
          <w:rtl w:val="0"/>
        </w:rPr>
      </w:r>
    </w:p>
    <w:p w:rsidR="00000000" w:rsidDel="00000000" w:rsidP="00000000" w:rsidRDefault="00000000" w:rsidRPr="00000000" w14:paraId="00000112">
      <w:pPr>
        <w:spacing w:after="140" w:lineRule="auto"/>
        <w:rPr/>
      </w:pPr>
      <w:hyperlink r:id="rId142">
        <w:r w:rsidDel="00000000" w:rsidR="00000000" w:rsidRPr="00000000">
          <w:rPr>
            <w:color w:val="1155cc"/>
            <w:sz w:val="19"/>
            <w:szCs w:val="19"/>
            <w:u w:val="single"/>
            <w:rtl w:val="0"/>
          </w:rPr>
          <w:t xml:space="preserve">[6]</w:t>
        </w:r>
      </w:hyperlink>
      <w:r w:rsidDel="00000000" w:rsidR="00000000" w:rsidRPr="00000000">
        <w:rPr>
          <w:sz w:val="19"/>
          <w:szCs w:val="19"/>
          <w:rtl w:val="0"/>
        </w:rPr>
        <w:t xml:space="preserve"> </w:t>
      </w:r>
      <w:hyperlink r:id="rId143">
        <w:r w:rsidDel="00000000" w:rsidR="00000000" w:rsidRPr="00000000">
          <w:rPr>
            <w:color w:val="1155cc"/>
            <w:sz w:val="19"/>
            <w:szCs w:val="19"/>
            <w:u w:val="single"/>
            <w:rtl w:val="0"/>
          </w:rPr>
          <w:t xml:space="preserve">Hillman Original Sin publisher listing</w:t>
        </w:r>
      </w:hyperlink>
      <w:r w:rsidDel="00000000" w:rsidR="00000000" w:rsidRPr="00000000">
        <w:rPr>
          <w:sz w:val="19"/>
          <w:szCs w:val="19"/>
          <w:rtl w:val="0"/>
        </w:rPr>
        <w:t xml:space="preserve">. Ronin Publishing, 2012. Indexed publisher description consulted; full page retrieval and full book access unavailable.</w:t>
      </w:r>
      <w:r w:rsidDel="00000000" w:rsidR="00000000" w:rsidRPr="00000000">
        <w:rPr>
          <w:rtl w:val="0"/>
        </w:rPr>
      </w:r>
    </w:p>
    <w:p w:rsidR="00000000" w:rsidDel="00000000" w:rsidP="00000000" w:rsidRDefault="00000000" w:rsidRPr="00000000" w14:paraId="00000113">
      <w:pPr>
        <w:spacing w:after="140" w:lineRule="auto"/>
        <w:rPr/>
      </w:pPr>
      <w:hyperlink r:id="rId144">
        <w:r w:rsidDel="00000000" w:rsidR="00000000" w:rsidRPr="00000000">
          <w:rPr>
            <w:color w:val="1155cc"/>
            <w:sz w:val="19"/>
            <w:szCs w:val="19"/>
            <w:u w:val="single"/>
            <w:rtl w:val="0"/>
          </w:rPr>
          <w:t xml:space="preserve">[7]</w:t>
        </w:r>
      </w:hyperlink>
      <w:r w:rsidDel="00000000" w:rsidR="00000000" w:rsidRPr="00000000">
        <w:rPr>
          <w:sz w:val="19"/>
          <w:szCs w:val="19"/>
          <w:rtl w:val="0"/>
        </w:rPr>
        <w:t xml:space="preserve"> </w:t>
      </w:r>
      <w:hyperlink r:id="rId145">
        <w:r w:rsidDel="00000000" w:rsidR="00000000" w:rsidRPr="00000000">
          <w:rPr>
            <w:color w:val="1155cc"/>
            <w:sz w:val="19"/>
            <w:szCs w:val="19"/>
            <w:u w:val="single"/>
            <w:rtl w:val="0"/>
          </w:rPr>
          <w:t xml:space="preserve">Hillman Hermaphrodites Gynomorphs and Jesus</w:t>
        </w:r>
      </w:hyperlink>
      <w:r w:rsidDel="00000000" w:rsidR="00000000" w:rsidRPr="00000000">
        <w:rPr>
          <w:sz w:val="19"/>
          <w:szCs w:val="19"/>
          <w:rtl w:val="0"/>
        </w:rPr>
        <w:t xml:space="preserve">. Ronin Publishing, digital edition 2014. Bibliographic record and publisher synopsis; full book not read.</w:t>
      </w:r>
      <w:r w:rsidDel="00000000" w:rsidR="00000000" w:rsidRPr="00000000">
        <w:rPr>
          <w:rtl w:val="0"/>
        </w:rPr>
      </w:r>
    </w:p>
    <w:p w:rsidR="00000000" w:rsidDel="00000000" w:rsidP="00000000" w:rsidRDefault="00000000" w:rsidRPr="00000000" w14:paraId="00000114">
      <w:pPr>
        <w:spacing w:after="140" w:lineRule="auto"/>
        <w:rPr/>
      </w:pPr>
      <w:hyperlink r:id="rId146">
        <w:r w:rsidDel="00000000" w:rsidR="00000000" w:rsidRPr="00000000">
          <w:rPr>
            <w:color w:val="1155cc"/>
            <w:sz w:val="19"/>
            <w:szCs w:val="19"/>
            <w:u w:val="single"/>
            <w:rtl w:val="0"/>
          </w:rPr>
          <w:t xml:space="preserve">[8]</w:t>
        </w:r>
      </w:hyperlink>
      <w:r w:rsidDel="00000000" w:rsidR="00000000" w:rsidRPr="00000000">
        <w:rPr>
          <w:sz w:val="19"/>
          <w:szCs w:val="19"/>
          <w:rtl w:val="0"/>
        </w:rPr>
        <w:t xml:space="preserve"> </w:t>
      </w:r>
      <w:hyperlink r:id="rId147">
        <w:r w:rsidDel="00000000" w:rsidR="00000000" w:rsidRPr="00000000">
          <w:rPr>
            <w:color w:val="1155cc"/>
            <w:sz w:val="19"/>
            <w:szCs w:val="19"/>
            <w:u w:val="single"/>
            <w:rtl w:val="0"/>
          </w:rPr>
          <w:t xml:space="preserve">Homer Odyssey book 4 lines 219 to 264</w:t>
        </w:r>
      </w:hyperlink>
      <w:r w:rsidDel="00000000" w:rsidR="00000000" w:rsidRPr="00000000">
        <w:rPr>
          <w:rFonts w:ascii="Times New Roman" w:cs="Times New Roman" w:eastAsia="Times New Roman" w:hAnsi="Times New Roman"/>
          <w:sz w:val="19"/>
          <w:szCs w:val="19"/>
          <w:rtl w:val="0"/>
        </w:rPr>
        <w:t xml:space="preserve">. A. T. Murray translation, Perseus. Compare Greek text 4.220: φάρμακον. Primary literary evidence.</w:t>
      </w:r>
      <w:r w:rsidDel="00000000" w:rsidR="00000000" w:rsidRPr="00000000">
        <w:rPr>
          <w:rtl w:val="0"/>
        </w:rPr>
      </w:r>
    </w:p>
    <w:p w:rsidR="00000000" w:rsidDel="00000000" w:rsidP="00000000" w:rsidRDefault="00000000" w:rsidRPr="00000000" w14:paraId="00000115">
      <w:pPr>
        <w:spacing w:after="140" w:lineRule="auto"/>
        <w:rPr/>
      </w:pPr>
      <w:hyperlink r:id="rId148">
        <w:r w:rsidDel="00000000" w:rsidR="00000000" w:rsidRPr="00000000">
          <w:rPr>
            <w:color w:val="1155cc"/>
            <w:sz w:val="19"/>
            <w:szCs w:val="19"/>
            <w:u w:val="single"/>
            <w:rtl w:val="0"/>
          </w:rPr>
          <w:t xml:space="preserve">[9]</w:t>
        </w:r>
      </w:hyperlink>
      <w:r w:rsidDel="00000000" w:rsidR="00000000" w:rsidRPr="00000000">
        <w:rPr>
          <w:sz w:val="19"/>
          <w:szCs w:val="19"/>
          <w:rtl w:val="0"/>
        </w:rPr>
        <w:t xml:space="preserve"> </w:t>
      </w:r>
      <w:hyperlink r:id="rId149">
        <w:r w:rsidDel="00000000" w:rsidR="00000000" w:rsidRPr="00000000">
          <w:rPr>
            <w:color w:val="1155cc"/>
            <w:sz w:val="19"/>
            <w:szCs w:val="19"/>
            <w:u w:val="single"/>
            <w:rtl w:val="0"/>
          </w:rPr>
          <w:t xml:space="preserve">Homeric Hymn to Demeter</w:t>
        </w:r>
      </w:hyperlink>
      <w:r w:rsidDel="00000000" w:rsidR="00000000" w:rsidRPr="00000000">
        <w:rPr>
          <w:sz w:val="19"/>
          <w:szCs w:val="19"/>
          <w:rtl w:val="0"/>
        </w:rPr>
        <w:t xml:space="preserve">. Gregory Nagy translation. Especially lines 205–211 and 476–482. Primary literary evidence.</w:t>
      </w:r>
      <w:r w:rsidDel="00000000" w:rsidR="00000000" w:rsidRPr="00000000">
        <w:rPr>
          <w:rtl w:val="0"/>
        </w:rPr>
      </w:r>
    </w:p>
    <w:p w:rsidR="00000000" w:rsidDel="00000000" w:rsidP="00000000" w:rsidRDefault="00000000" w:rsidRPr="00000000" w14:paraId="00000116">
      <w:pPr>
        <w:spacing w:after="140" w:lineRule="auto"/>
        <w:rPr/>
      </w:pPr>
      <w:hyperlink r:id="rId150">
        <w:r w:rsidDel="00000000" w:rsidR="00000000" w:rsidRPr="00000000">
          <w:rPr>
            <w:color w:val="1155cc"/>
            <w:sz w:val="19"/>
            <w:szCs w:val="19"/>
            <w:u w:val="single"/>
            <w:rtl w:val="0"/>
          </w:rPr>
          <w:t xml:space="preserve">[10]</w:t>
        </w:r>
      </w:hyperlink>
      <w:r w:rsidDel="00000000" w:rsidR="00000000" w:rsidRPr="00000000">
        <w:rPr>
          <w:sz w:val="19"/>
          <w:szCs w:val="19"/>
          <w:rtl w:val="0"/>
        </w:rPr>
        <w:t xml:space="preserve"> </w:t>
      </w:r>
      <w:hyperlink r:id="rId151">
        <w:r w:rsidDel="00000000" w:rsidR="00000000" w:rsidRPr="00000000">
          <w:rPr>
            <w:color w:val="1155cc"/>
            <w:sz w:val="19"/>
            <w:szCs w:val="19"/>
            <w:u w:val="single"/>
            <w:rtl w:val="0"/>
          </w:rPr>
          <w:t xml:space="preserve">Hippocratic On the Sacred Disease</w:t>
        </w:r>
      </w:hyperlink>
      <w:r w:rsidDel="00000000" w:rsidR="00000000" w:rsidRPr="00000000">
        <w:rPr>
          <w:sz w:val="19"/>
          <w:szCs w:val="19"/>
          <w:rtl w:val="0"/>
        </w:rPr>
        <w:t xml:space="preserve">. Francis Adams translation, Internet Classics Archive. Opening discussion of purifiers and explanations of disease. Primary polemical evidence.</w:t>
      </w:r>
      <w:r w:rsidDel="00000000" w:rsidR="00000000" w:rsidRPr="00000000">
        <w:rPr>
          <w:rtl w:val="0"/>
        </w:rPr>
      </w:r>
    </w:p>
    <w:p w:rsidR="00000000" w:rsidDel="00000000" w:rsidP="00000000" w:rsidRDefault="00000000" w:rsidRPr="00000000" w14:paraId="00000117">
      <w:pPr>
        <w:spacing w:after="140" w:lineRule="auto"/>
        <w:rPr/>
      </w:pPr>
      <w:hyperlink r:id="rId152">
        <w:r w:rsidDel="00000000" w:rsidR="00000000" w:rsidRPr="00000000">
          <w:rPr>
            <w:color w:val="1155cc"/>
            <w:sz w:val="19"/>
            <w:szCs w:val="19"/>
            <w:u w:val="single"/>
            <w:rtl w:val="0"/>
          </w:rPr>
          <w:t xml:space="preserve">[11]</w:t>
        </w:r>
      </w:hyperlink>
      <w:r w:rsidDel="00000000" w:rsidR="00000000" w:rsidRPr="00000000">
        <w:rPr>
          <w:sz w:val="19"/>
          <w:szCs w:val="19"/>
          <w:rtl w:val="0"/>
        </w:rPr>
        <w:t xml:space="preserve"> </w:t>
      </w:r>
      <w:hyperlink r:id="rId153">
        <w:r w:rsidDel="00000000" w:rsidR="00000000" w:rsidRPr="00000000">
          <w:rPr>
            <w:color w:val="1155cc"/>
            <w:sz w:val="19"/>
            <w:szCs w:val="19"/>
            <w:u w:val="single"/>
            <w:rtl w:val="0"/>
          </w:rPr>
          <w:t xml:space="preserve">Plato Phaedrus</w:t>
        </w:r>
      </w:hyperlink>
      <w:r w:rsidDel="00000000" w:rsidR="00000000" w:rsidRPr="00000000">
        <w:rPr>
          <w:sz w:val="19"/>
          <w:szCs w:val="19"/>
          <w:rtl w:val="0"/>
        </w:rPr>
        <w:t xml:space="preserve">. Benjamin Jowett translation. Especially 274c–277a, Theuth, Thamus, writing, memory, and knowledge. Primary philosophical evidence.</w:t>
      </w:r>
      <w:r w:rsidDel="00000000" w:rsidR="00000000" w:rsidRPr="00000000">
        <w:rPr>
          <w:rtl w:val="0"/>
        </w:rPr>
      </w:r>
    </w:p>
    <w:p w:rsidR="00000000" w:rsidDel="00000000" w:rsidP="00000000" w:rsidRDefault="00000000" w:rsidRPr="00000000" w14:paraId="00000118">
      <w:pPr>
        <w:spacing w:after="140" w:lineRule="auto"/>
        <w:rPr/>
      </w:pPr>
      <w:hyperlink r:id="rId154">
        <w:r w:rsidDel="00000000" w:rsidR="00000000" w:rsidRPr="00000000">
          <w:rPr>
            <w:color w:val="1155cc"/>
            <w:sz w:val="19"/>
            <w:szCs w:val="19"/>
            <w:u w:val="single"/>
            <w:rtl w:val="0"/>
          </w:rPr>
          <w:t xml:space="preserve">[12]</w:t>
        </w:r>
      </w:hyperlink>
      <w:r w:rsidDel="00000000" w:rsidR="00000000" w:rsidRPr="00000000">
        <w:rPr>
          <w:sz w:val="19"/>
          <w:szCs w:val="19"/>
          <w:rtl w:val="0"/>
        </w:rPr>
        <w:t xml:space="preserve"> </w:t>
      </w:r>
      <w:hyperlink r:id="rId155">
        <w:r w:rsidDel="00000000" w:rsidR="00000000" w:rsidRPr="00000000">
          <w:rPr>
            <w:color w:val="1155cc"/>
            <w:sz w:val="19"/>
            <w:szCs w:val="19"/>
            <w:u w:val="single"/>
            <w:rtl w:val="0"/>
          </w:rPr>
          <w:t xml:space="preserve">Pliny the Elder in Defining Magic</w:t>
        </w:r>
      </w:hyperlink>
      <w:r w:rsidDel="00000000" w:rsidR="00000000" w:rsidRPr="00000000">
        <w:rPr>
          <w:sz w:val="19"/>
          <w:szCs w:val="19"/>
          <w:rtl w:val="0"/>
        </w:rPr>
        <w:t xml:space="preserve">. Bernd-Christian Otto and Michael Stausberg, eds., 2013, chapter 2. Accessible scholarly introduction to Natural History 30.1ff; primary passage identified through this introduction.</w:t>
      </w:r>
      <w:r w:rsidDel="00000000" w:rsidR="00000000" w:rsidRPr="00000000">
        <w:rPr>
          <w:rtl w:val="0"/>
        </w:rPr>
      </w:r>
    </w:p>
    <w:p w:rsidR="00000000" w:rsidDel="00000000" w:rsidP="00000000" w:rsidRDefault="00000000" w:rsidRPr="00000000" w14:paraId="00000119">
      <w:pPr>
        <w:spacing w:after="140" w:lineRule="auto"/>
        <w:rPr/>
      </w:pPr>
      <w:hyperlink r:id="rId156">
        <w:r w:rsidDel="00000000" w:rsidR="00000000" w:rsidRPr="00000000">
          <w:rPr>
            <w:color w:val="1155cc"/>
            <w:sz w:val="19"/>
            <w:szCs w:val="19"/>
            <w:u w:val="single"/>
            <w:rtl w:val="0"/>
          </w:rPr>
          <w:t xml:space="preserve">[13]</w:t>
        </w:r>
      </w:hyperlink>
      <w:r w:rsidDel="00000000" w:rsidR="00000000" w:rsidRPr="00000000">
        <w:rPr>
          <w:sz w:val="19"/>
          <w:szCs w:val="19"/>
          <w:rtl w:val="0"/>
        </w:rPr>
        <w:t xml:space="preserve"> </w:t>
      </w:r>
      <w:hyperlink r:id="rId157">
        <w:r w:rsidDel="00000000" w:rsidR="00000000" w:rsidRPr="00000000">
          <w:rPr>
            <w:color w:val="1155cc"/>
            <w:sz w:val="19"/>
            <w:szCs w:val="19"/>
            <w:u w:val="single"/>
            <w:rtl w:val="0"/>
          </w:rPr>
          <w:t xml:space="preserve">Alexander Jones and John Steele 2018 Diodorus on the Chaldeans</w:t>
        </w:r>
      </w:hyperlink>
      <w:r w:rsidDel="00000000" w:rsidR="00000000" w:rsidRPr="00000000">
        <w:rPr>
          <w:sz w:val="19"/>
          <w:szCs w:val="19"/>
          <w:rtl w:val="0"/>
        </w:rPr>
        <w:t xml:space="preserve">. Open scholarly chapter, pp. 333–352. DOI 10.1163/9789004363380_018. Translation and commentary on Diodorus 2.29–31 inspected.</w:t>
      </w:r>
      <w:r w:rsidDel="00000000" w:rsidR="00000000" w:rsidRPr="00000000">
        <w:rPr>
          <w:rtl w:val="0"/>
        </w:rPr>
      </w:r>
    </w:p>
    <w:p w:rsidR="00000000" w:rsidDel="00000000" w:rsidP="00000000" w:rsidRDefault="00000000" w:rsidRPr="00000000" w14:paraId="0000011A">
      <w:pPr>
        <w:spacing w:after="140" w:lineRule="auto"/>
        <w:rPr/>
      </w:pPr>
      <w:hyperlink r:id="rId158">
        <w:r w:rsidDel="00000000" w:rsidR="00000000" w:rsidRPr="00000000">
          <w:rPr>
            <w:color w:val="1155cc"/>
            <w:sz w:val="19"/>
            <w:szCs w:val="19"/>
            <w:u w:val="single"/>
            <w:rtl w:val="0"/>
          </w:rPr>
          <w:t xml:space="preserve">[14]</w:t>
        </w:r>
      </w:hyperlink>
      <w:r w:rsidDel="00000000" w:rsidR="00000000" w:rsidRPr="00000000">
        <w:rPr>
          <w:sz w:val="19"/>
          <w:szCs w:val="19"/>
          <w:rtl w:val="0"/>
        </w:rPr>
        <w:t xml:space="preserve"> </w:t>
      </w:r>
      <w:hyperlink r:id="rId159">
        <w:r w:rsidDel="00000000" w:rsidR="00000000" w:rsidRPr="00000000">
          <w:rPr>
            <w:color w:val="1155cc"/>
            <w:sz w:val="19"/>
            <w:szCs w:val="19"/>
            <w:u w:val="single"/>
            <w:rtl w:val="0"/>
          </w:rPr>
          <w:t xml:space="preserve">Kyprianos manuscript M161</w:t>
        </w:r>
      </w:hyperlink>
      <w:r w:rsidDel="00000000" w:rsidR="00000000" w:rsidRPr="00000000">
        <w:rPr>
          <w:sz w:val="19"/>
          <w:szCs w:val="19"/>
          <w:rtl w:val="0"/>
        </w:rPr>
        <w:t xml:space="preserve">. University of Würzburg database. PGM XIII = GEMF 60 = P.Leid. I 395 = Leiden J 395; Greek codex dated 301–400 CE. Catalogue and contents inspected.</w:t>
      </w:r>
      <w:r w:rsidDel="00000000" w:rsidR="00000000" w:rsidRPr="00000000">
        <w:rPr>
          <w:rtl w:val="0"/>
        </w:rPr>
      </w:r>
    </w:p>
    <w:p w:rsidR="00000000" w:rsidDel="00000000" w:rsidP="00000000" w:rsidRDefault="00000000" w:rsidRPr="00000000" w14:paraId="0000011B">
      <w:pPr>
        <w:spacing w:after="140" w:lineRule="auto"/>
        <w:rPr/>
      </w:pPr>
      <w:hyperlink r:id="rId160">
        <w:r w:rsidDel="00000000" w:rsidR="00000000" w:rsidRPr="00000000">
          <w:rPr>
            <w:color w:val="1155cc"/>
            <w:sz w:val="19"/>
            <w:szCs w:val="19"/>
            <w:u w:val="single"/>
            <w:rtl w:val="0"/>
          </w:rPr>
          <w:t xml:space="preserve">[15]</w:t>
        </w:r>
      </w:hyperlink>
      <w:r w:rsidDel="00000000" w:rsidR="00000000" w:rsidRPr="00000000">
        <w:rPr>
          <w:sz w:val="19"/>
          <w:szCs w:val="19"/>
          <w:rtl w:val="0"/>
        </w:rPr>
        <w:t xml:space="preserve"> </w:t>
      </w:r>
      <w:hyperlink r:id="rId161">
        <w:r w:rsidDel="00000000" w:rsidR="00000000" w:rsidRPr="00000000">
          <w:rPr>
            <w:color w:val="1155cc"/>
            <w:sz w:val="19"/>
            <w:szCs w:val="19"/>
            <w:u w:val="single"/>
            <w:rtl w:val="0"/>
          </w:rPr>
          <w:t xml:space="preserve">Matthew Andrews 2026 Eighth Book of Moses and PGM XIII</w:t>
        </w:r>
      </w:hyperlink>
      <w:r w:rsidDel="00000000" w:rsidR="00000000" w:rsidRPr="00000000">
        <w:rPr>
          <w:sz w:val="19"/>
          <w:szCs w:val="19"/>
          <w:rtl w:val="0"/>
        </w:rPr>
        <w:t xml:space="preserve">. Harvard Center for the Study of World Religions, July 8, 2026. Scholarly introduction and references; not a new critical edition.</w:t>
      </w:r>
      <w:r w:rsidDel="00000000" w:rsidR="00000000" w:rsidRPr="00000000">
        <w:rPr>
          <w:rtl w:val="0"/>
        </w:rPr>
      </w:r>
    </w:p>
    <w:p w:rsidR="00000000" w:rsidDel="00000000" w:rsidP="00000000" w:rsidRDefault="00000000" w:rsidRPr="00000000" w14:paraId="0000011C">
      <w:pPr>
        <w:spacing w:after="140" w:lineRule="auto"/>
        <w:rPr/>
      </w:pPr>
      <w:hyperlink r:id="rId162">
        <w:r w:rsidDel="00000000" w:rsidR="00000000" w:rsidRPr="00000000">
          <w:rPr>
            <w:color w:val="1155cc"/>
            <w:sz w:val="19"/>
            <w:szCs w:val="19"/>
            <w:u w:val="single"/>
            <w:rtl w:val="0"/>
          </w:rPr>
          <w:t xml:space="preserve">[16]</w:t>
        </w:r>
      </w:hyperlink>
      <w:r w:rsidDel="00000000" w:rsidR="00000000" w:rsidRPr="00000000">
        <w:rPr>
          <w:sz w:val="19"/>
          <w:szCs w:val="19"/>
          <w:rtl w:val="0"/>
        </w:rPr>
        <w:t xml:space="preserve"> </w:t>
      </w:r>
      <w:hyperlink r:id="rId163">
        <w:r w:rsidDel="00000000" w:rsidR="00000000" w:rsidRPr="00000000">
          <w:rPr>
            <w:color w:val="1155cc"/>
            <w:sz w:val="19"/>
            <w:szCs w:val="19"/>
            <w:u w:val="single"/>
            <w:rtl w:val="0"/>
          </w:rPr>
          <w:t xml:space="preserve">Eran Arie Baruch Rosen and Dvory Namdar 2020 Cannabis and Frankincense at the Judahite Shrine of Arad</w:t>
        </w:r>
      </w:hyperlink>
      <w:r w:rsidDel="00000000" w:rsidR="00000000" w:rsidRPr="00000000">
        <w:rPr>
          <w:sz w:val="19"/>
          <w:szCs w:val="19"/>
          <w:rtl w:val="0"/>
        </w:rPr>
        <w:t xml:space="preserve">. Tel Aviv 47(1), 5–28. Published study abstract consulted through Technion and University of Haifa institutional records.</w:t>
      </w:r>
      <w:r w:rsidDel="00000000" w:rsidR="00000000" w:rsidRPr="00000000">
        <w:rPr>
          <w:rtl w:val="0"/>
        </w:rPr>
      </w:r>
    </w:p>
    <w:p w:rsidR="00000000" w:rsidDel="00000000" w:rsidP="00000000" w:rsidRDefault="00000000" w:rsidRPr="00000000" w14:paraId="0000011D">
      <w:pPr>
        <w:spacing w:after="140" w:lineRule="auto"/>
        <w:rPr/>
      </w:pPr>
      <w:hyperlink r:id="rId164">
        <w:r w:rsidDel="00000000" w:rsidR="00000000" w:rsidRPr="00000000">
          <w:rPr>
            <w:color w:val="1155cc"/>
            <w:sz w:val="19"/>
            <w:szCs w:val="19"/>
            <w:u w:val="single"/>
            <w:rtl w:val="0"/>
          </w:rPr>
          <w:t xml:space="preserve">[17]</w:t>
        </w:r>
      </w:hyperlink>
      <w:r w:rsidDel="00000000" w:rsidR="00000000" w:rsidRPr="00000000">
        <w:rPr>
          <w:sz w:val="19"/>
          <w:szCs w:val="19"/>
          <w:rtl w:val="0"/>
        </w:rPr>
        <w:t xml:space="preserve"> </w:t>
      </w:r>
      <w:hyperlink r:id="rId165">
        <w:r w:rsidDel="00000000" w:rsidR="00000000" w:rsidRPr="00000000">
          <w:rPr>
            <w:color w:val="1155cc"/>
            <w:sz w:val="19"/>
            <w:szCs w:val="19"/>
            <w:u w:val="single"/>
            <w:rtl w:val="0"/>
          </w:rPr>
          <w:t xml:space="preserve">Revelation 18 verse 23 Greek text</w:t>
        </w:r>
      </w:hyperlink>
      <w:r w:rsidDel="00000000" w:rsidR="00000000" w:rsidRPr="00000000">
        <w:rPr>
          <w:rFonts w:ascii="Times New Roman" w:cs="Times New Roman" w:eastAsia="Times New Roman" w:hAnsi="Times New Roman"/>
          <w:sz w:val="19"/>
          <w:szCs w:val="19"/>
          <w:rtl w:val="0"/>
        </w:rPr>
        <w:t xml:space="preserve">. SBL Greek New Testament text. Primary lexical evidence for φαρμακείᾳ in the Babylon passage.</w:t>
      </w:r>
      <w:r w:rsidDel="00000000" w:rsidR="00000000" w:rsidRPr="00000000">
        <w:rPr>
          <w:rtl w:val="0"/>
        </w:rPr>
      </w:r>
    </w:p>
    <w:p w:rsidR="00000000" w:rsidDel="00000000" w:rsidP="00000000" w:rsidRDefault="00000000" w:rsidRPr="00000000" w14:paraId="0000011E">
      <w:pPr>
        <w:spacing w:after="140" w:lineRule="auto"/>
        <w:rPr/>
      </w:pPr>
      <w:hyperlink r:id="rId166">
        <w:r w:rsidDel="00000000" w:rsidR="00000000" w:rsidRPr="00000000">
          <w:rPr>
            <w:color w:val="1155cc"/>
            <w:sz w:val="19"/>
            <w:szCs w:val="19"/>
            <w:u w:val="single"/>
            <w:rtl w:val="0"/>
          </w:rPr>
          <w:t xml:space="preserve">[18]</w:t>
        </w:r>
      </w:hyperlink>
      <w:r w:rsidDel="00000000" w:rsidR="00000000" w:rsidRPr="00000000">
        <w:rPr>
          <w:sz w:val="19"/>
          <w:szCs w:val="19"/>
          <w:rtl w:val="0"/>
        </w:rPr>
        <w:t xml:space="preserve"> </w:t>
      </w:r>
      <w:hyperlink r:id="rId167">
        <w:r w:rsidDel="00000000" w:rsidR="00000000" w:rsidRPr="00000000">
          <w:rPr>
            <w:color w:val="1155cc"/>
            <w:sz w:val="19"/>
            <w:szCs w:val="19"/>
            <w:u w:val="single"/>
            <w:rtl w:val="0"/>
          </w:rPr>
          <w:t xml:space="preserve">Francesca Rochberg 2017 These Bones Live</w:t>
        </w:r>
      </w:hyperlink>
      <w:r w:rsidDel="00000000" w:rsidR="00000000" w:rsidRPr="00000000">
        <w:rPr>
          <w:sz w:val="19"/>
          <w:szCs w:val="19"/>
          <w:rtl w:val="0"/>
        </w:rPr>
        <w:t xml:space="preserve">. KNOW 1(1). DOI 10.1086/692135. Scholarly account of Babylonian sciences, expertise, and learned traditions.</w:t>
      </w:r>
      <w:r w:rsidDel="00000000" w:rsidR="00000000" w:rsidRPr="00000000">
        <w:rPr>
          <w:rtl w:val="0"/>
        </w:rPr>
      </w:r>
    </w:p>
    <w:p w:rsidR="00000000" w:rsidDel="00000000" w:rsidP="00000000" w:rsidRDefault="00000000" w:rsidRPr="00000000" w14:paraId="0000011F">
      <w:pPr>
        <w:spacing w:after="140" w:lineRule="auto"/>
        <w:rPr/>
      </w:pPr>
      <w:hyperlink r:id="rId168">
        <w:r w:rsidDel="00000000" w:rsidR="00000000" w:rsidRPr="00000000">
          <w:rPr>
            <w:color w:val="1155cc"/>
            <w:sz w:val="19"/>
            <w:szCs w:val="19"/>
            <w:u w:val="single"/>
            <w:rtl w:val="0"/>
          </w:rPr>
          <w:t xml:space="preserve">[19]</w:t>
        </w:r>
      </w:hyperlink>
      <w:r w:rsidDel="00000000" w:rsidR="00000000" w:rsidRPr="00000000">
        <w:rPr>
          <w:sz w:val="19"/>
          <w:szCs w:val="19"/>
          <w:rtl w:val="0"/>
        </w:rPr>
        <w:t xml:space="preserve"> </w:t>
      </w:r>
      <w:hyperlink r:id="rId169">
        <w:r w:rsidDel="00000000" w:rsidR="00000000" w:rsidRPr="00000000">
          <w:rPr>
            <w:color w:val="1155cc"/>
            <w:sz w:val="19"/>
            <w:szCs w:val="19"/>
            <w:u w:val="single"/>
            <w:rtl w:val="0"/>
          </w:rPr>
          <w:t xml:space="preserve">Kathryn Stevens 2013 Secrets in the Library</w:t>
        </w:r>
      </w:hyperlink>
      <w:r w:rsidDel="00000000" w:rsidR="00000000" w:rsidRPr="00000000">
        <w:rPr>
          <w:sz w:val="19"/>
          <w:szCs w:val="19"/>
          <w:rtl w:val="0"/>
        </w:rPr>
        <w:t xml:space="preserve">. Iraq 75, 211–223. Protected Knowledge and Professional Identity in Late Babylonian Uruk. Publisher abstract consulted.</w:t>
      </w:r>
      <w:r w:rsidDel="00000000" w:rsidR="00000000" w:rsidRPr="00000000">
        <w:rPr>
          <w:rtl w:val="0"/>
        </w:rPr>
      </w:r>
    </w:p>
    <w:p w:rsidR="00000000" w:rsidDel="00000000" w:rsidP="00000000" w:rsidRDefault="00000000" w:rsidRPr="00000000" w14:paraId="00000120">
      <w:pPr>
        <w:spacing w:after="140" w:lineRule="auto"/>
        <w:rPr/>
      </w:pPr>
      <w:hyperlink r:id="rId170">
        <w:r w:rsidDel="00000000" w:rsidR="00000000" w:rsidRPr="00000000">
          <w:rPr>
            <w:color w:val="1155cc"/>
            <w:sz w:val="19"/>
            <w:szCs w:val="19"/>
            <w:u w:val="single"/>
            <w:rtl w:val="0"/>
          </w:rPr>
          <w:t xml:space="preserve">[20]</w:t>
        </w:r>
      </w:hyperlink>
      <w:r w:rsidDel="00000000" w:rsidR="00000000" w:rsidRPr="00000000">
        <w:rPr>
          <w:sz w:val="19"/>
          <w:szCs w:val="19"/>
          <w:rtl w:val="0"/>
        </w:rPr>
        <w:t xml:space="preserve"> </w:t>
      </w:r>
      <w:hyperlink r:id="rId171">
        <w:r w:rsidDel="00000000" w:rsidR="00000000" w:rsidRPr="00000000">
          <w:rPr>
            <w:color w:val="1155cc"/>
            <w:sz w:val="19"/>
            <w:szCs w:val="19"/>
            <w:u w:val="single"/>
            <w:rtl w:val="0"/>
          </w:rPr>
          <w:t xml:space="preserve">Tero Alstola 2020 Judean Merchants in Babylonia</w:t>
        </w:r>
      </w:hyperlink>
      <w:r w:rsidDel="00000000" w:rsidR="00000000" w:rsidRPr="00000000">
        <w:rPr>
          <w:sz w:val="19"/>
          <w:szCs w:val="19"/>
          <w:rtl w:val="0"/>
        </w:rPr>
        <w:t xml:space="preserve">. Chapter 3 of Judeans in Babylonia. Author-uploaded full chapter inspected, especially 3.3.1–3.3.3. Brill book DOI 10.1163/9789004365421.</w:t>
      </w:r>
      <w:r w:rsidDel="00000000" w:rsidR="00000000" w:rsidRPr="00000000">
        <w:rPr>
          <w:rtl w:val="0"/>
        </w:rPr>
      </w:r>
    </w:p>
    <w:p w:rsidR="00000000" w:rsidDel="00000000" w:rsidP="00000000" w:rsidRDefault="00000000" w:rsidRPr="00000000" w14:paraId="00000121">
      <w:pPr>
        <w:spacing w:after="140" w:lineRule="auto"/>
        <w:rPr/>
      </w:pPr>
      <w:hyperlink r:id="rId172">
        <w:r w:rsidDel="00000000" w:rsidR="00000000" w:rsidRPr="00000000">
          <w:rPr>
            <w:color w:val="1155cc"/>
            <w:sz w:val="19"/>
            <w:szCs w:val="19"/>
            <w:u w:val="single"/>
            <w:rtl w:val="0"/>
          </w:rPr>
          <w:t xml:space="preserve">[21]</w:t>
        </w:r>
      </w:hyperlink>
      <w:r w:rsidDel="00000000" w:rsidR="00000000" w:rsidRPr="00000000">
        <w:rPr>
          <w:sz w:val="19"/>
          <w:szCs w:val="19"/>
          <w:rtl w:val="0"/>
        </w:rPr>
        <w:t xml:space="preserve"> </w:t>
      </w:r>
      <w:hyperlink r:id="rId173">
        <w:r w:rsidDel="00000000" w:rsidR="00000000" w:rsidRPr="00000000">
          <w:rPr>
            <w:color w:val="1155cc"/>
            <w:sz w:val="19"/>
            <w:szCs w:val="19"/>
            <w:u w:val="single"/>
            <w:rtl w:val="0"/>
          </w:rPr>
          <w:t xml:space="preserve">Caroline Waerzeggers 2020 Priestly Courses and the Administration of Time in Neo Babylonian Temples</w:t>
        </w:r>
      </w:hyperlink>
      <w:r w:rsidDel="00000000" w:rsidR="00000000" w:rsidRPr="00000000">
        <w:rPr>
          <w:sz w:val="19"/>
          <w:szCs w:val="19"/>
          <w:rtl w:val="0"/>
        </w:rPr>
        <w:t xml:space="preserve">. In Contextualizing Jewish Temples, pp. 23–48. Full author-uploaded chapter inspected via ResearchGate, especially sections 5–7 and BM 77834.</w:t>
      </w:r>
      <w:r w:rsidDel="00000000" w:rsidR="00000000" w:rsidRPr="00000000">
        <w:rPr>
          <w:rtl w:val="0"/>
        </w:rPr>
      </w:r>
    </w:p>
    <w:p w:rsidR="00000000" w:rsidDel="00000000" w:rsidP="00000000" w:rsidRDefault="00000000" w:rsidRPr="00000000" w14:paraId="00000122">
      <w:pPr>
        <w:spacing w:after="140" w:lineRule="auto"/>
        <w:rPr/>
      </w:pPr>
      <w:hyperlink r:id="rId174">
        <w:r w:rsidDel="00000000" w:rsidR="00000000" w:rsidRPr="00000000">
          <w:rPr>
            <w:color w:val="1155cc"/>
            <w:sz w:val="19"/>
            <w:szCs w:val="19"/>
            <w:u w:val="single"/>
            <w:rtl w:val="0"/>
          </w:rPr>
          <w:t xml:space="preserve">[22]</w:t>
        </w:r>
      </w:hyperlink>
      <w:r w:rsidDel="00000000" w:rsidR="00000000" w:rsidRPr="00000000">
        <w:rPr>
          <w:sz w:val="19"/>
          <w:szCs w:val="19"/>
          <w:rtl w:val="0"/>
        </w:rPr>
        <w:t xml:space="preserve"> </w:t>
      </w:r>
      <w:hyperlink r:id="rId175">
        <w:r w:rsidDel="00000000" w:rsidR="00000000" w:rsidRPr="00000000">
          <w:rPr>
            <w:color w:val="1155cc"/>
            <w:sz w:val="19"/>
            <w:szCs w:val="19"/>
            <w:u w:val="single"/>
            <w:rtl w:val="0"/>
          </w:rPr>
          <w:t xml:space="preserve">Henryk Drawnel 2025 The Literary Structure and Schematic Clauses in 1 En 72 verses 8 to 32</w:t>
        </w:r>
      </w:hyperlink>
      <w:r w:rsidDel="00000000" w:rsidR="00000000" w:rsidRPr="00000000">
        <w:rPr>
          <w:sz w:val="19"/>
          <w:szCs w:val="19"/>
          <w:rtl w:val="0"/>
        </w:rPr>
        <w:t xml:space="preserve">. Dead Sea Discoveries 32(1), 45–74; online 2024. Abstract consulted. Comparanda include EAE XIV, BM 17175+17284, and MUL.APIN II i 17.</w:t>
      </w:r>
      <w:r w:rsidDel="00000000" w:rsidR="00000000" w:rsidRPr="00000000">
        <w:rPr>
          <w:rtl w:val="0"/>
        </w:rPr>
      </w:r>
    </w:p>
    <w:p w:rsidR="00000000" w:rsidDel="00000000" w:rsidP="00000000" w:rsidRDefault="00000000" w:rsidRPr="00000000" w14:paraId="00000123">
      <w:pPr>
        <w:spacing w:after="140" w:lineRule="auto"/>
        <w:rPr/>
      </w:pPr>
      <w:hyperlink r:id="rId176">
        <w:r w:rsidDel="00000000" w:rsidR="00000000" w:rsidRPr="00000000">
          <w:rPr>
            <w:color w:val="1155cc"/>
            <w:sz w:val="19"/>
            <w:szCs w:val="19"/>
            <w:u w:val="single"/>
            <w:rtl w:val="0"/>
          </w:rPr>
          <w:t xml:space="preserve">[23]</w:t>
        </w:r>
      </w:hyperlink>
      <w:r w:rsidDel="00000000" w:rsidR="00000000" w:rsidRPr="00000000">
        <w:rPr>
          <w:sz w:val="19"/>
          <w:szCs w:val="19"/>
          <w:rtl w:val="0"/>
        </w:rPr>
        <w:t xml:space="preserve"> </w:t>
      </w:r>
      <w:hyperlink r:id="rId177">
        <w:r w:rsidDel="00000000" w:rsidR="00000000" w:rsidRPr="00000000">
          <w:rPr>
            <w:color w:val="1155cc"/>
            <w:sz w:val="19"/>
            <w:szCs w:val="19"/>
            <w:u w:val="single"/>
            <w:rtl w:val="0"/>
          </w:rPr>
          <w:t xml:space="preserve">Henryk Drawnel 2025 Time Intervals in 1 En 72 verses 8 to 32</w:t>
        </w:r>
      </w:hyperlink>
      <w:r w:rsidDel="00000000" w:rsidR="00000000" w:rsidRPr="00000000">
        <w:rPr>
          <w:sz w:val="19"/>
          <w:szCs w:val="19"/>
          <w:rtl w:val="0"/>
        </w:rPr>
        <w:t xml:space="preserve">. The Biblical Annals 15(4), 671–688. DOI 10.31743/ba.17380. Full article inspected; especially pp. 683–685 and table 5.</w:t>
      </w:r>
      <w:r w:rsidDel="00000000" w:rsidR="00000000" w:rsidRPr="00000000">
        <w:rPr>
          <w:rtl w:val="0"/>
        </w:rPr>
      </w:r>
    </w:p>
    <w:p w:rsidR="00000000" w:rsidDel="00000000" w:rsidP="00000000" w:rsidRDefault="00000000" w:rsidRPr="00000000" w14:paraId="00000124">
      <w:pPr>
        <w:spacing w:after="140" w:lineRule="auto"/>
        <w:rPr/>
      </w:pPr>
      <w:hyperlink r:id="rId178">
        <w:r w:rsidDel="00000000" w:rsidR="00000000" w:rsidRPr="00000000">
          <w:rPr>
            <w:color w:val="1155cc"/>
            <w:sz w:val="19"/>
            <w:szCs w:val="19"/>
            <w:u w:val="single"/>
            <w:rtl w:val="0"/>
          </w:rPr>
          <w:t xml:space="preserve">[24]</w:t>
        </w:r>
      </w:hyperlink>
      <w:r w:rsidDel="00000000" w:rsidR="00000000" w:rsidRPr="00000000">
        <w:rPr>
          <w:sz w:val="19"/>
          <w:szCs w:val="19"/>
          <w:rtl w:val="0"/>
        </w:rPr>
        <w:t xml:space="preserve"> </w:t>
      </w:r>
      <w:hyperlink r:id="rId179">
        <w:r w:rsidDel="00000000" w:rsidR="00000000" w:rsidRPr="00000000">
          <w:rPr>
            <w:color w:val="1155cc"/>
            <w:sz w:val="19"/>
            <w:szCs w:val="19"/>
            <w:u w:val="single"/>
            <w:rtl w:val="0"/>
          </w:rPr>
          <w:t xml:space="preserve">Philip A Harland Subject Peoples and Civilizational Priority</w:t>
        </w:r>
      </w:hyperlink>
      <w:r w:rsidDel="00000000" w:rsidR="00000000" w:rsidRPr="00000000">
        <w:rPr>
          <w:sz w:val="19"/>
          <w:szCs w:val="19"/>
          <w:rtl w:val="0"/>
        </w:rPr>
        <w:t xml:space="preserve">. Harvard Theological Review. Competition among Babylonians, Egyptians, and Judeans in the Hellenistic Era. Scholarly analysis of Enoch, Abraham, astral learning, and claims of priority.</w:t>
      </w:r>
      <w:r w:rsidDel="00000000" w:rsidR="00000000" w:rsidRPr="00000000">
        <w:rPr>
          <w:rtl w:val="0"/>
        </w:rPr>
      </w:r>
    </w:p>
    <w:p w:rsidR="00000000" w:rsidDel="00000000" w:rsidP="00000000" w:rsidRDefault="00000000" w:rsidRPr="00000000" w14:paraId="00000125">
      <w:pPr>
        <w:spacing w:after="140" w:lineRule="auto"/>
        <w:rPr/>
      </w:pPr>
      <w:hyperlink r:id="rId180">
        <w:r w:rsidDel="00000000" w:rsidR="00000000" w:rsidRPr="00000000">
          <w:rPr>
            <w:color w:val="1155cc"/>
            <w:sz w:val="19"/>
            <w:szCs w:val="19"/>
            <w:u w:val="single"/>
            <w:rtl w:val="0"/>
          </w:rPr>
          <w:t xml:space="preserve">[25]</w:t>
        </w:r>
      </w:hyperlink>
      <w:r w:rsidDel="00000000" w:rsidR="00000000" w:rsidRPr="00000000">
        <w:rPr>
          <w:sz w:val="19"/>
          <w:szCs w:val="19"/>
          <w:rtl w:val="0"/>
        </w:rPr>
        <w:t xml:space="preserve"> </w:t>
      </w:r>
      <w:hyperlink r:id="rId181">
        <w:r w:rsidDel="00000000" w:rsidR="00000000" w:rsidRPr="00000000">
          <w:rPr>
            <w:color w:val="1155cc"/>
            <w:sz w:val="19"/>
            <w:szCs w:val="19"/>
            <w:u w:val="single"/>
            <w:rtl w:val="0"/>
          </w:rPr>
          <w:t xml:space="preserve">LSJ entry pharmakon</w:t>
        </w:r>
      </w:hyperlink>
      <w:r w:rsidDel="00000000" w:rsidR="00000000" w:rsidRPr="00000000">
        <w:rPr>
          <w:sz w:val="19"/>
          <w:szCs w:val="19"/>
          <w:rtl w:val="0"/>
        </w:rPr>
        <w:t xml:space="preserve">. Liddell–Scott–Jones Greek–English Lexicon, Scaife/Perseus. Meanings and ancient citations inspected.</w:t>
      </w:r>
      <w:r w:rsidDel="00000000" w:rsidR="00000000" w:rsidRPr="00000000">
        <w:rPr>
          <w:rtl w:val="0"/>
        </w:rPr>
      </w:r>
    </w:p>
    <w:p w:rsidR="00000000" w:rsidDel="00000000" w:rsidP="00000000" w:rsidRDefault="00000000" w:rsidRPr="00000000" w14:paraId="00000126">
      <w:pPr>
        <w:spacing w:after="140" w:lineRule="auto"/>
        <w:rPr/>
      </w:pPr>
      <w:hyperlink r:id="rId182">
        <w:r w:rsidDel="00000000" w:rsidR="00000000" w:rsidRPr="00000000">
          <w:rPr>
            <w:color w:val="1155cc"/>
            <w:sz w:val="19"/>
            <w:szCs w:val="19"/>
            <w:u w:val="single"/>
            <w:rtl w:val="0"/>
          </w:rPr>
          <w:t xml:space="preserve">[26]</w:t>
        </w:r>
      </w:hyperlink>
      <w:r w:rsidDel="00000000" w:rsidR="00000000" w:rsidRPr="00000000">
        <w:rPr>
          <w:sz w:val="19"/>
          <w:szCs w:val="19"/>
          <w:rtl w:val="0"/>
        </w:rPr>
        <w:t xml:space="preserve"> </w:t>
      </w:r>
      <w:hyperlink r:id="rId183">
        <w:r w:rsidDel="00000000" w:rsidR="00000000" w:rsidRPr="00000000">
          <w:rPr>
            <w:color w:val="1155cc"/>
            <w:sz w:val="19"/>
            <w:szCs w:val="19"/>
            <w:u w:val="single"/>
            <w:rtl w:val="0"/>
          </w:rPr>
          <w:t xml:space="preserve">LSJ entry pharmakeia</w:t>
        </w:r>
      </w:hyperlink>
      <w:r w:rsidDel="00000000" w:rsidR="00000000" w:rsidRPr="00000000">
        <w:rPr>
          <w:sz w:val="19"/>
          <w:szCs w:val="19"/>
          <w:rtl w:val="0"/>
        </w:rPr>
        <w:t xml:space="preserve">. Liddell–Scott–Jones Greek–English Lexicon. Drug use, potions, poisoning, and magic meanings require contextual selection.</w:t>
      </w:r>
      <w:r w:rsidDel="00000000" w:rsidR="00000000" w:rsidRPr="00000000">
        <w:rPr>
          <w:rtl w:val="0"/>
        </w:rPr>
      </w:r>
    </w:p>
    <w:p w:rsidR="00000000" w:rsidDel="00000000" w:rsidP="00000000" w:rsidRDefault="00000000" w:rsidRPr="00000000" w14:paraId="00000127">
      <w:pPr>
        <w:spacing w:after="140" w:lineRule="auto"/>
        <w:rPr/>
      </w:pPr>
      <w:hyperlink r:id="rId184">
        <w:r w:rsidDel="00000000" w:rsidR="00000000" w:rsidRPr="00000000">
          <w:rPr>
            <w:color w:val="1155cc"/>
            <w:sz w:val="19"/>
            <w:szCs w:val="19"/>
            <w:u w:val="single"/>
            <w:rtl w:val="0"/>
          </w:rPr>
          <w:t xml:space="preserve">[27]</w:t>
        </w:r>
      </w:hyperlink>
      <w:r w:rsidDel="00000000" w:rsidR="00000000" w:rsidRPr="00000000">
        <w:rPr>
          <w:sz w:val="19"/>
          <w:szCs w:val="19"/>
          <w:rtl w:val="0"/>
        </w:rPr>
        <w:t xml:space="preserve"> </w:t>
      </w:r>
      <w:hyperlink r:id="rId185">
        <w:r w:rsidDel="00000000" w:rsidR="00000000" w:rsidRPr="00000000">
          <w:rPr>
            <w:color w:val="1155cc"/>
            <w:sz w:val="19"/>
            <w:szCs w:val="19"/>
            <w:u w:val="single"/>
            <w:rtl w:val="0"/>
          </w:rPr>
          <w:t xml:space="preserve">LSJ entry christos</w:t>
        </w:r>
      </w:hyperlink>
      <w:r w:rsidDel="00000000" w:rsidR="00000000" w:rsidRPr="00000000">
        <w:rPr>
          <w:sz w:val="19"/>
          <w:szCs w:val="19"/>
          <w:rtl w:val="0"/>
        </w:rPr>
        <w:t xml:space="preserve">. Liddell–Scott–Jones Greek–English Lexicon. Includes Leviticus 4:5 and Isaiah 45:1 among Septuagint attestations.</w:t>
      </w:r>
      <w:r w:rsidDel="00000000" w:rsidR="00000000" w:rsidRPr="00000000">
        <w:rPr>
          <w:rtl w:val="0"/>
        </w:rPr>
      </w:r>
    </w:p>
    <w:p w:rsidR="00000000" w:rsidDel="00000000" w:rsidP="00000000" w:rsidRDefault="00000000" w:rsidRPr="00000000" w14:paraId="00000128">
      <w:pPr>
        <w:spacing w:after="140" w:lineRule="auto"/>
        <w:rPr/>
      </w:pPr>
      <w:hyperlink r:id="rId186">
        <w:r w:rsidDel="00000000" w:rsidR="00000000" w:rsidRPr="00000000">
          <w:rPr>
            <w:color w:val="1155cc"/>
            <w:sz w:val="19"/>
            <w:szCs w:val="19"/>
            <w:u w:val="single"/>
            <w:rtl w:val="0"/>
          </w:rPr>
          <w:t xml:space="preserve">[28]</w:t>
        </w:r>
      </w:hyperlink>
      <w:r w:rsidDel="00000000" w:rsidR="00000000" w:rsidRPr="00000000">
        <w:rPr>
          <w:sz w:val="19"/>
          <w:szCs w:val="19"/>
          <w:rtl w:val="0"/>
        </w:rPr>
        <w:t xml:space="preserve"> </w:t>
      </w:r>
      <w:hyperlink r:id="rId187">
        <w:r w:rsidDel="00000000" w:rsidR="00000000" w:rsidRPr="00000000">
          <w:rPr>
            <w:color w:val="1155cc"/>
            <w:sz w:val="19"/>
            <w:szCs w:val="19"/>
            <w:u w:val="single"/>
            <w:rtl w:val="0"/>
          </w:rPr>
          <w:t xml:space="preserve">Comprehensive Aramaic Lexicon entry pryš</w:t>
        </w:r>
      </w:hyperlink>
      <w:r w:rsidDel="00000000" w:rsidR="00000000" w:rsidRPr="00000000">
        <w:rPr>
          <w:sz w:val="19"/>
          <w:szCs w:val="19"/>
          <w:rtl w:val="0"/>
        </w:rPr>
        <w:t xml:space="preserve">. Hebrew Union College CAL. Distinguished/separate and Pharisee senses, with identifiable Syriac attestations.</w:t>
      </w:r>
      <w:r w:rsidDel="00000000" w:rsidR="00000000" w:rsidRPr="00000000">
        <w:rPr>
          <w:rtl w:val="0"/>
        </w:rPr>
      </w:r>
    </w:p>
    <w:p w:rsidR="00000000" w:rsidDel="00000000" w:rsidP="00000000" w:rsidRDefault="00000000" w:rsidRPr="00000000" w14:paraId="00000129">
      <w:pPr>
        <w:spacing w:after="140" w:lineRule="auto"/>
        <w:rPr/>
      </w:pPr>
      <w:hyperlink r:id="rId188">
        <w:r w:rsidDel="00000000" w:rsidR="00000000" w:rsidRPr="00000000">
          <w:rPr>
            <w:color w:val="1155cc"/>
            <w:sz w:val="19"/>
            <w:szCs w:val="19"/>
            <w:u w:val="single"/>
            <w:rtl w:val="0"/>
          </w:rPr>
          <w:t xml:space="preserve">[29]</w:t>
        </w:r>
      </w:hyperlink>
      <w:r w:rsidDel="00000000" w:rsidR="00000000" w:rsidRPr="00000000">
        <w:rPr>
          <w:sz w:val="19"/>
          <w:szCs w:val="19"/>
          <w:rtl w:val="0"/>
        </w:rPr>
        <w:t xml:space="preserve"> </w:t>
      </w:r>
      <w:hyperlink r:id="rId189">
        <w:r w:rsidDel="00000000" w:rsidR="00000000" w:rsidRPr="00000000">
          <w:rPr>
            <w:color w:val="1155cc"/>
            <w:sz w:val="19"/>
            <w:szCs w:val="19"/>
            <w:u w:val="single"/>
            <w:rtl w:val="0"/>
          </w:rPr>
          <w:t xml:space="preserve">Comprehensive Aramaic Lexicon entry prsy</w:t>
        </w:r>
      </w:hyperlink>
      <w:r w:rsidDel="00000000" w:rsidR="00000000" w:rsidRPr="00000000">
        <w:rPr>
          <w:sz w:val="19"/>
          <w:szCs w:val="19"/>
          <w:rtl w:val="0"/>
        </w:rPr>
        <w:t xml:space="preserve">. CAL entry Persian. Includes Biblical Aramaic Daniel 6:29 in Hebrew numbering, often 6:28 in English.</w:t>
      </w:r>
      <w:r w:rsidDel="00000000" w:rsidR="00000000" w:rsidRPr="00000000">
        <w:rPr>
          <w:rtl w:val="0"/>
        </w:rPr>
      </w:r>
    </w:p>
    <w:p w:rsidR="00000000" w:rsidDel="00000000" w:rsidP="00000000" w:rsidRDefault="00000000" w:rsidRPr="00000000" w14:paraId="0000012A">
      <w:pPr>
        <w:spacing w:after="140" w:lineRule="auto"/>
        <w:rPr/>
      </w:pPr>
      <w:hyperlink r:id="rId190">
        <w:r w:rsidDel="00000000" w:rsidR="00000000" w:rsidRPr="00000000">
          <w:rPr>
            <w:color w:val="1155cc"/>
            <w:sz w:val="19"/>
            <w:szCs w:val="19"/>
            <w:u w:val="single"/>
            <w:rtl w:val="0"/>
          </w:rPr>
          <w:t xml:space="preserve">[30]</w:t>
        </w:r>
      </w:hyperlink>
      <w:r w:rsidDel="00000000" w:rsidR="00000000" w:rsidRPr="00000000">
        <w:rPr>
          <w:sz w:val="19"/>
          <w:szCs w:val="19"/>
          <w:rtl w:val="0"/>
        </w:rPr>
        <w:t xml:space="preserve"> </w:t>
      </w:r>
      <w:hyperlink r:id="rId191">
        <w:r w:rsidDel="00000000" w:rsidR="00000000" w:rsidRPr="00000000">
          <w:rPr>
            <w:color w:val="1155cc"/>
            <w:sz w:val="19"/>
            <w:szCs w:val="19"/>
            <w:u w:val="single"/>
            <w:rtl w:val="0"/>
          </w:rPr>
          <w:t xml:space="preserve">Lawrence H Schiffman 1994 Pharisees</w:t>
        </w:r>
      </w:hyperlink>
      <w:r w:rsidDel="00000000" w:rsidR="00000000" w:rsidRPr="00000000">
        <w:rPr>
          <w:sz w:val="19"/>
          <w:szCs w:val="19"/>
          <w:rtl w:val="0"/>
        </w:rPr>
        <w:t xml:space="preserve">. Excerpt from Reclaiming the Dead Sea Scrolls, pp. 76–78. Standard perushim derivation and limits of reconstructing early origins.</w:t>
      </w:r>
      <w:r w:rsidDel="00000000" w:rsidR="00000000" w:rsidRPr="00000000">
        <w:rPr>
          <w:rtl w:val="0"/>
        </w:rPr>
      </w:r>
    </w:p>
    <w:p w:rsidR="00000000" w:rsidDel="00000000" w:rsidP="00000000" w:rsidRDefault="00000000" w:rsidRPr="00000000" w14:paraId="0000012B">
      <w:pPr>
        <w:spacing w:after="140" w:lineRule="auto"/>
        <w:rPr/>
      </w:pPr>
      <w:hyperlink r:id="rId192">
        <w:r w:rsidDel="00000000" w:rsidR="00000000" w:rsidRPr="00000000">
          <w:rPr>
            <w:color w:val="1155cc"/>
            <w:sz w:val="19"/>
            <w:szCs w:val="19"/>
            <w:u w:val="single"/>
            <w:rtl w:val="0"/>
          </w:rPr>
          <w:t xml:space="preserve">[31]</w:t>
        </w:r>
      </w:hyperlink>
      <w:r w:rsidDel="00000000" w:rsidR="00000000" w:rsidRPr="00000000">
        <w:rPr>
          <w:sz w:val="19"/>
          <w:szCs w:val="19"/>
          <w:rtl w:val="0"/>
        </w:rPr>
        <w:t xml:space="preserve"> </w:t>
      </w:r>
      <w:hyperlink r:id="rId193">
        <w:r w:rsidDel="00000000" w:rsidR="00000000" w:rsidRPr="00000000">
          <w:rPr>
            <w:color w:val="1155cc"/>
            <w:sz w:val="19"/>
            <w:szCs w:val="19"/>
            <w:u w:val="single"/>
            <w:rtl w:val="0"/>
          </w:rPr>
          <w:t xml:space="preserve">Encyclopedia of the Bible Pharisees</w:t>
        </w:r>
      </w:hyperlink>
      <w:r w:rsidDel="00000000" w:rsidR="00000000" w:rsidRPr="00000000">
        <w:rPr>
          <w:sz w:val="19"/>
          <w:szCs w:val="19"/>
          <w:rtl w:val="0"/>
        </w:rPr>
        <w:t xml:space="preserve">. Reference discussion preserving the alternative Persian derivation associated with T. W. Manson and its criticism. Used only to identify this disputed proposal.</w:t>
      </w:r>
      <w:r w:rsidDel="00000000" w:rsidR="00000000" w:rsidRPr="00000000">
        <w:rPr>
          <w:rtl w:val="0"/>
        </w:rPr>
      </w:r>
    </w:p>
    <w:p w:rsidR="00000000" w:rsidDel="00000000" w:rsidP="00000000" w:rsidRDefault="00000000" w:rsidRPr="00000000" w14:paraId="0000012C">
      <w:pPr>
        <w:spacing w:after="140" w:lineRule="auto"/>
        <w:rPr/>
      </w:pPr>
      <w:hyperlink r:id="rId194">
        <w:r w:rsidDel="00000000" w:rsidR="00000000" w:rsidRPr="00000000">
          <w:rPr>
            <w:color w:val="1155cc"/>
            <w:sz w:val="19"/>
            <w:szCs w:val="19"/>
            <w:u w:val="single"/>
            <w:rtl w:val="0"/>
          </w:rPr>
          <w:t xml:space="preserve">[32]</w:t>
        </w:r>
      </w:hyperlink>
      <w:r w:rsidDel="00000000" w:rsidR="00000000" w:rsidRPr="00000000">
        <w:rPr>
          <w:sz w:val="19"/>
          <w:szCs w:val="19"/>
          <w:rtl w:val="0"/>
        </w:rPr>
        <w:t xml:space="preserve"> </w:t>
      </w:r>
      <w:hyperlink r:id="rId195">
        <w:r w:rsidDel="00000000" w:rsidR="00000000" w:rsidRPr="00000000">
          <w:rPr>
            <w:color w:val="1155cc"/>
            <w:sz w:val="19"/>
            <w:szCs w:val="19"/>
            <w:u w:val="single"/>
            <w:rtl w:val="0"/>
          </w:rPr>
          <w:t xml:space="preserve">Encyclopaedia Iranica Magi</w:t>
        </w:r>
      </w:hyperlink>
      <w:r w:rsidDel="00000000" w:rsidR="00000000" w:rsidRPr="00000000">
        <w:rPr>
          <w:sz w:val="19"/>
          <w:szCs w:val="19"/>
          <w:rtl w:val="0"/>
        </w:rPr>
        <w:t xml:space="preserve">. Specialist entry on magu and Greek magos, historical attestations, and changing usage.</w:t>
      </w:r>
      <w:r w:rsidDel="00000000" w:rsidR="00000000" w:rsidRPr="00000000">
        <w:rPr>
          <w:rtl w:val="0"/>
        </w:rPr>
      </w:r>
    </w:p>
    <w:p w:rsidR="00000000" w:rsidDel="00000000" w:rsidP="00000000" w:rsidRDefault="00000000" w:rsidRPr="00000000" w14:paraId="0000012D">
      <w:pPr>
        <w:spacing w:after="140" w:lineRule="auto"/>
        <w:rPr/>
      </w:pPr>
      <w:hyperlink r:id="rId196">
        <w:r w:rsidDel="00000000" w:rsidR="00000000" w:rsidRPr="00000000">
          <w:rPr>
            <w:color w:val="1155cc"/>
            <w:sz w:val="19"/>
            <w:szCs w:val="19"/>
            <w:u w:val="single"/>
            <w:rtl w:val="0"/>
          </w:rPr>
          <w:t xml:space="preserve">[33]</w:t>
        </w:r>
      </w:hyperlink>
      <w:r w:rsidDel="00000000" w:rsidR="00000000" w:rsidRPr="00000000">
        <w:rPr>
          <w:sz w:val="19"/>
          <w:szCs w:val="19"/>
          <w:rtl w:val="0"/>
        </w:rPr>
        <w:t xml:space="preserve"> </w:t>
      </w:r>
      <w:hyperlink r:id="rId197">
        <w:r w:rsidDel="00000000" w:rsidR="00000000" w:rsidRPr="00000000">
          <w:rPr>
            <w:color w:val="1155cc"/>
            <w:sz w:val="19"/>
            <w:szCs w:val="19"/>
            <w:u w:val="single"/>
            <w:rtl w:val="0"/>
          </w:rPr>
          <w:t xml:space="preserve">Encyclopaedia Iranica Zurvan</w:t>
        </w:r>
      </w:hyperlink>
      <w:r w:rsidDel="00000000" w:rsidR="00000000" w:rsidRPr="00000000">
        <w:rPr>
          <w:sz w:val="19"/>
          <w:szCs w:val="19"/>
          <w:rtl w:val="0"/>
        </w:rPr>
        <w:t xml:space="preserve">. Specialist entry on Avestan zruuan, time, epithets, and attested passages including Vīdēvdād 19.13 and 19.16.</w:t>
      </w:r>
      <w:r w:rsidDel="00000000" w:rsidR="00000000" w:rsidRPr="00000000">
        <w:rPr>
          <w:rtl w:val="0"/>
        </w:rPr>
      </w:r>
    </w:p>
    <w:p w:rsidR="00000000" w:rsidDel="00000000" w:rsidP="00000000" w:rsidRDefault="00000000" w:rsidRPr="00000000" w14:paraId="0000012E">
      <w:pPr>
        <w:spacing w:after="140" w:lineRule="auto"/>
        <w:rPr/>
      </w:pPr>
      <w:hyperlink r:id="rId198">
        <w:r w:rsidDel="00000000" w:rsidR="00000000" w:rsidRPr="00000000">
          <w:rPr>
            <w:color w:val="1155cc"/>
            <w:sz w:val="19"/>
            <w:szCs w:val="19"/>
            <w:u w:val="single"/>
            <w:rtl w:val="0"/>
          </w:rPr>
          <w:t xml:space="preserve">[34]</w:t>
        </w:r>
      </w:hyperlink>
      <w:r w:rsidDel="00000000" w:rsidR="00000000" w:rsidRPr="00000000">
        <w:rPr>
          <w:sz w:val="19"/>
          <w:szCs w:val="19"/>
          <w:rtl w:val="0"/>
        </w:rPr>
        <w:t xml:space="preserve"> </w:t>
      </w:r>
      <w:hyperlink r:id="rId199">
        <w:r w:rsidDel="00000000" w:rsidR="00000000" w:rsidRPr="00000000">
          <w:rPr>
            <w:color w:val="1155cc"/>
            <w:sz w:val="19"/>
            <w:szCs w:val="19"/>
            <w:u w:val="single"/>
            <w:rtl w:val="0"/>
          </w:rPr>
          <w:t xml:space="preserve">Albert de Jong Zurvanism</w:t>
        </w:r>
      </w:hyperlink>
      <w:r w:rsidDel="00000000" w:rsidR="00000000" w:rsidRPr="00000000">
        <w:rPr>
          <w:sz w:val="19"/>
          <w:szCs w:val="19"/>
          <w:rtl w:val="0"/>
        </w:rPr>
        <w:t xml:space="preserve">. Encyclopaedia Iranica. Critical reassessment of Zurvanite myths, proposed origins, late antique evidence, and reconstruction of a separate movement.</w:t>
      </w:r>
      <w:r w:rsidDel="00000000" w:rsidR="00000000" w:rsidRPr="00000000">
        <w:rPr>
          <w:rtl w:val="0"/>
        </w:rPr>
      </w:r>
    </w:p>
    <w:p w:rsidR="00000000" w:rsidDel="00000000" w:rsidP="00000000" w:rsidRDefault="00000000" w:rsidRPr="00000000" w14:paraId="0000012F">
      <w:pPr>
        <w:spacing w:after="140" w:lineRule="auto"/>
        <w:rPr/>
      </w:pPr>
      <w:hyperlink r:id="rId200">
        <w:r w:rsidDel="00000000" w:rsidR="00000000" w:rsidRPr="00000000">
          <w:rPr>
            <w:color w:val="1155cc"/>
            <w:sz w:val="19"/>
            <w:szCs w:val="19"/>
            <w:u w:val="single"/>
            <w:rtl w:val="0"/>
          </w:rPr>
          <w:t xml:space="preserve">[35]</w:t>
        </w:r>
      </w:hyperlink>
      <w:r w:rsidDel="00000000" w:rsidR="00000000" w:rsidRPr="00000000">
        <w:rPr>
          <w:sz w:val="19"/>
          <w:szCs w:val="19"/>
          <w:rtl w:val="0"/>
        </w:rPr>
        <w:t xml:space="preserve"> </w:t>
      </w:r>
      <w:hyperlink r:id="rId201">
        <w:r w:rsidDel="00000000" w:rsidR="00000000" w:rsidRPr="00000000">
          <w:rPr>
            <w:color w:val="1155cc"/>
            <w:sz w:val="19"/>
            <w:szCs w:val="19"/>
            <w:u w:val="single"/>
            <w:rtl w:val="0"/>
          </w:rPr>
          <w:t xml:space="preserve">Gherardo Gnoli 1996 Dualism</w:t>
        </w:r>
      </w:hyperlink>
      <w:r w:rsidDel="00000000" w:rsidR="00000000" w:rsidRPr="00000000">
        <w:rPr>
          <w:sz w:val="19"/>
          <w:szCs w:val="19"/>
          <w:rtl w:val="0"/>
        </w:rPr>
        <w:t xml:space="preserve">. Encyclopaedia Iranica VII/6, 576–582. Discusses Yasna 30.3–4 and 47.3 and supports a Babylonian-contact model of Zurvanite development. Read alongside de Jong.</w:t>
      </w:r>
      <w:r w:rsidDel="00000000" w:rsidR="00000000" w:rsidRPr="00000000">
        <w:rPr>
          <w:rtl w:val="0"/>
        </w:rPr>
      </w:r>
    </w:p>
    <w:p w:rsidR="00000000" w:rsidDel="00000000" w:rsidP="00000000" w:rsidRDefault="00000000" w:rsidRPr="00000000" w14:paraId="00000130">
      <w:pPr>
        <w:spacing w:after="140" w:lineRule="auto"/>
        <w:rPr/>
      </w:pPr>
      <w:hyperlink r:id="rId202">
        <w:r w:rsidDel="00000000" w:rsidR="00000000" w:rsidRPr="00000000">
          <w:rPr>
            <w:color w:val="1155cc"/>
            <w:sz w:val="19"/>
            <w:szCs w:val="19"/>
            <w:u w:val="single"/>
            <w:rtl w:val="0"/>
          </w:rPr>
          <w:t xml:space="preserve">[36]</w:t>
        </w:r>
      </w:hyperlink>
      <w:r w:rsidDel="00000000" w:rsidR="00000000" w:rsidRPr="00000000">
        <w:rPr>
          <w:sz w:val="19"/>
          <w:szCs w:val="19"/>
          <w:rtl w:val="0"/>
        </w:rPr>
        <w:t xml:space="preserve"> </w:t>
      </w:r>
      <w:hyperlink r:id="rId203">
        <w:r w:rsidDel="00000000" w:rsidR="00000000" w:rsidRPr="00000000">
          <w:rPr>
            <w:color w:val="1155cc"/>
            <w:sz w:val="19"/>
            <w:szCs w:val="19"/>
            <w:u w:val="single"/>
            <w:rtl w:val="0"/>
          </w:rPr>
          <w:t xml:space="preserve">Roger Beck Zoroaster as perceived by the Greeks</w:t>
        </w:r>
      </w:hyperlink>
      <w:r w:rsidDel="00000000" w:rsidR="00000000" w:rsidRPr="00000000">
        <w:rPr>
          <w:sz w:val="19"/>
          <w:szCs w:val="19"/>
          <w:rtl w:val="0"/>
        </w:rPr>
        <w:t xml:space="preserve">. Encyclopaedia Iranica. Greek constructions of Zoroaster and Zoroastrian pseudepigrapha.</w:t>
      </w:r>
      <w:r w:rsidDel="00000000" w:rsidR="00000000" w:rsidRPr="00000000">
        <w:rPr>
          <w:rtl w:val="0"/>
        </w:rPr>
      </w:r>
    </w:p>
    <w:p w:rsidR="00000000" w:rsidDel="00000000" w:rsidP="00000000" w:rsidRDefault="00000000" w:rsidRPr="00000000" w14:paraId="00000131">
      <w:pPr>
        <w:spacing w:after="140" w:lineRule="auto"/>
        <w:rPr/>
      </w:pPr>
      <w:hyperlink r:id="rId204">
        <w:r w:rsidDel="00000000" w:rsidR="00000000" w:rsidRPr="00000000">
          <w:rPr>
            <w:color w:val="1155cc"/>
            <w:sz w:val="19"/>
            <w:szCs w:val="19"/>
            <w:u w:val="single"/>
            <w:rtl w:val="0"/>
          </w:rPr>
          <w:t xml:space="preserve">[37]</w:t>
        </w:r>
      </w:hyperlink>
      <w:r w:rsidDel="00000000" w:rsidR="00000000" w:rsidRPr="00000000">
        <w:rPr>
          <w:sz w:val="19"/>
          <w:szCs w:val="19"/>
          <w:rtl w:val="0"/>
        </w:rPr>
        <w:t xml:space="preserve"> </w:t>
      </w:r>
      <w:hyperlink r:id="rId205">
        <w:r w:rsidDel="00000000" w:rsidR="00000000" w:rsidRPr="00000000">
          <w:rPr>
            <w:color w:val="1155cc"/>
            <w:sz w:val="19"/>
            <w:szCs w:val="19"/>
            <w:u w:val="single"/>
            <w:rtl w:val="0"/>
          </w:rPr>
          <w:t xml:space="preserve">Mary Boyce Ātaš</w:t>
        </w:r>
      </w:hyperlink>
      <w:r w:rsidDel="00000000" w:rsidR="00000000" w:rsidRPr="00000000">
        <w:rPr>
          <w:sz w:val="19"/>
          <w:szCs w:val="19"/>
          <w:rtl w:val="0"/>
        </w:rPr>
        <w:t xml:space="preserve">. Encyclopaedia Iranica. Fire cult, endowed foundations, and patronage; cites Sasanian legal and epigraphic evidence.</w:t>
      </w:r>
      <w:r w:rsidDel="00000000" w:rsidR="00000000" w:rsidRPr="00000000">
        <w:rPr>
          <w:rtl w:val="0"/>
        </w:rPr>
      </w:r>
    </w:p>
    <w:p w:rsidR="00000000" w:rsidDel="00000000" w:rsidP="00000000" w:rsidRDefault="00000000" w:rsidRPr="00000000" w14:paraId="00000132">
      <w:pPr>
        <w:spacing w:after="140" w:lineRule="auto"/>
        <w:rPr/>
      </w:pPr>
      <w:hyperlink r:id="rId206">
        <w:r w:rsidDel="00000000" w:rsidR="00000000" w:rsidRPr="00000000">
          <w:rPr>
            <w:color w:val="1155cc"/>
            <w:sz w:val="19"/>
            <w:szCs w:val="19"/>
            <w:u w:val="single"/>
            <w:rtl w:val="0"/>
          </w:rPr>
          <w:t xml:space="preserve">[38]</w:t>
        </w:r>
      </w:hyperlink>
      <w:r w:rsidDel="00000000" w:rsidR="00000000" w:rsidRPr="00000000">
        <w:rPr>
          <w:sz w:val="19"/>
          <w:szCs w:val="19"/>
          <w:rtl w:val="0"/>
        </w:rPr>
        <w:t xml:space="preserve"> </w:t>
      </w:r>
      <w:hyperlink r:id="rId207">
        <w:r w:rsidDel="00000000" w:rsidR="00000000" w:rsidRPr="00000000">
          <w:rPr>
            <w:color w:val="1155cc"/>
            <w:sz w:val="19"/>
            <w:szCs w:val="19"/>
            <w:u w:val="single"/>
            <w:rtl w:val="0"/>
          </w:rPr>
          <w:t xml:space="preserve">Hulisani Ramantswana 2014 Conflicts at creation</w:t>
        </w:r>
      </w:hyperlink>
      <w:r w:rsidDel="00000000" w:rsidR="00000000" w:rsidRPr="00000000">
        <w:rPr>
          <w:sz w:val="19"/>
          <w:szCs w:val="19"/>
          <w:rtl w:val="0"/>
        </w:rPr>
        <w:t xml:space="preserve">. Old Testament Essays 27(2). Genesis 1–3 in dialogue with the Psalter. Comparative treatment distinguishes Atrahasis and Enuma Elish.</w:t>
      </w:r>
      <w:r w:rsidDel="00000000" w:rsidR="00000000" w:rsidRPr="00000000">
        <w:rPr>
          <w:rtl w:val="0"/>
        </w:rPr>
      </w:r>
    </w:p>
    <w:p w:rsidR="00000000" w:rsidDel="00000000" w:rsidP="00000000" w:rsidRDefault="00000000" w:rsidRPr="00000000" w14:paraId="00000133">
      <w:pPr>
        <w:spacing w:after="140" w:lineRule="auto"/>
        <w:rPr/>
      </w:pPr>
      <w:hyperlink r:id="rId208">
        <w:r w:rsidDel="00000000" w:rsidR="00000000" w:rsidRPr="00000000">
          <w:rPr>
            <w:color w:val="1155cc"/>
            <w:sz w:val="19"/>
            <w:szCs w:val="19"/>
            <w:u w:val="single"/>
            <w:rtl w:val="0"/>
          </w:rPr>
          <w:t xml:space="preserve">[39]</w:t>
        </w:r>
      </w:hyperlink>
      <w:r w:rsidDel="00000000" w:rsidR="00000000" w:rsidRPr="00000000">
        <w:rPr>
          <w:sz w:val="19"/>
          <w:szCs w:val="19"/>
          <w:rtl w:val="0"/>
        </w:rPr>
        <w:t xml:space="preserve"> </w:t>
      </w:r>
      <w:hyperlink r:id="rId209">
        <w:r w:rsidDel="00000000" w:rsidR="00000000" w:rsidRPr="00000000">
          <w:rPr>
            <w:color w:val="1155cc"/>
            <w:sz w:val="19"/>
            <w:szCs w:val="19"/>
            <w:u w:val="single"/>
            <w:rtl w:val="0"/>
          </w:rPr>
          <w:t xml:space="preserve">Theorization Measurement and Standardization of Calendrical Time</w:t>
        </w:r>
      </w:hyperlink>
      <w:r w:rsidDel="00000000" w:rsidR="00000000" w:rsidRPr="00000000">
        <w:rPr>
          <w:sz w:val="19"/>
          <w:szCs w:val="19"/>
          <w:rtl w:val="0"/>
        </w:rPr>
        <w:t xml:space="preserve">. Oxford scholarly chapter. Accessible passage on adoption of Babylonian calendrical conventions and month names; full chapter not accessed.</w:t>
      </w:r>
      <w:r w:rsidDel="00000000" w:rsidR="00000000" w:rsidRPr="00000000">
        <w:rPr>
          <w:rtl w:val="0"/>
        </w:rPr>
      </w:r>
    </w:p>
    <w:p w:rsidR="00000000" w:rsidDel="00000000" w:rsidP="00000000" w:rsidRDefault="00000000" w:rsidRPr="00000000" w14:paraId="00000134">
      <w:pPr>
        <w:pStyle w:val="Heading2"/>
        <w:rPr>
          <w:sz w:val="26"/>
          <w:szCs w:val="26"/>
        </w:rPr>
      </w:pPr>
      <w:r w:rsidDel="00000000" w:rsidR="00000000" w:rsidRPr="00000000">
        <w:rPr>
          <w:sz w:val="26"/>
          <w:szCs w:val="26"/>
          <w:rtl w:val="0"/>
        </w:rPr>
        <w:t xml:space="preserve">Panarion passage links</w:t>
      </w:r>
    </w:p>
    <w:p w:rsidR="00000000" w:rsidDel="00000000" w:rsidP="00000000" w:rsidRDefault="00000000" w:rsidRPr="00000000" w14:paraId="00000135">
      <w:pPr>
        <w:spacing w:after="60" w:line="278.4" w:lineRule="auto"/>
        <w:rPr/>
      </w:pPr>
      <w:hyperlink r:id="rId210">
        <w:r w:rsidDel="00000000" w:rsidR="00000000" w:rsidRPr="00000000">
          <w:rPr>
            <w:color w:val="1155cc"/>
            <w:sz w:val="19"/>
            <w:szCs w:val="19"/>
            <w:u w:val="single"/>
            <w:rtl w:val="0"/>
          </w:rPr>
          <w:t xml:space="preserve">Panarion 26.8.1–7 and 26.9.3–5</w:t>
        </w:r>
      </w:hyperlink>
      <w:r w:rsidDel="00000000" w:rsidR="00000000" w:rsidRPr="00000000">
        <w:rPr>
          <w:rtl w:val="0"/>
        </w:rPr>
      </w:r>
    </w:p>
    <w:p w:rsidR="00000000" w:rsidDel="00000000" w:rsidP="00000000" w:rsidRDefault="00000000" w:rsidRPr="00000000" w14:paraId="00000136">
      <w:pPr>
        <w:spacing w:after="60" w:line="278.4" w:lineRule="auto"/>
        <w:rPr/>
      </w:pPr>
      <w:hyperlink r:id="rId211">
        <w:r w:rsidDel="00000000" w:rsidR="00000000" w:rsidRPr="00000000">
          <w:rPr>
            <w:color w:val="1155cc"/>
            <w:sz w:val="19"/>
            <w:szCs w:val="19"/>
            <w:u w:val="single"/>
            <w:rtl w:val="0"/>
          </w:rPr>
          <w:t xml:space="preserve">Panarion 26.9.6–9 and 26.10.1–5</w:t>
        </w:r>
      </w:hyperlink>
      <w:r w:rsidDel="00000000" w:rsidR="00000000" w:rsidRPr="00000000">
        <w:rPr>
          <w:rtl w:val="0"/>
        </w:rPr>
      </w:r>
    </w:p>
    <w:p w:rsidR="00000000" w:rsidDel="00000000" w:rsidP="00000000" w:rsidRDefault="00000000" w:rsidRPr="00000000" w14:paraId="00000137">
      <w:pPr>
        <w:spacing w:after="60" w:line="278.4" w:lineRule="auto"/>
        <w:rPr/>
      </w:pPr>
      <w:hyperlink r:id="rId212">
        <w:r w:rsidDel="00000000" w:rsidR="00000000" w:rsidRPr="00000000">
          <w:rPr>
            <w:color w:val="1155cc"/>
            <w:sz w:val="19"/>
            <w:szCs w:val="19"/>
            <w:u w:val="single"/>
            <w:rtl w:val="0"/>
          </w:rPr>
          <w:t xml:space="preserve">Panarion 26.10.7–10 and 26.13.2–8</w:t>
        </w:r>
      </w:hyperlink>
      <w:r w:rsidDel="00000000" w:rsidR="00000000" w:rsidRPr="00000000">
        <w:rPr>
          <w:rtl w:val="0"/>
        </w:rPr>
      </w:r>
    </w:p>
    <w:p w:rsidR="00000000" w:rsidDel="00000000" w:rsidP="00000000" w:rsidRDefault="00000000" w:rsidRPr="00000000" w14:paraId="00000138">
      <w:pPr>
        <w:spacing w:after="60" w:line="278.4" w:lineRule="auto"/>
        <w:rPr/>
      </w:pPr>
      <w:hyperlink r:id="rId213">
        <w:r w:rsidDel="00000000" w:rsidR="00000000" w:rsidRPr="00000000">
          <w:rPr>
            <w:color w:val="1155cc"/>
            <w:sz w:val="19"/>
            <w:szCs w:val="19"/>
            <w:u w:val="single"/>
            <w:rtl w:val="0"/>
          </w:rPr>
          <w:t xml:space="preserve">Panarion 26.10.11–13 and 26.12.1–9</w:t>
        </w:r>
      </w:hyperlink>
      <w:r w:rsidDel="00000000" w:rsidR="00000000" w:rsidRPr="00000000">
        <w:rPr>
          <w:rtl w:val="0"/>
        </w:rPr>
      </w:r>
    </w:p>
    <w:p w:rsidR="00000000" w:rsidDel="00000000" w:rsidP="00000000" w:rsidRDefault="00000000" w:rsidRPr="00000000" w14:paraId="00000139">
      <w:pPr>
        <w:spacing w:after="60" w:line="278.4" w:lineRule="auto"/>
        <w:rPr/>
      </w:pPr>
      <w:hyperlink r:id="rId214">
        <w:r w:rsidDel="00000000" w:rsidR="00000000" w:rsidRPr="00000000">
          <w:rPr>
            <w:color w:val="1155cc"/>
            <w:sz w:val="19"/>
            <w:szCs w:val="19"/>
            <w:u w:val="single"/>
            <w:rtl w:val="0"/>
          </w:rPr>
          <w:t xml:space="preserve">Panarion 26.15.1–7</w:t>
        </w:r>
      </w:hyperlink>
      <w:r w:rsidDel="00000000" w:rsidR="00000000" w:rsidRPr="00000000">
        <w:rPr>
          <w:rtl w:val="0"/>
        </w:rPr>
      </w:r>
    </w:p>
    <w:p w:rsidR="00000000" w:rsidDel="00000000" w:rsidP="00000000" w:rsidRDefault="00000000" w:rsidRPr="00000000" w14:paraId="0000013A">
      <w:pPr>
        <w:spacing w:after="60" w:line="278.4" w:lineRule="auto"/>
        <w:rPr/>
      </w:pPr>
      <w:hyperlink r:id="rId215">
        <w:r w:rsidDel="00000000" w:rsidR="00000000" w:rsidRPr="00000000">
          <w:rPr>
            <w:color w:val="1155cc"/>
            <w:sz w:val="19"/>
            <w:szCs w:val="19"/>
            <w:u w:val="single"/>
            <w:rtl w:val="0"/>
          </w:rPr>
          <w:t xml:space="preserve">Panarion 26.14.4–5</w:t>
        </w:r>
      </w:hyperlink>
      <w:r w:rsidDel="00000000" w:rsidR="00000000" w:rsidRPr="00000000">
        <w:rPr>
          <w:rtl w:val="0"/>
        </w:rPr>
      </w:r>
    </w:p>
    <w:p w:rsidR="00000000" w:rsidDel="00000000" w:rsidP="00000000" w:rsidRDefault="00000000" w:rsidRPr="00000000" w14:paraId="0000013B">
      <w:pPr>
        <w:pStyle w:val="Heading1"/>
        <w:spacing w:after="60" w:line="278.4" w:lineRule="auto"/>
        <w:rPr/>
      </w:pPr>
      <w:bookmarkStart w:colFirst="0" w:colLast="0" w:name="_mv0wo4sfi1iy" w:id="3"/>
      <w:bookmarkEnd w:id="3"/>
      <w:r w:rsidDel="00000000" w:rsidR="00000000" w:rsidRPr="00000000">
        <w:rPr>
          <w:rtl w:val="0"/>
        </w:rPr>
        <w:t xml:space="preserve">Babylon's pharmakeia: Isaiah, Nahum, and Revelation</w:t>
      </w:r>
    </w:p>
    <w:p w:rsidR="00000000" w:rsidDel="00000000" w:rsidP="00000000" w:rsidRDefault="00000000" w:rsidRPr="00000000" w14:paraId="0000013C">
      <w:pPr>
        <w:spacing w:after="60" w:line="278.4" w:lineRule="auto"/>
        <w:rPr/>
      </w:pPr>
      <w:r w:rsidDel="00000000" w:rsidR="00000000" w:rsidRPr="00000000">
        <w:rPr>
          <w:rtl w:val="0"/>
        </w:rPr>
        <w:t xml:space="preserve">Supplement added 15 October 2026 for Hillman Epiphanius Timekeeper and the eethnic shield.</w:t>
      </w:r>
    </w:p>
    <w:p w:rsidR="00000000" w:rsidDel="00000000" w:rsidP="00000000" w:rsidRDefault="00000000" w:rsidRPr="00000000" w14:paraId="0000013D">
      <w:pPr>
        <w:spacing w:after="60" w:line="278.4" w:lineRule="auto"/>
        <w:rPr/>
      </w:pPr>
      <w:r w:rsidDel="00000000" w:rsidR="00000000" w:rsidRPr="00000000">
        <w:rPr>
          <w:rtl w:val="0"/>
        </w:rPr>
        <w:t xml:space="preserve">This supplements the existing discussion, "Babylon and pharmakeia occur in the same biblical passage." Existing text and source numbering are retained. PH source identifiers below belong only to this supplement.</w:t>
      </w:r>
    </w:p>
    <w:p w:rsidR="00000000" w:rsidDel="00000000" w:rsidP="00000000" w:rsidRDefault="00000000" w:rsidRPr="00000000" w14:paraId="0000013E">
      <w:pPr>
        <w:spacing w:after="60" w:line="278.4" w:lineRule="auto"/>
        <w:rPr/>
      </w:pPr>
      <w:r w:rsidDel="00000000" w:rsidR="00000000" w:rsidRPr="00000000">
        <w:rPr>
          <w:rtl w:val="0"/>
        </w:rPr>
      </w:r>
    </w:p>
    <w:p w:rsidR="00000000" w:rsidDel="00000000" w:rsidP="00000000" w:rsidRDefault="00000000" w:rsidRPr="00000000" w14:paraId="0000013F">
      <w:pPr>
        <w:pStyle w:val="Heading2"/>
        <w:spacing w:after="60" w:line="278.4" w:lineRule="auto"/>
        <w:rPr/>
      </w:pPr>
      <w:bookmarkStart w:colFirst="0" w:colLast="0" w:name="_mxzsejito854" w:id="4"/>
      <w:bookmarkEnd w:id="4"/>
      <w:r w:rsidDel="00000000" w:rsidR="00000000" w:rsidRPr="00000000">
        <w:rPr>
          <w:rtl w:val="0"/>
        </w:rPr>
        <w:t xml:space="preserve">The Greek comparison</w:t>
      </w:r>
    </w:p>
    <w:p w:rsidR="00000000" w:rsidDel="00000000" w:rsidP="00000000" w:rsidRDefault="00000000" w:rsidRPr="00000000" w14:paraId="00000140">
      <w:pPr>
        <w:spacing w:after="60" w:line="278.4" w:lineRule="auto"/>
        <w:rPr/>
      </w:pPr>
      <w:r w:rsidDel="00000000" w:rsidR="00000000" w:rsidRPr="00000000">
        <w:rPr>
          <w:rtl w:val="0"/>
        </w:rPr>
      </w:r>
    </w:p>
    <w:p w:rsidR="00000000" w:rsidDel="00000000" w:rsidP="00000000" w:rsidRDefault="00000000" w:rsidRPr="00000000" w14:paraId="00000141">
      <w:pPr>
        <w:spacing w:after="60" w:line="278.4" w:lineRule="auto"/>
        <w:rPr/>
      </w:pPr>
      <w:r w:rsidDel="00000000" w:rsidR="00000000" w:rsidRPr="00000000">
        <w:rPr>
          <w:rFonts w:ascii="Cardo" w:cs="Cardo" w:eastAsia="Cardo" w:hAnsi="Cardo"/>
          <w:rtl w:val="0"/>
        </w:rPr>
        <w:t xml:space="preserve">Isaiah 47:9, 12 (Septuagint) addresses Babylon. Its phrase ἐν τῇ φαρμακείᾳ σου means "in/with your sorcery." Verse 12 pairs it with ἐν ταῖς ἐπαοιδαῖς σου καὶ τῇ πολλῇ φαρμακείᾳ σου: "with your incantations and your abundant sorcery." These are our close translations of the Greek, not quotations from an English Bible. The paired incantations and the challenge to astrologers in verse 13 make the magical-divinatory setting explicit. The taunt is that these resources cannot prevent disaster. "Despite your sorcery" captures that contextual contrast; "despite" is not an automatic dictionary meaning of ἐν. The Septuagint is an ancient Greek translation of Isaiah, not Isaiah's original language. [PH01]</w:t>
      </w:r>
    </w:p>
    <w:p w:rsidR="00000000" w:rsidDel="00000000" w:rsidP="00000000" w:rsidRDefault="00000000" w:rsidRPr="00000000" w14:paraId="00000142">
      <w:pPr>
        <w:spacing w:after="60" w:line="278.4" w:lineRule="auto"/>
        <w:rPr/>
      </w:pPr>
      <w:r w:rsidDel="00000000" w:rsidR="00000000" w:rsidRPr="00000000">
        <w:rPr>
          <w:rtl w:val="0"/>
        </w:rPr>
      </w:r>
    </w:p>
    <w:p w:rsidR="00000000" w:rsidDel="00000000" w:rsidP="00000000" w:rsidRDefault="00000000" w:rsidRPr="00000000" w14:paraId="00000143">
      <w:pPr>
        <w:spacing w:after="60" w:line="278.4" w:lineRule="auto"/>
        <w:rPr/>
      </w:pPr>
      <w:r w:rsidDel="00000000" w:rsidR="00000000" w:rsidRPr="00000000">
        <w:rPr>
          <w:rFonts w:ascii="Cardo" w:cs="Cardo" w:eastAsia="Cardo" w:hAnsi="Cardo"/>
          <w:rtl w:val="0"/>
        </w:rPr>
        <w:t xml:space="preserve">Nahum 3:4 (Septuagint) concerns Nineveh, as verse 7 confirms. It depicts the city as a prostitute and describes ἡ πωλοῦσα ἔθνη ἐν τῇ πορνείᾳ αὐτῆς καὶ φυλὰς ἐν τοῖς φαρμάκοις αὐτῆς: "she who sells nations through her prostitution, and peoples through her sorceries." The selling language belongs to the personified city's accusation; it does not identify a drug transaction. Nahum uses plural forms of φάρμακον, not the identical noun φαρμακεία. The connection is therefore related vocabulary plus a closely comparable image: a seductive imperial city and the nations it ensnares. [PH02]</w:t>
      </w:r>
    </w:p>
    <w:p w:rsidR="00000000" w:rsidDel="00000000" w:rsidP="00000000" w:rsidRDefault="00000000" w:rsidRPr="00000000" w14:paraId="00000144">
      <w:pPr>
        <w:spacing w:after="60" w:line="278.4" w:lineRule="auto"/>
        <w:rPr/>
      </w:pPr>
      <w:r w:rsidDel="00000000" w:rsidR="00000000" w:rsidRPr="00000000">
        <w:rPr>
          <w:rtl w:val="0"/>
        </w:rPr>
      </w:r>
    </w:p>
    <w:p w:rsidR="00000000" w:rsidDel="00000000" w:rsidP="00000000" w:rsidRDefault="00000000" w:rsidRPr="00000000" w14:paraId="00000145">
      <w:pPr>
        <w:spacing w:after="60" w:line="278.4" w:lineRule="auto"/>
        <w:rPr/>
      </w:pPr>
      <w:r w:rsidDel="00000000" w:rsidR="00000000" w:rsidRPr="00000000">
        <w:rPr>
          <w:rFonts w:ascii="Cardo" w:cs="Cardo" w:eastAsia="Cardo" w:hAnsi="Cardo"/>
          <w:rtl w:val="0"/>
        </w:rPr>
        <w:t xml:space="preserve">Revelation 18:23 reads, in the Nestle 1904 text, ἐν τῇ φαρμακίᾳ σου ἐπλανήθησαν πάντα τὰ ἔθνη: "through your sorcery all the nations were led astray." Other displayed Greek editions spell the noun φαρμακείᾳ. That spelling difference does not by itself establish a different sense. Here ἐν with the dative naturally marks means, while the passive verb states the result: nations were deceived or led astray. The clause does not specify the physical procedure. The preceding statement concerns Babylon's powerful merchants, but juxtaposition does not grammatically define sorcery as commerce. [PH03]</w:t>
      </w:r>
    </w:p>
    <w:p w:rsidR="00000000" w:rsidDel="00000000" w:rsidP="00000000" w:rsidRDefault="00000000" w:rsidRPr="00000000" w14:paraId="00000146">
      <w:pPr>
        <w:spacing w:after="60" w:line="278.4" w:lineRule="auto"/>
        <w:rPr/>
      </w:pPr>
      <w:r w:rsidDel="00000000" w:rsidR="00000000" w:rsidRPr="00000000">
        <w:rPr>
          <w:rtl w:val="0"/>
        </w:rPr>
      </w:r>
    </w:p>
    <w:p w:rsidR="00000000" w:rsidDel="00000000" w:rsidP="00000000" w:rsidRDefault="00000000" w:rsidRPr="00000000" w14:paraId="00000147">
      <w:pPr>
        <w:pStyle w:val="Heading2"/>
        <w:spacing w:after="60" w:line="278.4" w:lineRule="auto"/>
        <w:rPr/>
      </w:pPr>
      <w:bookmarkStart w:colFirst="0" w:colLast="0" w:name="_82b4b3u0u7fl" w:id="5"/>
      <w:bookmarkEnd w:id="5"/>
      <w:r w:rsidDel="00000000" w:rsidR="00000000" w:rsidRPr="00000000">
        <w:rPr>
          <w:rtl w:val="0"/>
        </w:rPr>
        <w:t xml:space="preserve">What carries over, and what changes</w:t>
      </w:r>
    </w:p>
    <w:p w:rsidR="00000000" w:rsidDel="00000000" w:rsidP="00000000" w:rsidRDefault="00000000" w:rsidRPr="00000000" w14:paraId="00000148">
      <w:pPr>
        <w:spacing w:after="60" w:line="278.4" w:lineRule="auto"/>
        <w:rPr/>
      </w:pPr>
      <w:r w:rsidDel="00000000" w:rsidR="00000000" w:rsidRPr="00000000">
        <w:rPr>
          <w:rtl w:val="0"/>
        </w:rPr>
      </w:r>
    </w:p>
    <w:p w:rsidR="00000000" w:rsidDel="00000000" w:rsidP="00000000" w:rsidRDefault="00000000" w:rsidRPr="00000000" w14:paraId="00000149">
      <w:pPr>
        <w:spacing w:after="60" w:line="278.4" w:lineRule="auto"/>
        <w:rPr/>
      </w:pPr>
      <w:r w:rsidDel="00000000" w:rsidR="00000000" w:rsidRPr="00000000">
        <w:rPr>
          <w:rtl w:val="0"/>
        </w:rPr>
        <w:t xml:space="preserve">Isaiah supplies Babylon's sorcery and the failure of her protective expertise. Nahum supplies an especially close combination of prostitution, sorceries, and nations under a city's power. Revelation brings comparable prophetic images into its own condemnation of Babylon. These are observable textual parallels supporting an intertextual reading; they are not a demonstrated historical chain connecting the same practitioners across the three books. Nahum also prevents us from claiming that international seduction first entered this imagery in Revelation. [PH01–PH03]</w:t>
      </w:r>
    </w:p>
    <w:p w:rsidR="00000000" w:rsidDel="00000000" w:rsidP="00000000" w:rsidRDefault="00000000" w:rsidRPr="00000000" w14:paraId="0000014A">
      <w:pPr>
        <w:spacing w:after="60" w:line="278.4" w:lineRule="auto"/>
        <w:rPr/>
      </w:pPr>
      <w:r w:rsidDel="00000000" w:rsidR="00000000" w:rsidRPr="00000000">
        <w:rPr>
          <w:rtl w:val="0"/>
        </w:rPr>
      </w:r>
    </w:p>
    <w:p w:rsidR="00000000" w:rsidDel="00000000" w:rsidP="00000000" w:rsidRDefault="00000000" w:rsidRPr="00000000" w14:paraId="0000014B">
      <w:pPr>
        <w:spacing w:after="60" w:line="278.4" w:lineRule="auto"/>
        <w:rPr/>
      </w:pPr>
      <w:r w:rsidDel="00000000" w:rsidR="00000000" w:rsidRPr="00000000">
        <w:rPr>
          <w:rtl w:val="0"/>
        </w:rPr>
        <w:t xml:space="preserve">The commercial and political interpretation rests on the larger literary setting. Revelation 18:3 joins the nations' intoxication, the kings' prostitution, and merchants enriched by Babylon's luxury. Reading 18:23 as an image of corrupting imperial influence therefore has contextual support. Wiriya Tipvarakankoon's study reviews literal and figurative interpretations and relates Babylon's deception to the chapter's economic critique. That is an interpretive argument, not an alternative dictionary definition of the Greek noun. [PH04, PH07]</w:t>
      </w:r>
    </w:p>
    <w:p w:rsidR="00000000" w:rsidDel="00000000" w:rsidP="00000000" w:rsidRDefault="00000000" w:rsidRPr="00000000" w14:paraId="0000014C">
      <w:pPr>
        <w:spacing w:after="60" w:line="278.4" w:lineRule="auto"/>
        <w:rPr/>
      </w:pPr>
      <w:r w:rsidDel="00000000" w:rsidR="00000000" w:rsidRPr="00000000">
        <w:rPr>
          <w:rtl w:val="0"/>
        </w:rPr>
      </w:r>
    </w:p>
    <w:p w:rsidR="00000000" w:rsidDel="00000000" w:rsidP="00000000" w:rsidRDefault="00000000" w:rsidRPr="00000000" w14:paraId="0000014D">
      <w:pPr>
        <w:pStyle w:val="Heading2"/>
        <w:spacing w:after="60" w:line="278.4" w:lineRule="auto"/>
        <w:rPr/>
      </w:pPr>
      <w:bookmarkStart w:colFirst="0" w:colLast="0" w:name="_emtrnrpn018u" w:id="6"/>
      <w:bookmarkEnd w:id="6"/>
      <w:r w:rsidDel="00000000" w:rsidR="00000000" w:rsidRPr="00000000">
        <w:rPr>
          <w:rtl w:val="0"/>
        </w:rPr>
        <w:t xml:space="preserve">What the Greek supports</w:t>
      </w:r>
    </w:p>
    <w:p w:rsidR="00000000" w:rsidDel="00000000" w:rsidP="00000000" w:rsidRDefault="00000000" w:rsidRPr="00000000" w14:paraId="0000014E">
      <w:pPr>
        <w:spacing w:after="60" w:line="278.4" w:lineRule="auto"/>
        <w:rPr/>
      </w:pPr>
      <w:r w:rsidDel="00000000" w:rsidR="00000000" w:rsidRPr="00000000">
        <w:rPr>
          <w:rtl w:val="0"/>
        </w:rPr>
      </w:r>
    </w:p>
    <w:p w:rsidR="00000000" w:rsidDel="00000000" w:rsidP="00000000" w:rsidRDefault="00000000" w:rsidRPr="00000000" w14:paraId="0000014F">
      <w:pPr>
        <w:spacing w:after="60" w:line="278.4" w:lineRule="auto"/>
        <w:rPr/>
      </w:pPr>
      <w:r w:rsidDel="00000000" w:rsidR="00000000" w:rsidRPr="00000000">
        <w:rPr>
          <w:rtl w:val="0"/>
        </w:rPr>
        <w:t xml:space="preserve">The accusation is expressed in magical language. LSJ documents medical, poisonous, and magical uses of the word family; a passage must determine which sense is appropriate. A word's connection to drugs does not establish that this passage describes a pharmacological operation. Conversely, interpreting the city figuratively does not remove the magical associations of the chosen word. Literal ritual associations and figurative political force can coexist. [PH05, PH07]</w:t>
      </w:r>
    </w:p>
    <w:p w:rsidR="00000000" w:rsidDel="00000000" w:rsidP="00000000" w:rsidRDefault="00000000" w:rsidRPr="00000000" w14:paraId="00000150">
      <w:pPr>
        <w:spacing w:after="60" w:line="278.4" w:lineRule="auto"/>
        <w:rPr/>
      </w:pPr>
      <w:r w:rsidDel="00000000" w:rsidR="00000000" w:rsidRPr="00000000">
        <w:rPr>
          <w:rtl w:val="0"/>
        </w:rPr>
      </w:r>
    </w:p>
    <w:p w:rsidR="00000000" w:rsidDel="00000000" w:rsidP="00000000" w:rsidRDefault="00000000" w:rsidRPr="00000000" w14:paraId="00000151">
      <w:pPr>
        <w:spacing w:after="60" w:line="278.4" w:lineRule="auto"/>
        <w:rPr/>
      </w:pPr>
      <w:r w:rsidDel="00000000" w:rsidR="00000000" w:rsidRPr="00000000">
        <w:rPr>
          <w:rtl w:val="0"/>
        </w:rPr>
        <w:t xml:space="preserve">The most defensible formulation is: Revelation portrays Babylon as using sorcery to lead the nations astray; its commercial and political setting supports a figurative application, while the verse alone does not settle whether particular magical practices are also intended. "Deceived" does not mean that the author specifies counterfeit stage magic. Bratcher and Hatton's translation handbook cautions against inserting "false" before "magic." [PH03, PH06, PH07]</w:t>
      </w:r>
    </w:p>
    <w:p w:rsidR="00000000" w:rsidDel="00000000" w:rsidP="00000000" w:rsidRDefault="00000000" w:rsidRPr="00000000" w14:paraId="00000152">
      <w:pPr>
        <w:spacing w:after="60" w:line="278.4" w:lineRule="auto"/>
        <w:rPr/>
      </w:pPr>
      <w:r w:rsidDel="00000000" w:rsidR="00000000" w:rsidRPr="00000000">
        <w:rPr>
          <w:rtl w:val="0"/>
        </w:rPr>
      </w:r>
    </w:p>
    <w:p w:rsidR="00000000" w:rsidDel="00000000" w:rsidP="00000000" w:rsidRDefault="00000000" w:rsidRPr="00000000" w14:paraId="00000153">
      <w:pPr>
        <w:pStyle w:val="Heading2"/>
        <w:spacing w:after="60" w:line="278.4" w:lineRule="auto"/>
        <w:rPr/>
      </w:pPr>
      <w:bookmarkStart w:colFirst="0" w:colLast="0" w:name="_xu7084sn9gk4" w:id="7"/>
      <w:bookmarkEnd w:id="7"/>
      <w:r w:rsidDel="00000000" w:rsidR="00000000" w:rsidRPr="00000000">
        <w:rPr>
          <w:rtl w:val="0"/>
        </w:rPr>
        <w:t xml:space="preserve">Connection to the existing research</w:t>
      </w:r>
    </w:p>
    <w:p w:rsidR="00000000" w:rsidDel="00000000" w:rsidP="00000000" w:rsidRDefault="00000000" w:rsidRPr="00000000" w14:paraId="00000154">
      <w:pPr>
        <w:spacing w:after="60" w:line="278.4" w:lineRule="auto"/>
        <w:rPr/>
      </w:pPr>
      <w:r w:rsidDel="00000000" w:rsidR="00000000" w:rsidRPr="00000000">
        <w:rPr>
          <w:rtl w:val="0"/>
        </w:rPr>
      </w:r>
    </w:p>
    <w:p w:rsidR="00000000" w:rsidDel="00000000" w:rsidP="00000000" w:rsidRDefault="00000000" w:rsidRPr="00000000" w14:paraId="00000155">
      <w:pPr>
        <w:spacing w:after="60" w:line="278.4" w:lineRule="auto"/>
        <w:rPr/>
      </w:pPr>
      <w:r w:rsidDel="00000000" w:rsidR="00000000" w:rsidRPr="00000000">
        <w:rPr>
          <w:rtl w:val="0"/>
        </w:rPr>
        <w:t xml:space="preserve">This comparison extends the document's existing lexical intersection with Hillman's field. It does not verify an additional claim by Hillman without an exact attributable passage and supporting evidence. Babylonia time and THE BABYLONIAN PRIESTHOOD-FUNCTION supply questions about expertise and authority; the eethnic shield supplies a framework for examining how interpretations are defended. Those project connections remain distinct from the primary Greek evidence.</w:t>
      </w:r>
    </w:p>
    <w:p w:rsidR="00000000" w:rsidDel="00000000" w:rsidP="00000000" w:rsidRDefault="00000000" w:rsidRPr="00000000" w14:paraId="00000156">
      <w:pPr>
        <w:spacing w:after="60" w:line="278.4" w:lineRule="auto"/>
        <w:rPr/>
      </w:pPr>
      <w:r w:rsidDel="00000000" w:rsidR="00000000" w:rsidRPr="00000000">
        <w:rPr>
          <w:rtl w:val="0"/>
        </w:rPr>
      </w:r>
    </w:p>
    <w:p w:rsidR="00000000" w:rsidDel="00000000" w:rsidP="00000000" w:rsidRDefault="00000000" w:rsidRPr="00000000" w14:paraId="00000157">
      <w:pPr>
        <w:spacing w:after="60" w:line="278.4" w:lineRule="auto"/>
        <w:rPr/>
      </w:pPr>
      <w:r w:rsidDel="00000000" w:rsidR="00000000" w:rsidRPr="00000000">
        <w:rPr>
          <w:rtl w:val="0"/>
        </w:rPr>
        <w:t xml:space="preserve">Isaiah's astrologers make celestial expertise a relevant comparative topic. These verses do not establish calendar administration, a named priestly office, a specific substance or dose, or organizational continuity. The Timekeeper distinction between research and symbolism, and Cosmic Time Architecture III's separation of geometry, mechanism, history, and symbolism, remain applicable. No mathematical result or historical transmission claim is upgraded by this addition.</w:t>
      </w:r>
    </w:p>
    <w:p w:rsidR="00000000" w:rsidDel="00000000" w:rsidP="00000000" w:rsidRDefault="00000000" w:rsidRPr="00000000" w14:paraId="00000158">
      <w:pPr>
        <w:spacing w:after="60" w:line="278.4" w:lineRule="auto"/>
        <w:rPr/>
      </w:pPr>
      <w:r w:rsidDel="00000000" w:rsidR="00000000" w:rsidRPr="00000000">
        <w:rPr>
          <w:rtl w:val="0"/>
        </w:rPr>
      </w:r>
    </w:p>
    <w:p w:rsidR="00000000" w:rsidDel="00000000" w:rsidP="00000000" w:rsidRDefault="00000000" w:rsidRPr="00000000" w14:paraId="00000159">
      <w:pPr>
        <w:pStyle w:val="Heading2"/>
        <w:spacing w:after="60" w:line="278.4" w:lineRule="auto"/>
        <w:rPr/>
      </w:pPr>
      <w:bookmarkStart w:colFirst="0" w:colLast="0" w:name="_wk34q3hh23z2" w:id="8"/>
      <w:bookmarkEnd w:id="8"/>
      <w:r w:rsidDel="00000000" w:rsidR="00000000" w:rsidRPr="00000000">
        <w:rPr>
          <w:rtl w:val="0"/>
        </w:rPr>
        <w:t xml:space="preserve">Sources for this supplement</w:t>
      </w:r>
    </w:p>
    <w:p w:rsidR="00000000" w:rsidDel="00000000" w:rsidP="00000000" w:rsidRDefault="00000000" w:rsidRPr="00000000" w14:paraId="0000015A">
      <w:pPr>
        <w:spacing w:after="60" w:line="278.4" w:lineRule="auto"/>
        <w:rPr/>
      </w:pPr>
      <w:r w:rsidDel="00000000" w:rsidR="00000000" w:rsidRPr="00000000">
        <w:rPr>
          <w:rtl w:val="0"/>
        </w:rPr>
      </w:r>
    </w:p>
    <w:p w:rsidR="00000000" w:rsidDel="00000000" w:rsidP="00000000" w:rsidRDefault="00000000" w:rsidRPr="00000000" w14:paraId="0000015B">
      <w:pPr>
        <w:spacing w:after="60" w:line="278.4" w:lineRule="auto"/>
        <w:rPr/>
      </w:pPr>
      <w:r w:rsidDel="00000000" w:rsidR="00000000" w:rsidRPr="00000000">
        <w:rPr>
          <w:rtl w:val="0"/>
        </w:rPr>
        <w:t xml:space="preserve">[PH01] Isaiah 47:9, 12–13, Greek Septuagint. Rahlfs text hosted by The Koine Bible, checked 15 October 2026. The German Bible Society edition was consulted earlier in this conversation; its page could not be refreshed during this update. English renderings above are our own.</w:t>
      </w:r>
    </w:p>
    <w:p w:rsidR="00000000" w:rsidDel="00000000" w:rsidP="00000000" w:rsidRDefault="00000000" w:rsidRPr="00000000" w14:paraId="0000015C">
      <w:pPr>
        <w:spacing w:after="60" w:line="278.4" w:lineRule="auto"/>
        <w:rPr/>
      </w:pPr>
      <w:r w:rsidDel="00000000" w:rsidR="00000000" w:rsidRPr="00000000">
        <w:rPr>
          <w:rtl w:val="0"/>
        </w:rPr>
        <w:t xml:space="preserve">https://www.thekoinebible.com/text/rahlfs/isaiah/47.html</w:t>
      </w:r>
    </w:p>
    <w:p w:rsidR="00000000" w:rsidDel="00000000" w:rsidP="00000000" w:rsidRDefault="00000000" w:rsidRPr="00000000" w14:paraId="0000015D">
      <w:pPr>
        <w:spacing w:after="60" w:line="278.4" w:lineRule="auto"/>
        <w:rPr/>
      </w:pPr>
      <w:r w:rsidDel="00000000" w:rsidR="00000000" w:rsidRPr="00000000">
        <w:rPr>
          <w:rtl w:val="0"/>
        </w:rPr>
        <w:t xml:space="preserve">https://www.die-bibel.de/en/bible/LXX/ISA.47</w:t>
      </w:r>
    </w:p>
    <w:p w:rsidR="00000000" w:rsidDel="00000000" w:rsidP="00000000" w:rsidRDefault="00000000" w:rsidRPr="00000000" w14:paraId="0000015E">
      <w:pPr>
        <w:spacing w:after="60" w:line="278.4" w:lineRule="auto"/>
        <w:rPr/>
      </w:pPr>
      <w:r w:rsidDel="00000000" w:rsidR="00000000" w:rsidRPr="00000000">
        <w:rPr>
          <w:rtl w:val="0"/>
        </w:rPr>
      </w:r>
    </w:p>
    <w:p w:rsidR="00000000" w:rsidDel="00000000" w:rsidP="00000000" w:rsidRDefault="00000000" w:rsidRPr="00000000" w14:paraId="0000015F">
      <w:pPr>
        <w:spacing w:after="60" w:line="278.4" w:lineRule="auto"/>
        <w:rPr/>
      </w:pPr>
      <w:r w:rsidDel="00000000" w:rsidR="00000000" w:rsidRPr="00000000">
        <w:rPr>
          <w:rtl w:val="0"/>
        </w:rPr>
        <w:t xml:space="preserve">[PH02] Nahum 3:4, 7, Septuaginta, Rahlfs–Hanhart (2006), German Bible Society. Greek text checked 15 October 2026. Primary literary evidence; an accusation is not independent confirmation of the accused city's practices.</w:t>
      </w:r>
    </w:p>
    <w:p w:rsidR="00000000" w:rsidDel="00000000" w:rsidP="00000000" w:rsidRDefault="00000000" w:rsidRPr="00000000" w14:paraId="00000160">
      <w:pPr>
        <w:spacing w:after="60" w:line="278.4" w:lineRule="auto"/>
        <w:rPr/>
      </w:pPr>
      <w:r w:rsidDel="00000000" w:rsidR="00000000" w:rsidRPr="00000000">
        <w:rPr>
          <w:rtl w:val="0"/>
        </w:rPr>
        <w:t xml:space="preserve">https://www.die-bibel.de/en/bible/LXX/NAM.3</w:t>
      </w:r>
    </w:p>
    <w:p w:rsidR="00000000" w:rsidDel="00000000" w:rsidP="00000000" w:rsidRDefault="00000000" w:rsidRPr="00000000" w14:paraId="00000161">
      <w:pPr>
        <w:spacing w:after="60" w:line="278.4" w:lineRule="auto"/>
        <w:rPr/>
      </w:pPr>
      <w:r w:rsidDel="00000000" w:rsidR="00000000" w:rsidRPr="00000000">
        <w:rPr>
          <w:rtl w:val="0"/>
        </w:rPr>
      </w:r>
    </w:p>
    <w:p w:rsidR="00000000" w:rsidDel="00000000" w:rsidP="00000000" w:rsidRDefault="00000000" w:rsidRPr="00000000" w14:paraId="00000162">
      <w:pPr>
        <w:spacing w:after="60" w:line="278.4" w:lineRule="auto"/>
        <w:rPr/>
      </w:pPr>
      <w:r w:rsidDel="00000000" w:rsidR="00000000" w:rsidRPr="00000000">
        <w:rPr>
          <w:rtl w:val="0"/>
        </w:rPr>
        <w:t xml:space="preserve">[PH03] Revelation 18:23, Greek editions and morphology displayed by Bible Hub, including Nestle 1904. Checked 15 October 2026. The quoted spelling follows Nestle 1904; no claim is made to a fresh manuscript or NA28 apparatus examination.</w:t>
      </w:r>
    </w:p>
    <w:p w:rsidR="00000000" w:rsidDel="00000000" w:rsidP="00000000" w:rsidRDefault="00000000" w:rsidRPr="00000000" w14:paraId="00000163">
      <w:pPr>
        <w:spacing w:after="60" w:line="278.4" w:lineRule="auto"/>
        <w:rPr/>
      </w:pPr>
      <w:r w:rsidDel="00000000" w:rsidR="00000000" w:rsidRPr="00000000">
        <w:rPr>
          <w:rtl w:val="0"/>
        </w:rPr>
        <w:t xml:space="preserve">https://biblehub.com/text/revelation/18-23.htm</w:t>
      </w:r>
    </w:p>
    <w:p w:rsidR="00000000" w:rsidDel="00000000" w:rsidP="00000000" w:rsidRDefault="00000000" w:rsidRPr="00000000" w14:paraId="00000164">
      <w:pPr>
        <w:spacing w:after="60" w:line="278.4" w:lineRule="auto"/>
        <w:rPr/>
      </w:pPr>
      <w:r w:rsidDel="00000000" w:rsidR="00000000" w:rsidRPr="00000000">
        <w:rPr>
          <w:rtl w:val="0"/>
        </w:rPr>
      </w:r>
    </w:p>
    <w:p w:rsidR="00000000" w:rsidDel="00000000" w:rsidP="00000000" w:rsidRDefault="00000000" w:rsidRPr="00000000" w14:paraId="00000165">
      <w:pPr>
        <w:spacing w:after="60" w:line="278.4" w:lineRule="auto"/>
        <w:rPr/>
      </w:pPr>
      <w:r w:rsidDel="00000000" w:rsidR="00000000" w:rsidRPr="00000000">
        <w:rPr>
          <w:rtl w:val="0"/>
        </w:rPr>
        <w:t xml:space="preserve">[PH04] Revelation 18:3, Greek text and morphology displayed by Bible Hub. Checked 15 October 2026. Primary literary context for nations, kings, merchants, intoxication, and luxury.</w:t>
      </w:r>
    </w:p>
    <w:p w:rsidR="00000000" w:rsidDel="00000000" w:rsidP="00000000" w:rsidRDefault="00000000" w:rsidRPr="00000000" w14:paraId="00000166">
      <w:pPr>
        <w:spacing w:after="60" w:line="278.4" w:lineRule="auto"/>
        <w:rPr/>
      </w:pPr>
      <w:r w:rsidDel="00000000" w:rsidR="00000000" w:rsidRPr="00000000">
        <w:rPr>
          <w:rtl w:val="0"/>
        </w:rPr>
        <w:t xml:space="preserve">https://biblehub.com/text/revelation/18-3.htm</w:t>
      </w:r>
    </w:p>
    <w:p w:rsidR="00000000" w:rsidDel="00000000" w:rsidP="00000000" w:rsidRDefault="00000000" w:rsidRPr="00000000" w14:paraId="00000167">
      <w:pPr>
        <w:spacing w:after="60" w:line="278.4" w:lineRule="auto"/>
        <w:rPr/>
      </w:pPr>
      <w:r w:rsidDel="00000000" w:rsidR="00000000" w:rsidRPr="00000000">
        <w:rPr>
          <w:rtl w:val="0"/>
        </w:rPr>
      </w:r>
    </w:p>
    <w:p w:rsidR="00000000" w:rsidDel="00000000" w:rsidP="00000000" w:rsidRDefault="00000000" w:rsidRPr="00000000" w14:paraId="00000168">
      <w:pPr>
        <w:spacing w:after="60" w:line="278.4" w:lineRule="auto"/>
        <w:rPr/>
      </w:pPr>
      <w:r w:rsidDel="00000000" w:rsidR="00000000" w:rsidRPr="00000000">
        <w:rPr>
          <w:rtl w:val="0"/>
        </w:rPr>
        <w:t xml:space="preserve">[PH05] Liddell–Scott–Jones, φαρμακεία, Scaife ATLAS/Perseus. Lexical entry and ancient citations checked 15 October 2026; contextual sense must be distinguished from the entry's full range.</w:t>
      </w:r>
    </w:p>
    <w:p w:rsidR="00000000" w:rsidDel="00000000" w:rsidP="00000000" w:rsidRDefault="00000000" w:rsidRPr="00000000" w14:paraId="00000169">
      <w:pPr>
        <w:spacing w:after="60" w:line="278.4" w:lineRule="auto"/>
        <w:rPr/>
      </w:pPr>
      <w:r w:rsidDel="00000000" w:rsidR="00000000" w:rsidRPr="00000000">
        <w:rPr>
          <w:rtl w:val="0"/>
        </w:rPr>
        <w:t xml:space="preserve">https://atlas.perseus.tufts.edu/dictionaries/entry/urn:cite2:scaife-viewer:dictionaries.v1:lsj-n110318/</w:t>
      </w:r>
    </w:p>
    <w:p w:rsidR="00000000" w:rsidDel="00000000" w:rsidP="00000000" w:rsidRDefault="00000000" w:rsidRPr="00000000" w14:paraId="0000016A">
      <w:pPr>
        <w:spacing w:after="60" w:line="278.4" w:lineRule="auto"/>
        <w:rPr/>
      </w:pPr>
      <w:r w:rsidDel="00000000" w:rsidR="00000000" w:rsidRPr="00000000">
        <w:rPr>
          <w:rtl w:val="0"/>
        </w:rPr>
      </w:r>
    </w:p>
    <w:p w:rsidR="00000000" w:rsidDel="00000000" w:rsidP="00000000" w:rsidRDefault="00000000" w:rsidRPr="00000000" w14:paraId="0000016B">
      <w:pPr>
        <w:spacing w:after="60" w:line="278.4" w:lineRule="auto"/>
        <w:rPr/>
      </w:pPr>
      <w:r w:rsidDel="00000000" w:rsidR="00000000" w:rsidRPr="00000000">
        <w:rPr>
          <w:rtl w:val="0"/>
        </w:rPr>
        <w:t xml:space="preserve">[PH06] Robert G. Bratcher and Howard A. Hatton, A Handbook on The Revelation to John (UBS, 1993), commentary on 18:23, reproduced with permission by TIPs. Checked 15 October 2026. Translator commentary, not an independent ancient witness.</w:t>
      </w:r>
    </w:p>
    <w:p w:rsidR="00000000" w:rsidDel="00000000" w:rsidP="00000000" w:rsidRDefault="00000000" w:rsidRPr="00000000" w14:paraId="0000016C">
      <w:pPr>
        <w:spacing w:after="60" w:line="278.4" w:lineRule="auto"/>
        <w:rPr/>
      </w:pPr>
      <w:r w:rsidDel="00000000" w:rsidR="00000000" w:rsidRPr="00000000">
        <w:rPr>
          <w:rtl w:val="0"/>
        </w:rPr>
        <w:t xml:space="preserve">https://tips.translation.bible/story/translation-commentary-on-revelation-1823/</w:t>
      </w:r>
    </w:p>
    <w:p w:rsidR="00000000" w:rsidDel="00000000" w:rsidP="00000000" w:rsidRDefault="00000000" w:rsidRPr="00000000" w14:paraId="0000016D">
      <w:pPr>
        <w:spacing w:after="60" w:line="278.4" w:lineRule="auto"/>
        <w:rPr/>
      </w:pPr>
      <w:r w:rsidDel="00000000" w:rsidR="00000000" w:rsidRPr="00000000">
        <w:rPr>
          <w:rtl w:val="0"/>
        </w:rPr>
      </w:r>
    </w:p>
    <w:p w:rsidR="00000000" w:rsidDel="00000000" w:rsidP="00000000" w:rsidRDefault="00000000" w:rsidRPr="00000000" w14:paraId="0000016E">
      <w:pPr>
        <w:spacing w:after="60" w:line="278.4" w:lineRule="auto"/>
        <w:rPr/>
      </w:pPr>
      <w:r w:rsidDel="00000000" w:rsidR="00000000" w:rsidRPr="00000000">
        <w:rPr>
          <w:rtl w:val="0"/>
        </w:rPr>
        <w:t xml:space="preserve">[PH07] Wiriya Tipvarakankoon, The Theme of Deception in the Book of Revelation (Claremont Press, 2017), printed pp. 207–210. Relevant discussion inspected in the publisher-hosted PDF, 15 October 2026. Other commentators' positions are known here through this study, not represented as independently inspected editions.</w:t>
      </w:r>
    </w:p>
    <w:p w:rsidR="00000000" w:rsidDel="00000000" w:rsidP="00000000" w:rsidRDefault="00000000" w:rsidRPr="00000000" w14:paraId="0000016F">
      <w:pPr>
        <w:spacing w:after="60" w:line="278.4" w:lineRule="auto"/>
        <w:rPr/>
      </w:pPr>
      <w:r w:rsidDel="00000000" w:rsidR="00000000" w:rsidRPr="00000000">
        <w:rPr>
          <w:rtl w:val="0"/>
        </w:rPr>
        <w:t xml:space="preserve">https://www.claremontpress.com/uploads/3/4/8/4/34846481/the_theme_of_decepticsp_proof110317.pdf#page=111</w:t>
      </w:r>
    </w:p>
    <w:p w:rsidR="00000000" w:rsidDel="00000000" w:rsidP="00000000" w:rsidRDefault="00000000" w:rsidRPr="00000000" w14:paraId="00000170">
      <w:pPr>
        <w:spacing w:after="60" w:line="278.4" w:lineRule="auto"/>
        <w:rPr/>
      </w:pPr>
      <w:r w:rsidDel="00000000" w:rsidR="00000000" w:rsidRPr="00000000">
        <w:rPr>
          <w:rtl w:val="0"/>
        </w:rPr>
      </w:r>
    </w:p>
    <w:sectPr>
      <w:headerReference r:id="rId216" w:type="default"/>
      <w:footerReference r:id="rId217" w:type="default"/>
      <w:pgSz w:h="15840" w:w="12240" w:orient="portrait"/>
      <w:pgMar w:bottom="1008" w:top="1008" w:left="1080" w:right="1080"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HILLMAN  •  EPIPHANIUS  •  TIMEKEEPER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80" w:before="340" w:lineRule="auto"/>
    </w:pPr>
    <w:rPr>
      <w:rFonts w:ascii="Arial" w:cs="Arial" w:eastAsia="Arial" w:hAnsi="Arial"/>
      <w:b w:val="1"/>
      <w:bCs w:val="1"/>
      <w:color w:val="000000"/>
      <w:sz w:val="44"/>
      <w:szCs w:val="44"/>
    </w:rPr>
  </w:style>
  <w:style w:type="paragraph" w:styleId="Heading2">
    <w:name w:val="heading 2"/>
    <w:basedOn w:val="Normal"/>
    <w:next w:val="Normal"/>
    <w:pPr>
      <w:keepNext w:val="1"/>
      <w:keepLines w:val="1"/>
      <w:widowControl w:val="1"/>
      <w:spacing w:after="180" w:before="34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widowControl w:val="1"/>
      <w:spacing w:after="180" w:before="34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widowControl w:val="1"/>
      <w:spacing w:after="180" w:before="0" w:line="240" w:lineRule="auto"/>
    </w:pPr>
    <w:rPr>
      <w:rFonts w:ascii="Arial" w:cs="Arial" w:eastAsia="Arial" w:hAnsi="Arial"/>
      <w:color w:val="000000"/>
      <w:sz w:val="60"/>
      <w:szCs w:val="60"/>
    </w:rPr>
  </w:style>
  <w:style w:type="paragraph" w:styleId="Subtitle">
    <w:name w:val="Subtitle"/>
    <w:basedOn w:val="Normal"/>
    <w:next w:val="Normal"/>
    <w:pPr>
      <w:keepNext w:val="1"/>
      <w:widowControl w:val="1"/>
      <w:spacing w:after="180" w:before="0" w:lineRule="auto"/>
    </w:pPr>
    <w:rPr>
      <w:rFonts w:ascii="Arial" w:cs="Arial" w:eastAsia="Arial" w:hAnsi="Arial"/>
      <w:i w:val="1"/>
      <w:iCs w:val="1"/>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J1g9cS7ZFRmk8YRTb36pNgRt2QUxjFDgzQjdl8gfRdY/edit" TargetMode="External"/><Relationship Id="rId190" Type="http://schemas.openxmlformats.org/officeDocument/2006/relationships/hyperlink" Target="https://cojs.org/Pharisees-_Lawrence_H-_Schiffman-_Reclaiming_the_Dead_Sea_Scrolls-_Jewish_Publication_Society-_Philadelphia-_1994/" TargetMode="External"/><Relationship Id="rId42" Type="http://schemas.openxmlformats.org/officeDocument/2006/relationships/hyperlink" Target="https://wellcomecollection.org/works/p7fatzhh" TargetMode="External"/><Relationship Id="rId41" Type="http://schemas.openxmlformats.org/officeDocument/2006/relationships/hyperlink" Target="https://us.macmillan.com/author/dcahillman" TargetMode="External"/><Relationship Id="rId44" Type="http://schemas.openxmlformats.org/officeDocument/2006/relationships/hyperlink" Target="https://us.macmillan.com/books/9781466882294/thechemicalmuse/" TargetMode="External"/><Relationship Id="rId194" Type="http://schemas.openxmlformats.org/officeDocument/2006/relationships/hyperlink" Target="https://www.iranicaonline.org/articles/magi/" TargetMode="External"/><Relationship Id="rId43" Type="http://schemas.openxmlformats.org/officeDocument/2006/relationships/hyperlink" Target="https://pubmed.ncbi.nlm.nih.gov/11837275/" TargetMode="External"/><Relationship Id="rId193" Type="http://schemas.openxmlformats.org/officeDocument/2006/relationships/hyperlink" Target="https://www.biblegateway.com/resources/encyclopedia-of-the-bible/Pharisees" TargetMode="External"/><Relationship Id="rId46" Type="http://schemas.openxmlformats.org/officeDocument/2006/relationships/hyperlink" Target="https://books.google.com/books/about/Hermaphrodites_Gynomorphs_and_Jesus.html?id=0aLoBAAAQBAJ" TargetMode="External"/><Relationship Id="rId192" Type="http://schemas.openxmlformats.org/officeDocument/2006/relationships/hyperlink" Target="https://www.biblegateway.com/resources/encyclopedia-of-the-bible/Pharisees" TargetMode="External"/><Relationship Id="rId45" Type="http://schemas.openxmlformats.org/officeDocument/2006/relationships/hyperlink" Target="https://www.roninpub.com/orisin.html" TargetMode="External"/><Relationship Id="rId191" Type="http://schemas.openxmlformats.org/officeDocument/2006/relationships/hyperlink" Target="https://cojs.org/Pharisees-_Lawrence_H-_Schiffman-_Reclaiming_the_Dead_Sea_Scrolls-_Jewish_Publication_Society-_Philadelphia-_1994/" TargetMode="External"/><Relationship Id="rId48" Type="http://schemas.openxmlformats.org/officeDocument/2006/relationships/hyperlink" Target="https://www.uh.edu/~cldue/texts/demeter.html" TargetMode="External"/><Relationship Id="rId187" Type="http://schemas.openxmlformats.org/officeDocument/2006/relationships/hyperlink" Target="https://cal.huc.edu/cal_entry_web.php?lemma=pry%24+A" TargetMode="External"/><Relationship Id="rId47" Type="http://schemas.openxmlformats.org/officeDocument/2006/relationships/hyperlink" Target="https://www.perseus.tufts.edu/hopper/text?doc=Perseus%3Atext%3A1999.01.0136%3Abook%3D4%3Acard%3D219" TargetMode="External"/><Relationship Id="rId186" Type="http://schemas.openxmlformats.org/officeDocument/2006/relationships/hyperlink" Target="https://cal.huc.edu/cal_entry_web.php?lemma=pry%24+A" TargetMode="External"/><Relationship Id="rId185" Type="http://schemas.openxmlformats.org/officeDocument/2006/relationships/hyperlink" Target="https://atlas.perseus.tufts.edu/dictionaries/entry/urn:cite2:scaife-viewer:dictionaries.v1:lsj-n114725/" TargetMode="External"/><Relationship Id="rId49" Type="http://schemas.openxmlformats.org/officeDocument/2006/relationships/hyperlink" Target="https://doi.org/10.1080/03344355.2020.1732046" TargetMode="External"/><Relationship Id="rId184" Type="http://schemas.openxmlformats.org/officeDocument/2006/relationships/hyperlink" Target="https://atlas.perseus.tufts.edu/dictionaries/entry/urn:cite2:scaife-viewer:dictionaries.v1:lsj-n114725/" TargetMode="External"/><Relationship Id="rId189" Type="http://schemas.openxmlformats.org/officeDocument/2006/relationships/hyperlink" Target="https://cal.huc.edu/cal_entry_web.php?lemma=prsy+A" TargetMode="External"/><Relationship Id="rId188" Type="http://schemas.openxmlformats.org/officeDocument/2006/relationships/hyperlink" Target="https://cal.huc.edu/cal_entry_web.php?lemma=prsy+A" TargetMode="External"/><Relationship Id="rId31" Type="http://schemas.openxmlformats.org/officeDocument/2006/relationships/hyperlink" Target="https://www.cambridge.org/core/journals/harvard-theological-review/article/subject-peoples-and-civilizational-priority-competition-among-babylonians-egyptians-and-judeans-in-the-hellenistic-era/B38B6F0483FD5484C7A62E4A35C643A9" TargetMode="External"/><Relationship Id="rId30" Type="http://schemas.openxmlformats.org/officeDocument/2006/relationships/hyperlink" Target="https://docs.google.com/document/d/19YRoWokbYqlQQexu_eXXx2nookOqg26LQsl7AScD3tM/edit" TargetMode="External"/><Relationship Id="rId33" Type="http://schemas.openxmlformats.org/officeDocument/2006/relationships/hyperlink" Target="https://archive.nyu.edu/bitstream/2451/63368/2/Jones%20and%20Steele%202018%20Diodorus%20on%20the%20Chaldeans.pdf" TargetMode="External"/><Relationship Id="rId183" Type="http://schemas.openxmlformats.org/officeDocument/2006/relationships/hyperlink" Target="https://atlas.perseus.tufts.edu/dictionaries/entry/urn:cite2:scaife-viewer:dictionaries.v1:lsj-n110318/" TargetMode="External"/><Relationship Id="rId32" Type="http://schemas.openxmlformats.org/officeDocument/2006/relationships/hyperlink" Target="https://www.cambridge.org/core/books/abs/defining-magic/pliny-the-elder/E9952F7E19375E8F5FCD8BB776A55153" TargetMode="External"/><Relationship Id="rId182" Type="http://schemas.openxmlformats.org/officeDocument/2006/relationships/hyperlink" Target="https://atlas.perseus.tufts.edu/dictionaries/entry/urn:cite2:scaife-viewer:dictionaries.v1:lsj-n110318/" TargetMode="External"/><Relationship Id="rId35" Type="http://schemas.openxmlformats.org/officeDocument/2006/relationships/hyperlink" Target="https://www.coptic-magic.phil.uni-wuerzburg.de/index.php/manuscript/kyp-m161/" TargetMode="External"/><Relationship Id="rId181" Type="http://schemas.openxmlformats.org/officeDocument/2006/relationships/hyperlink" Target="https://atlas.perseus.tufts.edu/dictionaries/entry/urn:cite2:scaife-viewer:dictionaries.v1:lsj-n110341/" TargetMode="External"/><Relationship Id="rId34" Type="http://schemas.openxmlformats.org/officeDocument/2006/relationships/hyperlink" Target="https://www.iranicaonline.org/articles/zoroaster-iv-as-perceived-by-the-greeks/" TargetMode="External"/><Relationship Id="rId180" Type="http://schemas.openxmlformats.org/officeDocument/2006/relationships/hyperlink" Target="https://atlas.perseus.tufts.edu/dictionaries/entry/urn:cite2:scaife-viewer:dictionaries.v1:lsj-n110341/" TargetMode="External"/><Relationship Id="rId37" Type="http://schemas.openxmlformats.org/officeDocument/2006/relationships/hyperlink" Target="https://journals.sagepub.com/doi/10.1177/09518207231152828" TargetMode="External"/><Relationship Id="rId176" Type="http://schemas.openxmlformats.org/officeDocument/2006/relationships/hyperlink" Target="https://czasopisma.kul.pl/index.php/ba/article/download/17380/16340/105499" TargetMode="External"/><Relationship Id="rId36" Type="http://schemas.openxmlformats.org/officeDocument/2006/relationships/hyperlink" Target="https://cswr.hds.harvard.edu/news/2026/07/08/eighth-book-moses-pgm-xiii" TargetMode="External"/><Relationship Id="rId175" Type="http://schemas.openxmlformats.org/officeDocument/2006/relationships/hyperlink" Target="https://doi.org/10.1163/15685179-bja10056" TargetMode="External"/><Relationship Id="rId39" Type="http://schemas.openxmlformats.org/officeDocument/2006/relationships/hyperlink" Target="https://www.iranicaonline.org/articles/zoroaster-iv-as-perceived-by-the-greeks/" TargetMode="External"/><Relationship Id="rId174" Type="http://schemas.openxmlformats.org/officeDocument/2006/relationships/hyperlink" Target="https://doi.org/10.1163/15685179-bja10056" TargetMode="External"/><Relationship Id="rId38" Type="http://schemas.openxmlformats.org/officeDocument/2006/relationships/hyperlink" Target="https://en.wikisource.org/wiki/Page:Life_of_plotinus_by_porphyry.pdf/15" TargetMode="External"/><Relationship Id="rId173" Type="http://schemas.openxmlformats.org/officeDocument/2006/relationships/hyperlink" Target="https://doi.org/10.1163/9789004444799_004" TargetMode="External"/><Relationship Id="rId179" Type="http://schemas.openxmlformats.org/officeDocument/2006/relationships/hyperlink" Target="https://www.cambridge.org/core/journals/harvard-theological-review/article/subject-peoples-and-civilizational-priority-competition-among-babylonians-egyptians-and-judeans-in-the-hellenistic-era/B38B6F0483FD5484C7A62E4A35C643A9" TargetMode="External"/><Relationship Id="rId178" Type="http://schemas.openxmlformats.org/officeDocument/2006/relationships/hyperlink" Target="https://www.cambridge.org/core/journals/harvard-theological-review/article/subject-peoples-and-civilizational-priority-competition-among-babylonians-egyptians-and-judeans-in-the-hellenistic-era/B38B6F0483FD5484C7A62E4A35C643A9" TargetMode="External"/><Relationship Id="rId177" Type="http://schemas.openxmlformats.org/officeDocument/2006/relationships/hyperlink" Target="https://czasopisma.kul.pl/index.php/ba/article/download/17380/16340/105499" TargetMode="External"/><Relationship Id="rId20" Type="http://schemas.openxmlformats.org/officeDocument/2006/relationships/hyperlink" Target="https://docs.google.com/document/d/19YRoWokbYqlQQexu_eXXx2nookOqg26LQsl7AScD3tM/edit" TargetMode="External"/><Relationship Id="rId22" Type="http://schemas.openxmlformats.org/officeDocument/2006/relationships/hyperlink" Target="https://doi.org/10.1163/9789004444799_004" TargetMode="External"/><Relationship Id="rId21" Type="http://schemas.openxmlformats.org/officeDocument/2006/relationships/hyperlink" Target="https://doi.org/10.1163/9789004444799_004" TargetMode="External"/><Relationship Id="rId24" Type="http://schemas.openxmlformats.org/officeDocument/2006/relationships/hyperlink" Target="https://www.cambridge.org/core/journals/iraq/article/abs/secrets-in-the-library-protected-knowledge-and-professional-identity-in-late-babylonian-uruk1/174E29531B6978AA8BAF6BFCAD3780AD" TargetMode="External"/><Relationship Id="rId23" Type="http://schemas.openxmlformats.org/officeDocument/2006/relationships/hyperlink" Target="https://www.journals.uchicago.edu/doi/full/10.1086/692135" TargetMode="External"/><Relationship Id="rId26" Type="http://schemas.openxmlformats.org/officeDocument/2006/relationships/hyperlink" Target="https://czasopisma.kul.pl/index.php/ba/article/download/17380/16340/105499" TargetMode="External"/><Relationship Id="rId25" Type="http://schemas.openxmlformats.org/officeDocument/2006/relationships/hyperlink" Target="https://doi.org/10.1163/15685179-bja10056" TargetMode="External"/><Relationship Id="rId28" Type="http://schemas.openxmlformats.org/officeDocument/2006/relationships/hyperlink" Target="https://czasopisma.kul.pl/index.php/ba/article/download/17380/16340/105499" TargetMode="External"/><Relationship Id="rId27" Type="http://schemas.openxmlformats.org/officeDocument/2006/relationships/hyperlink" Target="https://doi.org/10.1163/15685179-bja10056" TargetMode="External"/><Relationship Id="rId29" Type="http://schemas.openxmlformats.org/officeDocument/2006/relationships/hyperlink" Target="https://www.researchgate.net/publication/337968615_Judean_Merchants_in_Babylonia" TargetMode="External"/><Relationship Id="rId11" Type="http://schemas.openxmlformats.org/officeDocument/2006/relationships/hyperlink" Target="https://doi.org/10.1163/9789004444799_004" TargetMode="External"/><Relationship Id="rId10" Type="http://schemas.openxmlformats.org/officeDocument/2006/relationships/hyperlink" Target="https://doi.org/10.1163/9789004444799_004" TargetMode="External"/><Relationship Id="rId13" Type="http://schemas.openxmlformats.org/officeDocument/2006/relationships/hyperlink" Target="https://wojtek.pp.org.pl/pliki/notki/2014-10-26_ojcowie-apostolscy/ojcowie-kosciola-rzymscy/Epifaniusz%20z%20Salaminy%20-%20Panarion%20herezje.pdf#page=135" TargetMode="External"/><Relationship Id="rId12" Type="http://schemas.openxmlformats.org/officeDocument/2006/relationships/hyperlink" Target="https://wojtek.pp.org.pl/pliki/notki/2014-10-26_ojcowie-apostolscy/ojcowie-kosciola-rzymscy/Epifaniusz%20z%20Salaminy%20-%20Panarion%20herezje.pdf#page=135" TargetMode="External"/><Relationship Id="rId15" Type="http://schemas.openxmlformats.org/officeDocument/2006/relationships/hyperlink" Target="https://www.newadvent.org/fathers/0103124.htm" TargetMode="External"/><Relationship Id="rId198" Type="http://schemas.openxmlformats.org/officeDocument/2006/relationships/hyperlink" Target="https://www.iranicaonline.org/articles/zurvanism/" TargetMode="External"/><Relationship Id="rId14" Type="http://schemas.openxmlformats.org/officeDocument/2006/relationships/hyperlink" Target="https://www.newadvent.org/fathers/0103124.htm" TargetMode="External"/><Relationship Id="rId197" Type="http://schemas.openxmlformats.org/officeDocument/2006/relationships/hyperlink" Target="https://www.iranicaonline.org/articles/zurvan-deity/" TargetMode="External"/><Relationship Id="rId17" Type="http://schemas.openxmlformats.org/officeDocument/2006/relationships/hyperlink" Target="https://wojtek.pp.org.pl/pliki/notki/2014-10-26_ojcowie-apostolscy/ojcowie-kosciola-rzymscy/Epifaniusz%20z%20Salaminy%20-%20Panarion%20herezje.pdf#page=141" TargetMode="External"/><Relationship Id="rId196" Type="http://schemas.openxmlformats.org/officeDocument/2006/relationships/hyperlink" Target="https://www.iranicaonline.org/articles/zurvan-deity/" TargetMode="External"/><Relationship Id="rId16" Type="http://schemas.openxmlformats.org/officeDocument/2006/relationships/hyperlink" Target="https://wojtek.pp.org.pl/pliki/notki/2014-10-26_ojcowie-apostolscy/ojcowie-kosciola-rzymscy/Epifaniusz%20z%20Salaminy%20-%20Panarion%20herezje.pdf#page=141" TargetMode="External"/><Relationship Id="rId195" Type="http://schemas.openxmlformats.org/officeDocument/2006/relationships/hyperlink" Target="https://www.iranicaonline.org/articles/magi/" TargetMode="External"/><Relationship Id="rId19" Type="http://schemas.openxmlformats.org/officeDocument/2006/relationships/hyperlink" Target="https://docs.google.com/document/d/1J1g9cS7ZFRmk8YRTb36pNgRt2QUxjFDgzQjdl8gfRdY/edit" TargetMode="External"/><Relationship Id="rId18" Type="http://schemas.openxmlformats.org/officeDocument/2006/relationships/hyperlink" Target="https://docs.google.com/document/d/1J1g9cS7ZFRmk8YRTb36pNgRt2QUxjFDgzQjdl8gfRdY/edit" TargetMode="External"/><Relationship Id="rId199" Type="http://schemas.openxmlformats.org/officeDocument/2006/relationships/hyperlink" Target="https://www.iranicaonline.org/articles/zurvanism/" TargetMode="External"/><Relationship Id="rId84" Type="http://schemas.openxmlformats.org/officeDocument/2006/relationships/hyperlink" Target="https://docs.google.com/document/d/1IiRgKii91qsgFY75MZBmX62jjDcYulJZYGQuLRsxQmM/edit" TargetMode="External"/><Relationship Id="rId83" Type="http://schemas.openxmlformats.org/officeDocument/2006/relationships/hyperlink" Target="https://www.iranicaonline.org/articles/dualism/" TargetMode="External"/><Relationship Id="rId86" Type="http://schemas.openxmlformats.org/officeDocument/2006/relationships/hyperlink" Target="https://www.iranicaonline.org/articles/dualism/" TargetMode="External"/><Relationship Id="rId85" Type="http://schemas.openxmlformats.org/officeDocument/2006/relationships/hyperlink" Target="https://www.iranicaonline.org/articles/zurvanism/" TargetMode="External"/><Relationship Id="rId88" Type="http://schemas.openxmlformats.org/officeDocument/2006/relationships/hyperlink" Target="https://cal.huc.edu/cal_entry_web.php?lemma=pry%24+A" TargetMode="External"/><Relationship Id="rId150" Type="http://schemas.openxmlformats.org/officeDocument/2006/relationships/hyperlink" Target="https://classics.mit.edu/Hippocrates/sacred.html" TargetMode="External"/><Relationship Id="rId87" Type="http://schemas.openxmlformats.org/officeDocument/2006/relationships/hyperlink" Target="https://www.iranicaonline.org/articles/atas-fire/" TargetMode="External"/><Relationship Id="rId89" Type="http://schemas.openxmlformats.org/officeDocument/2006/relationships/hyperlink" Target="https://cal.huc.edu/cal_entry_web.php?lemma=prsy+A" TargetMode="External"/><Relationship Id="rId80" Type="http://schemas.openxmlformats.org/officeDocument/2006/relationships/hyperlink" Target="https://docs.google.com/document/d/1IiRgKii91qsgFY75MZBmX62jjDcYulJZYGQuLRsxQmM/edit" TargetMode="External"/><Relationship Id="rId82" Type="http://schemas.openxmlformats.org/officeDocument/2006/relationships/hyperlink" Target="https://www.iranicaonline.org/articles/zurvanism/" TargetMode="External"/><Relationship Id="rId81" Type="http://schemas.openxmlformats.org/officeDocument/2006/relationships/hyperlink" Target="https://www.iranicaonline.org/articles/zurvan-de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h.edu/~cldue/texts/demeter.html" TargetMode="External"/><Relationship Id="rId4" Type="http://schemas.openxmlformats.org/officeDocument/2006/relationships/numbering" Target="numbering.xml"/><Relationship Id="rId148" Type="http://schemas.openxmlformats.org/officeDocument/2006/relationships/hyperlink" Target="https://www.uh.edu/~cldue/texts/demeter.html" TargetMode="External"/><Relationship Id="rId9" Type="http://schemas.openxmlformats.org/officeDocument/2006/relationships/image" Target="media/image3.png"/><Relationship Id="rId143" Type="http://schemas.openxmlformats.org/officeDocument/2006/relationships/hyperlink" Target="https://www.roninpub.com/orisin.html" TargetMode="External"/><Relationship Id="rId142" Type="http://schemas.openxmlformats.org/officeDocument/2006/relationships/hyperlink" Target="https://www.roninpub.com/orisin.html" TargetMode="External"/><Relationship Id="rId141" Type="http://schemas.openxmlformats.org/officeDocument/2006/relationships/hyperlink" Target="https://bmcr.brynmawr.edu/2008/2008.12.29/" TargetMode="External"/><Relationship Id="rId140" Type="http://schemas.openxmlformats.org/officeDocument/2006/relationships/hyperlink" Target="https://bmcr.brynmawr.edu/2008/2008.12.29/" TargetMode="External"/><Relationship Id="rId5" Type="http://schemas.openxmlformats.org/officeDocument/2006/relationships/styles" Target="styles.xml"/><Relationship Id="rId147" Type="http://schemas.openxmlformats.org/officeDocument/2006/relationships/hyperlink" Target="https://www.perseus.tufts.edu/hopper/text?doc=Perseus%3Atext%3A1999.01.0136%3Abook%3D4%3Acard%3D219" TargetMode="External"/><Relationship Id="rId6" Type="http://schemas.openxmlformats.org/officeDocument/2006/relationships/hyperlink" Target="https://docs.google.com/document/d/1J1g9cS7ZFRmk8YRTb36pNgRt2QUxjFDgzQjdl8gfRdY/edit" TargetMode="External"/><Relationship Id="rId146" Type="http://schemas.openxmlformats.org/officeDocument/2006/relationships/hyperlink" Target="https://www.perseus.tufts.edu/hopper/text?doc=Perseus%3Atext%3A1999.01.0136%3Abook%3D4%3Acard%3D219" TargetMode="External"/><Relationship Id="rId7" Type="http://schemas.openxmlformats.org/officeDocument/2006/relationships/hyperlink" Target="https://docs.google.com/document/d/1J1g9cS7ZFRmk8YRTb36pNgRt2QUxjFDgzQjdl8gfRdY/edit" TargetMode="External"/><Relationship Id="rId145" Type="http://schemas.openxmlformats.org/officeDocument/2006/relationships/hyperlink" Target="https://books.google.com/books/about/Hermaphrodites_Gynomorphs_and_Jesus.html?id=0aLoBAAAQBAJ" TargetMode="External"/><Relationship Id="rId8" Type="http://schemas.openxmlformats.org/officeDocument/2006/relationships/hyperlink" Target="https://docs.google.com/document/d/19YRoWokbYqlQQexu_eXXx2nookOqg26LQsl7AScD3tM/edit" TargetMode="External"/><Relationship Id="rId144" Type="http://schemas.openxmlformats.org/officeDocument/2006/relationships/hyperlink" Target="https://books.google.com/books/about/Hermaphrodites_Gynomorphs_and_Jesus.html?id=0aLoBAAAQBAJ" TargetMode="External"/><Relationship Id="rId73" Type="http://schemas.openxmlformats.org/officeDocument/2006/relationships/hyperlink" Target="https://forbiddengospels.blogspot.com/2010/06/is-marriage-salvation.html?m=0" TargetMode="External"/><Relationship Id="rId72" Type="http://schemas.openxmlformats.org/officeDocument/2006/relationships/hyperlink" Target="https://gnosis.study/library/%D0%9A%D1%80%D0%B8%D1%82%D0%B8%D0%BA%D0%B0/ENG/Epiphanius%20of%20Salamis%20-%20The%20Panarion,%20Book%20I%20(Sects%201-46).pdf#page=14" TargetMode="External"/><Relationship Id="rId75" Type="http://schemas.openxmlformats.org/officeDocument/2006/relationships/image" Target="media/image1.png"/><Relationship Id="rId74" Type="http://schemas.openxmlformats.org/officeDocument/2006/relationships/hyperlink" Target="https://wojtek.pp.org.pl/pliki/notki/2014-10-26_ojcowie-apostolscy/ojcowie-kosciola-rzymscy/Epifaniusz%20z%20Salaminy%20-%20Panarion%20herezje.pdf#page=144" TargetMode="External"/><Relationship Id="rId77" Type="http://schemas.openxmlformats.org/officeDocument/2006/relationships/hyperlink" Target="https://docs.google.com/document/d/1J1g9cS7ZFRmk8YRTb36pNgRt2QUxjFDgzQjdl8gfRdY/edit" TargetMode="External"/><Relationship Id="rId76" Type="http://schemas.openxmlformats.org/officeDocument/2006/relationships/hyperlink" Target="https://classics.mit.edu/Hippocrates/sacred.html" TargetMode="External"/><Relationship Id="rId79" Type="http://schemas.openxmlformats.org/officeDocument/2006/relationships/hyperlink" Target="https://classics.mit.edu/Plato/phaedrus.html" TargetMode="External"/><Relationship Id="rId78" Type="http://schemas.openxmlformats.org/officeDocument/2006/relationships/hyperlink" Target="https://classics.mit.edu/Hippocrates/sacred.html" TargetMode="External"/><Relationship Id="rId71" Type="http://schemas.openxmlformats.org/officeDocument/2006/relationships/hyperlink" Target="https://docs.google.com/document/d/1J1g9cS7ZFRmk8YRTb36pNgRt2QUxjFDgzQjdl8gfRdY/edit" TargetMode="External"/><Relationship Id="rId70" Type="http://schemas.openxmlformats.org/officeDocument/2006/relationships/hyperlink" Target="https://docs.google.com/document/d/1J1g9cS7ZFRmk8YRTb36pNgRt2QUxjFDgzQjdl8gfRdY/edit" TargetMode="External"/><Relationship Id="rId139" Type="http://schemas.openxmlformats.org/officeDocument/2006/relationships/hyperlink" Target="https://us.macmillan.com/books/9781466882294/thechemicalmuse/" TargetMode="External"/><Relationship Id="rId138" Type="http://schemas.openxmlformats.org/officeDocument/2006/relationships/hyperlink" Target="https://us.macmillan.com/books/9781466882294/thechemicalmuse/" TargetMode="External"/><Relationship Id="rId137" Type="http://schemas.openxmlformats.org/officeDocument/2006/relationships/hyperlink" Target="https://pubmed.ncbi.nlm.nih.gov/11837275/" TargetMode="External"/><Relationship Id="rId132" Type="http://schemas.openxmlformats.org/officeDocument/2006/relationships/hyperlink" Target="https://us.macmillan.com/author/dcahillman" TargetMode="External"/><Relationship Id="rId131" Type="http://schemas.openxmlformats.org/officeDocument/2006/relationships/hyperlink" Target="https://docs.google.com/document/d/1IiRgKii91qsgFY75MZBmX62jjDcYulJZYGQuLRsxQmM/edit" TargetMode="External"/><Relationship Id="rId130" Type="http://schemas.openxmlformats.org/officeDocument/2006/relationships/hyperlink" Target="https://docs.google.com/document/d/1IiRgKii91qsgFY75MZBmX62jjDcYulJZYGQuLRsxQmM/edit" TargetMode="External"/><Relationship Id="rId136" Type="http://schemas.openxmlformats.org/officeDocument/2006/relationships/hyperlink" Target="https://pubmed.ncbi.nlm.nih.gov/11837275/" TargetMode="External"/><Relationship Id="rId135" Type="http://schemas.openxmlformats.org/officeDocument/2006/relationships/hyperlink" Target="https://wellcomecollection.org/works/p7fatzhh" TargetMode="External"/><Relationship Id="rId134" Type="http://schemas.openxmlformats.org/officeDocument/2006/relationships/hyperlink" Target="https://wellcomecollection.org/works/p7fatzhh" TargetMode="External"/><Relationship Id="rId133" Type="http://schemas.openxmlformats.org/officeDocument/2006/relationships/hyperlink" Target="https://us.macmillan.com/author/dcahillman" TargetMode="External"/><Relationship Id="rId62" Type="http://schemas.openxmlformats.org/officeDocument/2006/relationships/hyperlink" Target="https://www.rexresearch1.com/DeadSeaScrolls/ApocryphonJohnSynopsisWaldstein.pdf" TargetMode="External"/><Relationship Id="rId61" Type="http://schemas.openxmlformats.org/officeDocument/2006/relationships/hyperlink" Target="https://www.newadvent.org/fathers/0103124.htm" TargetMode="External"/><Relationship Id="rId64" Type="http://schemas.openxmlformats.org/officeDocument/2006/relationships/hyperlink" Target="https://sacred-texts.com/book/pistis-sophia/chapter-147" TargetMode="External"/><Relationship Id="rId63" Type="http://schemas.openxmlformats.org/officeDocument/2006/relationships/hyperlink" Target="https://www.gnosis.org/naghamm/hypostas.html" TargetMode="External"/><Relationship Id="rId66" Type="http://schemas.openxmlformats.org/officeDocument/2006/relationships/hyperlink" Target="https://www.rexresearch1.com/DeadSeaScrolls/ApocryphonJohnSynopsisWaldstein.pdf" TargetMode="External"/><Relationship Id="rId172" Type="http://schemas.openxmlformats.org/officeDocument/2006/relationships/hyperlink" Target="https://doi.org/10.1163/9789004444799_004" TargetMode="External"/><Relationship Id="rId65" Type="http://schemas.openxmlformats.org/officeDocument/2006/relationships/hyperlink" Target="https://wojtek.pp.org.pl/pliki/notki/2014-10-26_ojcowie-apostolscy/ojcowie-kosciola-rzymscy/Epifaniusz%20z%20Salaminy%20-%20Panarion%20herezje.pdf#page=135" TargetMode="External"/><Relationship Id="rId171" Type="http://schemas.openxmlformats.org/officeDocument/2006/relationships/hyperlink" Target="https://www.researchgate.net/publication/337968615_Judean_Merchants_in_Babylonia" TargetMode="External"/><Relationship Id="rId68" Type="http://schemas.openxmlformats.org/officeDocument/2006/relationships/hyperlink" Target="https://docs.google.com/document/d/1J1g9cS7ZFRmk8YRTb36pNgRt2QUxjFDgzQjdl8gfRdY/edit" TargetMode="External"/><Relationship Id="rId170" Type="http://schemas.openxmlformats.org/officeDocument/2006/relationships/hyperlink" Target="https://www.researchgate.net/publication/337968615_Judean_Merchants_in_Babylonia" TargetMode="External"/><Relationship Id="rId67" Type="http://schemas.openxmlformats.org/officeDocument/2006/relationships/hyperlink" Target="https://sacred-texts.com/book/pistis-sophia/chapter-147" TargetMode="External"/><Relationship Id="rId60" Type="http://schemas.openxmlformats.org/officeDocument/2006/relationships/hyperlink" Target="https://wojtek.pp.org.pl/pliki/notki/2014-10-26_ojcowie-apostolscy/ojcowie-kosciola-rzymscy/Epifaniusz%20z%20Salaminy%20-%20Panarion%20herezje.pdf#page=135" TargetMode="External"/><Relationship Id="rId165" Type="http://schemas.openxmlformats.org/officeDocument/2006/relationships/hyperlink" Target="https://www.biblestudytools.com/sblg/revelation/18-23.html" TargetMode="External"/><Relationship Id="rId69" Type="http://schemas.openxmlformats.org/officeDocument/2006/relationships/hyperlink" Target="https://docs.google.com/document/d/1J1g9cS7ZFRmk8YRTb36pNgRt2QUxjFDgzQjdl8gfRdY/edit" TargetMode="External"/><Relationship Id="rId164" Type="http://schemas.openxmlformats.org/officeDocument/2006/relationships/hyperlink" Target="https://www.biblestudytools.com/sblg/revelation/18-23.html" TargetMode="External"/><Relationship Id="rId163" Type="http://schemas.openxmlformats.org/officeDocument/2006/relationships/hyperlink" Target="https://doi.org/10.1080/03344355.2020.1732046" TargetMode="External"/><Relationship Id="rId162" Type="http://schemas.openxmlformats.org/officeDocument/2006/relationships/hyperlink" Target="https://doi.org/10.1080/03344355.2020.1732046" TargetMode="External"/><Relationship Id="rId169" Type="http://schemas.openxmlformats.org/officeDocument/2006/relationships/hyperlink" Target="https://www.cambridge.org/core/journals/iraq/article/abs/secrets-in-the-library-protected-knowledge-and-professional-identity-in-late-babylonian-uruk1/174E29531B6978AA8BAF6BFCAD3780AD" TargetMode="External"/><Relationship Id="rId168" Type="http://schemas.openxmlformats.org/officeDocument/2006/relationships/hyperlink" Target="https://www.cambridge.org/core/journals/iraq/article/abs/secrets-in-the-library-protected-knowledge-and-professional-identity-in-late-babylonian-uruk1/174E29531B6978AA8BAF6BFCAD3780AD" TargetMode="External"/><Relationship Id="rId167" Type="http://schemas.openxmlformats.org/officeDocument/2006/relationships/hyperlink" Target="https://www.journals.uchicago.edu/doi/full/10.1086/692135" TargetMode="External"/><Relationship Id="rId166" Type="http://schemas.openxmlformats.org/officeDocument/2006/relationships/hyperlink" Target="https://www.journals.uchicago.edu/doi/full/10.1086/692135" TargetMode="External"/><Relationship Id="rId51" Type="http://schemas.openxmlformats.org/officeDocument/2006/relationships/hyperlink" Target="https://classics.mit.edu/Plato/phaedrus.html" TargetMode="External"/><Relationship Id="rId50" Type="http://schemas.openxmlformats.org/officeDocument/2006/relationships/hyperlink" Target="https://atlas.perseus.tufts.edu/dictionaries/entry/urn:cite2:scaife-viewer:dictionaries.v1:lsj-n110341/" TargetMode="External"/><Relationship Id="rId53" Type="http://schemas.openxmlformats.org/officeDocument/2006/relationships/hyperlink" Target="https://atlas.perseus.tufts.edu/dictionaries/entry/urn:cite2:scaife-viewer:dictionaries.v1:lsj-n110341/" TargetMode="External"/><Relationship Id="rId52" Type="http://schemas.openxmlformats.org/officeDocument/2006/relationships/hyperlink" Target="https://www.biblestudytools.com/sblg/revelation/18-23.html" TargetMode="External"/><Relationship Id="rId55" Type="http://schemas.openxmlformats.org/officeDocument/2006/relationships/hyperlink" Target="https://atlas.perseus.tufts.edu/dictionaries/entry/urn:cite2:scaife-viewer:dictionaries.v1:lsj-n114725/" TargetMode="External"/><Relationship Id="rId161" Type="http://schemas.openxmlformats.org/officeDocument/2006/relationships/hyperlink" Target="https://cswr.hds.harvard.edu/news/2026/07/08/eighth-book-moses-pgm-xiii" TargetMode="External"/><Relationship Id="rId54" Type="http://schemas.openxmlformats.org/officeDocument/2006/relationships/hyperlink" Target="https://atlas.perseus.tufts.edu/dictionaries/entry/urn:cite2:scaife-viewer:dictionaries.v1:lsj-n110318/" TargetMode="External"/><Relationship Id="rId160" Type="http://schemas.openxmlformats.org/officeDocument/2006/relationships/hyperlink" Target="https://cswr.hds.harvard.edu/news/2026/07/08/eighth-book-moses-pgm-xiii" TargetMode="External"/><Relationship Id="rId57" Type="http://schemas.openxmlformats.org/officeDocument/2006/relationships/hyperlink" Target="https://www.newadvent.org/fathers/0103124.htm" TargetMode="External"/><Relationship Id="rId56" Type="http://schemas.openxmlformats.org/officeDocument/2006/relationships/hyperlink" Target="https://bmcr.brynmawr.edu/2008/2008.12.29/" TargetMode="External"/><Relationship Id="rId159" Type="http://schemas.openxmlformats.org/officeDocument/2006/relationships/hyperlink" Target="https://www.coptic-magic.phil.uni-wuerzburg.de/index.php/manuscript/kyp-m161/" TargetMode="External"/><Relationship Id="rId59" Type="http://schemas.openxmlformats.org/officeDocument/2006/relationships/image" Target="media/image2.png"/><Relationship Id="rId154" Type="http://schemas.openxmlformats.org/officeDocument/2006/relationships/hyperlink" Target="https://www.cambridge.org/core/books/abs/defining-magic/pliny-the-elder/E9952F7E19375E8F5FCD8BB776A55153" TargetMode="External"/><Relationship Id="rId58" Type="http://schemas.openxmlformats.org/officeDocument/2006/relationships/hyperlink" Target="https://sacred-texts.com/book/pistis-sophia/chapter-147" TargetMode="External"/><Relationship Id="rId153" Type="http://schemas.openxmlformats.org/officeDocument/2006/relationships/hyperlink" Target="https://classics.mit.edu/Plato/phaedrus.html" TargetMode="External"/><Relationship Id="rId152" Type="http://schemas.openxmlformats.org/officeDocument/2006/relationships/hyperlink" Target="https://classics.mit.edu/Plato/phaedrus.html" TargetMode="External"/><Relationship Id="rId151" Type="http://schemas.openxmlformats.org/officeDocument/2006/relationships/hyperlink" Target="https://classics.mit.edu/Hippocrates/sacred.html" TargetMode="External"/><Relationship Id="rId158" Type="http://schemas.openxmlformats.org/officeDocument/2006/relationships/hyperlink" Target="https://www.coptic-magic.phil.uni-wuerzburg.de/index.php/manuscript/kyp-m161/" TargetMode="External"/><Relationship Id="rId157" Type="http://schemas.openxmlformats.org/officeDocument/2006/relationships/hyperlink" Target="https://archive.nyu.edu/bitstream/2451/63368/2/Jones%20and%20Steele%202018%20Diodorus%20on%20the%20Chaldeans.pdf" TargetMode="External"/><Relationship Id="rId156" Type="http://schemas.openxmlformats.org/officeDocument/2006/relationships/hyperlink" Target="https://archive.nyu.edu/bitstream/2451/63368/2/Jones%20and%20Steele%202018%20Diodorus%20on%20the%20Chaldeans.pdf" TargetMode="External"/><Relationship Id="rId155" Type="http://schemas.openxmlformats.org/officeDocument/2006/relationships/hyperlink" Target="https://www.cambridge.org/core/books/abs/defining-magic/pliny-the-elder/E9952F7E19375E8F5FCD8BB776A55153" TargetMode="External"/><Relationship Id="rId107" Type="http://schemas.openxmlformats.org/officeDocument/2006/relationships/hyperlink" Target="https://biblehub.com/text/john/20-17.htm" TargetMode="External"/><Relationship Id="rId106" Type="http://schemas.openxmlformats.org/officeDocument/2006/relationships/hyperlink" Target="https://www.gnosis.org/naghamm/gop.html" TargetMode="External"/><Relationship Id="rId105" Type="http://schemas.openxmlformats.org/officeDocument/2006/relationships/hyperlink" Target="https://4care-skos.mf.no/artefacts/1780/" TargetMode="External"/><Relationship Id="rId104" Type="http://schemas.openxmlformats.org/officeDocument/2006/relationships/hyperlink" Target="https://sacred-texts.com/book/pistis-sophia/chapter-147" TargetMode="External"/><Relationship Id="rId109" Type="http://schemas.openxmlformats.org/officeDocument/2006/relationships/hyperlink" Target="https://docs.google.com/document/d/1J1g9cS7ZFRmk8YRTb36pNgRt2QUxjFDgzQjdl8gfRdY/edit" TargetMode="External"/><Relationship Id="rId108" Type="http://schemas.openxmlformats.org/officeDocument/2006/relationships/hyperlink" Target="https://en.wikisource.org/wiki/Page:Life_of_plotinus_by_porphyry.pdf/15" TargetMode="External"/><Relationship Id="rId103" Type="http://schemas.openxmlformats.org/officeDocument/2006/relationships/hyperlink" Target="https://www.gnosis.org/naghamm/hypostas.html" TargetMode="External"/><Relationship Id="rId102" Type="http://schemas.openxmlformats.org/officeDocument/2006/relationships/hyperlink" Target="https://journals.sagepub.com/doi/10.1177/09518207231152828" TargetMode="External"/><Relationship Id="rId101" Type="http://schemas.openxmlformats.org/officeDocument/2006/relationships/hyperlink" Target="https://www.rexresearch1.com/DeadSeaScrolls/ApocryphonJohnSynopsisWaldstein.pdf" TargetMode="External"/><Relationship Id="rId100" Type="http://schemas.openxmlformats.org/officeDocument/2006/relationships/hyperlink" Target="https://www.gnosis.org/naghamm/apocjn-davies.html" TargetMode="External"/><Relationship Id="rId217" Type="http://schemas.openxmlformats.org/officeDocument/2006/relationships/footer" Target="footer1.xml"/><Relationship Id="rId216" Type="http://schemas.openxmlformats.org/officeDocument/2006/relationships/header" Target="header1.xml"/><Relationship Id="rId215" Type="http://schemas.openxmlformats.org/officeDocument/2006/relationships/hyperlink" Target="https://wojtek.pp.org.pl/pliki/notki/2014-10-26_ojcowie-apostolscy/ojcowie-kosciola-rzymscy/Epifaniusz%20z%20Salaminy%20-%20Panarion%20herezje.pdf#page=141" TargetMode="External"/><Relationship Id="rId214" Type="http://schemas.openxmlformats.org/officeDocument/2006/relationships/hyperlink" Target="https://wojtek.pp.org.pl/pliki/notki/2014-10-26_ojcowie-apostolscy/ojcowie-kosciola-rzymscy/Epifaniusz%20z%20Salaminy%20-%20Panarion%20herezje.pdf#page=142" TargetMode="External"/><Relationship Id="rId213" Type="http://schemas.openxmlformats.org/officeDocument/2006/relationships/hyperlink" Target="https://wojtek.pp.org.pl/pliki/notki/2014-10-26_ojcowie-apostolscy/ojcowie-kosciola-rzymscy/Epifaniusz%20z%20Salaminy%20-%20Panarion%20herezje.pdf#page=138" TargetMode="External"/><Relationship Id="rId212" Type="http://schemas.openxmlformats.org/officeDocument/2006/relationships/hyperlink" Target="https://wojtek.pp.org.pl/pliki/notki/2014-10-26_ojcowie-apostolscy/ojcowie-kosciola-rzymscy/Epifaniusz%20z%20Salaminy%20-%20Panarion%20herezje.pdf#page=139" TargetMode="External"/><Relationship Id="rId211" Type="http://schemas.openxmlformats.org/officeDocument/2006/relationships/hyperlink" Target="https://wojtek.pp.org.pl/pliki/notki/2014-10-26_ojcowie-apostolscy/ojcowie-kosciola-rzymscy/Epifaniusz%20z%20Salaminy%20-%20Panarion%20herezje.pdf#page=135" TargetMode="External"/><Relationship Id="rId210" Type="http://schemas.openxmlformats.org/officeDocument/2006/relationships/hyperlink" Target="https://wojtek.pp.org.pl/pliki/notki/2014-10-26_ojcowie-apostolscy/ojcowie-kosciola-rzymscy/Epifaniusz%20z%20Salaminy%20-%20Panarion%20herezje.pdf#page=133" TargetMode="External"/><Relationship Id="rId129" Type="http://schemas.openxmlformats.org/officeDocument/2006/relationships/hyperlink" Target="https://docs.google.com/document/d/19YRoWokbYqlQQexu_eXXx2nookOqg26LQsl7AScD3tM/edit" TargetMode="External"/><Relationship Id="rId128" Type="http://schemas.openxmlformats.org/officeDocument/2006/relationships/hyperlink" Target="https://docs.google.com/document/d/19YRoWokbYqlQQexu_eXXx2nookOqg26LQsl7AScD3tM/edit" TargetMode="External"/><Relationship Id="rId127" Type="http://schemas.openxmlformats.org/officeDocument/2006/relationships/hyperlink" Target="https://docs.google.com/document/d/1J1g9cS7ZFRmk8YRTb36pNgRt2QUxjFDgzQjdl8gfRdY/edit" TargetMode="External"/><Relationship Id="rId126" Type="http://schemas.openxmlformats.org/officeDocument/2006/relationships/hyperlink" Target="https://docs.google.com/document/d/1J1g9cS7ZFRmk8YRTb36pNgRt2QUxjFDgzQjdl8gfRdY/edit" TargetMode="External"/><Relationship Id="rId121" Type="http://schemas.openxmlformats.org/officeDocument/2006/relationships/hyperlink" Target="https://doi.org/10.1163/15685179-bja10056" TargetMode="External"/><Relationship Id="rId120" Type="http://schemas.openxmlformats.org/officeDocument/2006/relationships/hyperlink" Target="https://academic.oup.com/edited-volume/43505/chapter/364127569" TargetMode="External"/><Relationship Id="rId125" Type="http://schemas.openxmlformats.org/officeDocument/2006/relationships/hyperlink" Target="https://docs.google.com/document/d/19YRoWokbYqlQQexu_eXXx2nookOqg26LQsl7AScD3tM/edit" TargetMode="External"/><Relationship Id="rId124" Type="http://schemas.openxmlformats.org/officeDocument/2006/relationships/hyperlink" Target="https://docs.google.com/document/d/19YRoWokbYqlQQexu_eXXx2nookOqg26LQsl7AScD3tM/edit" TargetMode="External"/><Relationship Id="rId123" Type="http://schemas.openxmlformats.org/officeDocument/2006/relationships/hyperlink" Target="https://www.cambridge.org/core/journals/harvard-theological-review/article/subject-peoples-and-civilizational-priority-competition-among-babylonians-egyptians-and-judeans-in-the-hellenistic-era/B38B6F0483FD5484C7A62E4A35C643A9" TargetMode="External"/><Relationship Id="rId122" Type="http://schemas.openxmlformats.org/officeDocument/2006/relationships/hyperlink" Target="https://czasopisma.kul.pl/index.php/ba/article/download/17380/16340/105499" TargetMode="External"/><Relationship Id="rId95" Type="http://schemas.openxmlformats.org/officeDocument/2006/relationships/hyperlink" Target="https://docs.google.com/document/d/1J1g9cS7ZFRmk8YRTb36pNgRt2QUxjFDgzQjdl8gfRdY/edit" TargetMode="External"/><Relationship Id="rId94" Type="http://schemas.openxmlformats.org/officeDocument/2006/relationships/hyperlink" Target="https://docs.google.com/document/d/19YRoWokbYqlQQexu_eXXx2nookOqg26LQsl7AScD3tM/edit" TargetMode="External"/><Relationship Id="rId97" Type="http://schemas.openxmlformats.org/officeDocument/2006/relationships/hyperlink" Target="https://archive.org/details/epiphanius01epip" TargetMode="External"/><Relationship Id="rId96" Type="http://schemas.openxmlformats.org/officeDocument/2006/relationships/hyperlink" Target="https://wojtek.pp.org.pl/pliki/notki/2014-10-26_ojcowie-apostolscy/ojcowie-kosciola-rzymscy/Epifaniusz%20z%20Salaminy%20-%20Panarion%20herezje.pdf" TargetMode="External"/><Relationship Id="rId99" Type="http://schemas.openxmlformats.org/officeDocument/2006/relationships/hyperlink" Target="https://www.newadvent.org/fathers/0103130.htm" TargetMode="External"/><Relationship Id="rId98" Type="http://schemas.openxmlformats.org/officeDocument/2006/relationships/hyperlink" Target="https://www.newadvent.org/fathers/0103124.htm" TargetMode="External"/><Relationship Id="rId91" Type="http://schemas.openxmlformats.org/officeDocument/2006/relationships/hyperlink" Target="https://www.biblegateway.com/resources/encyclopedia-of-the-bible/Pharisees" TargetMode="External"/><Relationship Id="rId90" Type="http://schemas.openxmlformats.org/officeDocument/2006/relationships/hyperlink" Target="https://cojs.org/Pharisees-_Lawrence_H-_Schiffman-_Reclaiming_the_Dead_Sea_Scrolls-_Jewish_Publication_Society-_Philadelphia-_1994/" TargetMode="External"/><Relationship Id="rId93" Type="http://schemas.openxmlformats.org/officeDocument/2006/relationships/hyperlink" Target="https://www.scielo.org.za/scielo.php?pid=S1010-99192014000200014&amp;script=sci_arttext" TargetMode="External"/><Relationship Id="rId92" Type="http://schemas.openxmlformats.org/officeDocument/2006/relationships/hyperlink" Target="https://www.iranicaonline.org/articles/magi/" TargetMode="External"/><Relationship Id="rId118" Type="http://schemas.openxmlformats.org/officeDocument/2006/relationships/hyperlink" Target="https://docs.google.com/document/d/19YRoWokbYqlQQexu_eXXx2nookOqg26LQsl7AScD3tM/edit" TargetMode="External"/><Relationship Id="rId117" Type="http://schemas.openxmlformats.org/officeDocument/2006/relationships/hyperlink" Target="https://czasopisma.kul.pl/index.php/ba/article/download/17380/16340/105499" TargetMode="External"/><Relationship Id="rId116" Type="http://schemas.openxmlformats.org/officeDocument/2006/relationships/hyperlink" Target="https://www.journals.uchicago.edu/doi/full/10.1086/692135" TargetMode="External"/><Relationship Id="rId115" Type="http://schemas.openxmlformats.org/officeDocument/2006/relationships/hyperlink" Target="https://www.journals.uchicago.edu/doi/full/10.1086/692135" TargetMode="External"/><Relationship Id="rId119" Type="http://schemas.openxmlformats.org/officeDocument/2006/relationships/hyperlink" Target="https://www.researchgate.net/publication/337968615_Judean_Merchants_in_Babylonia" TargetMode="External"/><Relationship Id="rId110" Type="http://schemas.openxmlformats.org/officeDocument/2006/relationships/hyperlink" Target="https://docs.google.com/document/d/19YRoWokbYqlQQexu_eXXx2nookOqg26LQsl7AScD3tM/edit" TargetMode="External"/><Relationship Id="rId114" Type="http://schemas.openxmlformats.org/officeDocument/2006/relationships/hyperlink" Target="https://www.cambridge.org/core/journals/iraq/article/abs/secrets-in-the-library-protected-knowledge-and-professional-identity-in-late-babylonian-uruk1/174E29531B6978AA8BAF6BFCAD3780AD" TargetMode="External"/><Relationship Id="rId113" Type="http://schemas.openxmlformats.org/officeDocument/2006/relationships/hyperlink" Target="https://www.journals.uchicago.edu/doi/full/10.1086/692135" TargetMode="External"/><Relationship Id="rId112" Type="http://schemas.openxmlformats.org/officeDocument/2006/relationships/hyperlink" Target="https://docs.google.com/document/d/19YRoWokbYqlQQexu_eXXx2nookOqg26LQsl7AScD3tM/edit" TargetMode="External"/><Relationship Id="rId111" Type="http://schemas.openxmlformats.org/officeDocument/2006/relationships/hyperlink" Target="https://docs.google.com/document/d/19YRoWokbYqlQQexu_eXXx2nookOqg26LQsl7AScD3tM/edit" TargetMode="External"/><Relationship Id="rId206" Type="http://schemas.openxmlformats.org/officeDocument/2006/relationships/hyperlink" Target="https://www.scielo.org.za/scielo.php?pid=S1010-99192014000200014&amp;script=sci_arttext" TargetMode="External"/><Relationship Id="rId205" Type="http://schemas.openxmlformats.org/officeDocument/2006/relationships/hyperlink" Target="https://www.iranicaonline.org/articles/atas-fire/" TargetMode="External"/><Relationship Id="rId204" Type="http://schemas.openxmlformats.org/officeDocument/2006/relationships/hyperlink" Target="https://www.iranicaonline.org/articles/atas-fire/" TargetMode="External"/><Relationship Id="rId203" Type="http://schemas.openxmlformats.org/officeDocument/2006/relationships/hyperlink" Target="https://www.iranicaonline.org/articles/zoroaster-iv-as-perceived-by-the-greeks/" TargetMode="External"/><Relationship Id="rId209" Type="http://schemas.openxmlformats.org/officeDocument/2006/relationships/hyperlink" Target="https://academic.oup.com/edited-volume/43505/chapter/364127569" TargetMode="External"/><Relationship Id="rId208" Type="http://schemas.openxmlformats.org/officeDocument/2006/relationships/hyperlink" Target="https://academic.oup.com/edited-volume/43505/chapter/364127569" TargetMode="External"/><Relationship Id="rId207" Type="http://schemas.openxmlformats.org/officeDocument/2006/relationships/hyperlink" Target="https://www.scielo.org.za/scielo.php?pid=S1010-99192014000200014&amp;script=sci_arttext" TargetMode="External"/><Relationship Id="rId202" Type="http://schemas.openxmlformats.org/officeDocument/2006/relationships/hyperlink" Target="https://www.iranicaonline.org/articles/zoroaster-iv-as-perceived-by-the-greeks/" TargetMode="External"/><Relationship Id="rId201" Type="http://schemas.openxmlformats.org/officeDocument/2006/relationships/hyperlink" Target="https://www.iranicaonline.org/articles/dualism/" TargetMode="External"/><Relationship Id="rId200" Type="http://schemas.openxmlformats.org/officeDocument/2006/relationships/hyperlink" Target="https://www.iranicaonline.org/articles/dual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