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CCBHC First Week Validation Sheet</w:t>
      </w:r>
    </w:p>
    <w:p>
      <w:r>
        <w:t>Week of __________   Observer __________   Site or team __________________</w:t>
      </w:r>
    </w:p>
    <w:p>
      <w:r>
        <w:t>Record how the work actually happens, then identify the rule and who can confirm it. All items start open. Observed practice alone does not authorize automation.</w:t>
      </w:r>
    </w:p>
    <w:p>
      <w:r>
        <w:t>For each block: record the answer, evidence location and date, and decision owner. Circle status and architecture impact; use Mixed if subanswers differ. Keep client examples in approved systems and record only an approved reference here.</w:t>
      </w:r>
    </w:p>
    <w:p>
      <w:pPr>
        <w:pStyle w:val="Heading1"/>
      </w:pPr>
      <w:r>
        <w:t>1 Sampling population</w:t>
      </w:r>
    </w:p>
    <w:p>
      <w:r>
        <w:t>What qualifies for the population before every-tenth selection? Confirm program/payer, date field, reporting window, exclusions, and whether the unit is a client or an intake event. Does the same sample govern SUPRT-A and SUPRT-C?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Population filter, row definition and sample membership.</w:t>
      </w:r>
    </w:p>
    <w:p>
      <w:pPr>
        <w:pStyle w:val="Heading1"/>
      </w:pPr>
      <w:r>
        <w:t>2 Readmissions and sequence</w:t>
      </w:r>
    </w:p>
    <w:p>
      <w:r>
        <w:t>Does readmission or reentry create a new eligible event or retain prior selection? Does counting continue across reporting periods or restart? Confirm every-Nth interval, sort order, tie handling and starting position.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Client/event key, sample history and sequence calculation.</w:t>
      </w:r>
    </w:p>
    <w:p>
      <w:pPr>
        <w:pStyle w:val="Heading1"/>
      </w:pPr>
      <w:r>
        <w:t>3 Duplicates and qualifying dates</w:t>
      </w:r>
    </w:p>
    <w:p>
      <w:r>
        <w:t>Why do multiple Arise rows appear? Which program date controls eligibility? What distinguishes a true duplicate, transfer, corrected date and readmission; which row is retained?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Deduplication rules, exception queue and exclusion history.</w:t>
      </w:r>
    </w:p>
    <w:p>
      <w:pPr>
        <w:pStyle w:val="Heading1"/>
      </w:pPr>
      <w:r>
        <w:t>4 Authoritative Arise fields and SUPRT-A</w:t>
      </w:r>
    </w:p>
    <w:p>
      <w:r>
        <w:t>Which exact screen, document and field is authoritative for each required SUPRT-A item? What resolves a summary/chart conflict? When is “Not documented” used instead of an explicit “No,” and what is the exact SPARS code?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Field mapping, evidence reference, missing-data codes and human review.</w:t>
      </w:r>
    </w:p>
    <w:p>
      <w:r>
        <w:br w:type="page"/>
      </w:r>
    </w:p>
    <w:p>
      <w:pPr>
        <w:pStyle w:val="Title"/>
      </w:pPr>
      <w:r>
        <w:t>CCBHC First Week Validation Sheet</w:t>
      </w:r>
    </w:p>
    <w:p>
      <w:r>
        <w:t>SUPRT-C communication and systems</w:t>
      </w:r>
    </w:p>
    <w:p>
      <w:pPr>
        <w:pStyle w:val="Heading1"/>
      </w:pPr>
      <w:r>
        <w:t>5 SUPRT-C attempts and timing</w:t>
      </w:r>
    </w:p>
    <w:p>
      <w:r>
        <w:t>What counts as an acceptable attempt, and what evidence records it? Confirm reminder intervals, collection/reassessment windows, date anchors, escalation and closure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Attempt log, date calculations, reminders, ownership and closure states.</w:t>
      </w:r>
    </w:p>
    <w:p>
      <w:pPr>
        <w:pStyle w:val="Heading1"/>
      </w:pPr>
      <w:r>
        <w:t>6 SUPRT-C refusal and nonresponse coding</w:t>
      </w:r>
    </w:p>
    <w:p>
      <w:r>
        <w:t>How are refusal, no contact, unavailability, partial answers and closure before completion coded? Confirm exact SPARS values and what counts as returned, entered and complete.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Status/code mapping, completion logic and reporting denominators.</w:t>
      </w:r>
    </w:p>
    <w:p>
      <w:pPr>
        <w:pStyle w:val="Heading1"/>
      </w:pPr>
      <w:r>
        <w:t>7 Identifiers and communication</w:t>
      </w:r>
    </w:p>
    <w:p>
      <w:r>
        <w:t>Which identifier is approved in internal email, attachments and dashboard views? What differs for CCBHC versus programs with additional confidentiality requirements? Who confirms the permitted channel and access?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Linkage key, message template, access controls and stored fields.</w:t>
      </w:r>
    </w:p>
    <w:p>
      <w:pPr>
        <w:pStyle w:val="Heading1"/>
      </w:pPr>
      <w:r>
        <w:t>8 System integration capabilities</w:t>
      </w:r>
    </w:p>
    <w:p>
      <w:r>
        <w:t>Can Arise provide a structured export or query, with which fields and cadence? Does SPARS allow structured uploads, an API or batch integration, or require manual entry? Which functions are enabled and approved locally?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Answer / observed practice: 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Source / evidence location and date: __________________________________________________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Decision owner: __________________   Status: Open / Observed / Confirmed / Mixed</w:t>
            </w:r>
          </w:p>
        </w:tc>
      </w:tr>
      <w:tr>
        <w:trPr>
          <w:cantSplit/>
        </w:trPr>
        <w:tc>
          <w:tcPr>
            <w:tcW w:type="dxa" w:w="10368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20" w:before="0"/>
            </w:pPr>
            <w:r>
              <w:rPr>
                <w:sz w:val="20"/>
              </w:rPr>
              <w:t>Architecture change: Yes / No / Unclear / Mixed   What changes: __________________________</w:t>
            </w:r>
          </w:p>
        </w:tc>
      </w:tr>
    </w:tbl>
    <w:p>
      <w:pPr>
        <w:spacing w:after="80"/>
      </w:pPr>
      <w:r>
        <w:rPr>
          <w:i/>
          <w:sz w:val="18"/>
        </w:rPr>
        <w:t>Affected design: Ingestion route, refresh schedule, manual entry and submission reconciliation.</w:t>
      </w:r>
    </w:p>
    <w:p>
      <w:r>
        <w:t>Week-end handoff: unresolved item IDs __________   Owner / next step / date __________________</w:t>
      </w:r>
    </w:p>
    <w:p>
      <w:r>
        <w:rPr>
          <w:sz w:val="18"/>
        </w:rPr>
        <w:t>Automation gate: use only rules confirmed by the responsible owner with an authoritative source. Keep unresolved branches under human review; retain decision date and rule version when implementing.</w:t>
      </w:r>
    </w:p>
    <w:p>
      <w:r>
        <w:rPr>
          <w:sz w:val="16"/>
        </w:rPr>
        <w:t xml:space="preserve">Source: </w:t>
      </w:r>
      <w:hyperlink r:id="rId9">
        <w:r>
          <w:rPr>
            <w:sz w:val="16"/>
          </w:rPr>
          <w:t>CCBHC Workflow + Dashboard Architecture Notes — v0</w:t>
        </w:r>
      </w:hyperlink>
      <w:r>
        <w:rPr>
          <w:sz w:val="16"/>
        </w:rPr>
        <w:t xml:space="preserve"> • Sept 11, 2026 • §14; design context §§3–13, 15. Body heading: v0.1.</w:t>
      </w:r>
    </w:p>
    <w:sectPr w:rsidR="00FC693F" w:rsidRPr="0006063C" w:rsidSect="00034616"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CC0 1.0 • Blank validation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6NC5nLl4SUg94_TrHeAOSt03bJARV-SpDg8W01KdqJQ/edit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CCBHC First Week Validation Sheet</dc:title>
  <dc:subject>Workflow observation and formal rule resolution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