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Brakes, All Pwn</w:t>
      </w:r>
    </w:p>
    <w:p>
      <w:pPr>
        <w:pStyle w:val="Subtitle"/>
      </w:pPr>
      <w:r>
        <w:t>Silicon administration and the documentary record</w:t>
      </w:r>
    </w:p>
    <w:p>
      <w:pPr>
        <w:pStyle w:val="Meta"/>
      </w:pPr>
      <w:r>
        <w:t>Integrated evidence edition · 6 September 2026 · v1.0</w:t>
      </w:r>
    </w:p>
    <w:p>
      <w:pPr/>
      <w:r>
        <w:rPr>
          <w:b/>
        </w:rPr>
        <w:t>Object:</w:t>
      </w:r>
      <w:r>
        <w:t xml:space="preserve"> silicon administration and its enabling institutions.</w:t>
      </w:r>
    </w:p>
    <w:p>
      <w:pPr/>
      <w:r>
        <w:rPr>
          <w:b/>
        </w:rPr>
        <w:t>Constraint:</w:t>
      </w:r>
      <w:r>
        <w:t xml:space="preserve"> the target is a function, never a people, faith, ethnicity, bloodline, civilian population, or hidden family.</w:t>
      </w:r>
    </w:p>
    <w:p>
      <w:pPr/>
      <w:r>
        <w:t>The recovered material identifies offices, financial interests, enforcement decisions, contracts, data transfers, corporate control rights, court decisions, and systems that produce speech from human work. These are separate, attributable records. Bringing them together makes their relationships visible without converting every relationship into the same allegation.</w:t>
      </w:r>
    </w:p>
    <w:p>
      <w:pPr/>
      <w:r>
        <w:t xml:space="preserve">The central factual distinction is between </w:t>
      </w:r>
      <w:r>
        <w:rPr>
          <w:b/>
        </w:rPr>
        <w:t>having a power, exercising it, and producing a particular result</w:t>
      </w:r>
      <w:r>
        <w:t xml:space="preserve">. An executive order can establish a decision route. A signed memorandum can establish who changed a policy. A transfer record can establish who received a dataset. None needs a finding about an undisclosed common director before it can be described. Conversely, a route does not identify every subsequent use, a spokesperson’s statement does not supply the underlying implementation file, and an analogy does not supply a missing transaction. The source register records these distinctions at the level of individual claims. </w:t>
      </w:r>
      <w:hyperlink r:id="rId11">
        <w:r>
          <w:rPr>
            <w:color w:val="2E74B5"/>
            <w:sz w:val="18"/>
          </w:rPr>
          <w:t>[COR-020 · 54-item human review]</w:t>
        </w:r>
      </w:hyperlink>
      <w:r>
        <w:t xml:space="preserve"> </w:t>
      </w:r>
      <w:hyperlink r:id="rId12">
        <w:r>
          <w:rPr>
            <w:color w:val="2E74B5"/>
            <w:sz w:val="18"/>
          </w:rPr>
          <w:t>[COR-052 · Human source register]</w:t>
        </w:r>
      </w:hyperlink>
    </w:p>
    <w:p>
      <w:pPr/>
      <w:r>
        <w:t>This edition brings together 93 recovered items, including archive members and identified duplicates; 54 items in the latest human-side review; 52 underlying claim entries; the DOJ evidence packet; the separate Coup version branches; the Revelation/Necropolis materials; the Conduct and Golden Dawn dockets; the Timekeeper workbook; and the relevant source and correction histories. The companion workbook inventories recoverable links and bibliographic leads. An inventory entry means the reference was recovered; entries separately identify the records checked against public sources for this edition.</w:t>
      </w:r>
    </w:p>
    <w:p>
      <w:pPr>
        <w:pStyle w:val="Heading2"/>
      </w:pPr>
      <w:r>
        <w:t>The archive map</w:t>
      </w:r>
    </w:p>
    <w:tbl>
      <w:tblPr>
        <w:tblW w:type="dxa" w:w="9360"/>
        <w:jc w:val="left"/>
        <w:tblLayout w:type="fixed"/>
        <w:tblLook w:firstColumn="1" w:firstRow="1" w:lastColumn="0" w:lastRow="0" w:noHBand="0" w:noVBand="1" w:val="04A0"/>
        <w:tblInd w:w="120" w:type="dxa"/>
        <w:tblBorders>
          <w:top w:val="single" w:sz="4" w:color="D5DCE4"/>
          <w:left w:val="single" w:sz="4" w:color="D5DCE4"/>
          <w:bottom w:val="single" w:sz="4" w:color="D5DCE4"/>
          <w:right w:val="single" w:sz="4" w:color="D5DCE4"/>
          <w:insideH w:val="single" w:sz="4" w:color="D5DCE4"/>
          <w:insideV w:val="single" w:sz="4" w:color="D5DCE4"/>
        </w:tblBorders>
        <w:tblCellMar>
          <w:top w:w="80" w:type="dxa"/>
          <w:bottom w:w="80" w:type="dxa"/>
          <w:start w:w="120" w:type="dxa"/>
          <w:end w:w="120" w:type="dxa"/>
        </w:tblCellMar>
      </w:tblPr>
      <w:tblGrid>
        <w:gridCol w:w="1950"/>
        <w:gridCol w:w="3360"/>
        <w:gridCol w:w="4050"/>
      </w:tblGrid>
      <w:tr>
        <w:trPr>
          <w:cantSplit/>
          <w:tblHeader w:val="true"/>
        </w:trPr>
        <w:tc>
          <w:tcPr>
            <w:tcW w:type="dxa" w:w="1950"/>
            <w:vAlign w:val="top"/>
            <w:shd w:fill="F2F4F7"/>
          </w:tcPr>
          <w:p>
            <w:pPr>
              <w:pStyle w:val="TableBody"/>
            </w:pPr>
            <w:r>
              <w:rPr>
                <w:b/>
              </w:rPr>
              <w:t>Strand</w:t>
            </w:r>
          </w:p>
        </w:tc>
        <w:tc>
          <w:tcPr>
            <w:tcW w:type="dxa" w:w="3360"/>
            <w:vAlign w:val="top"/>
            <w:shd w:fill="F2F4F7"/>
          </w:tcPr>
          <w:p>
            <w:pPr>
              <w:pStyle w:val="TableBody"/>
            </w:pPr>
            <w:r>
              <w:rPr>
                <w:b/>
              </w:rPr>
              <w:t>Material integrated</w:t>
            </w:r>
          </w:p>
        </w:tc>
        <w:tc>
          <w:tcPr>
            <w:tcW w:type="dxa" w:w="4050"/>
            <w:vAlign w:val="top"/>
            <w:shd w:fill="F2F4F7"/>
          </w:tcPr>
          <w:p>
            <w:pPr>
              <w:pStyle w:val="TableBody"/>
            </w:pPr>
            <w:r>
              <w:rPr>
                <w:b/>
              </w:rPr>
              <w:t>Documentary contribution</w:t>
            </w:r>
          </w:p>
        </w:tc>
      </w:tr>
      <w:tr>
        <w:trPr>
          <w:cantSplit/>
        </w:trPr>
        <w:tc>
          <w:tcPr>
            <w:tcW w:type="dxa" w:w="1950"/>
            <w:vAlign w:val="top"/>
          </w:tcPr>
          <w:p>
            <w:pPr>
              <w:pStyle w:val="TableBody"/>
            </w:pPr>
            <w:r>
              <w:t>Department of Justice</w:t>
            </w:r>
          </w:p>
        </w:tc>
        <w:tc>
          <w:tcPr>
            <w:tcW w:type="dxa" w:w="3360"/>
            <w:vAlign w:val="top"/>
          </w:tcPr>
          <w:p>
            <w:pPr>
              <w:pStyle w:val="TableBody"/>
            </w:pPr>
            <w:r>
              <w:t>J-02, disclosures, ethics agreement, enforcement memo, certification, Senate answers</w:t>
            </w:r>
          </w:p>
        </w:tc>
        <w:tc>
          <w:tcPr>
            <w:tcW w:type="dxa" w:w="4050"/>
            <w:vAlign w:val="top"/>
          </w:tcPr>
          <w:p>
            <w:pPr>
              <w:pStyle w:val="TableBody"/>
            </w:pPr>
            <w:r>
              <w:t>A dated official-action and financial-interest chronology; a specific discrepancy between two public responses</w:t>
            </w:r>
          </w:p>
        </w:tc>
      </w:tr>
      <w:tr>
        <w:trPr>
          <w:cantSplit/>
        </w:trPr>
        <w:tc>
          <w:tcPr>
            <w:tcW w:type="dxa" w:w="1950"/>
            <w:vAlign w:val="top"/>
          </w:tcPr>
          <w:p>
            <w:pPr>
              <w:pStyle w:val="TableBody"/>
            </w:pPr>
            <w:r>
              <w:t>Coup</w:t>
            </w:r>
          </w:p>
        </w:tc>
        <w:tc>
          <w:tcPr>
            <w:tcW w:type="dxa" w:w="3360"/>
            <w:vAlign w:val="top"/>
          </w:tcPr>
          <w:p>
            <w:pPr>
              <w:pStyle w:val="TableBody"/>
            </w:pPr>
            <w:r>
              <w:t>v0.1–v0.3 materials and both v0.4 branches</w:t>
            </w:r>
          </w:p>
        </w:tc>
        <w:tc>
          <w:tcPr>
            <w:tcW w:type="dxa" w:w="4050"/>
            <w:vAlign w:val="top"/>
          </w:tcPr>
          <w:p>
            <w:pPr>
              <w:pStyle w:val="TableBody"/>
            </w:pPr>
            <w:r>
              <w:t>Questions about changes in executive authority, legal interpretation, review, and institutional procedure</w:t>
            </w:r>
          </w:p>
        </w:tc>
      </w:tr>
      <w:tr>
        <w:trPr>
          <w:cantSplit/>
        </w:trPr>
        <w:tc>
          <w:tcPr>
            <w:tcW w:type="dxa" w:w="1950"/>
            <w:vAlign w:val="top"/>
          </w:tcPr>
          <w:p>
            <w:pPr>
              <w:pStyle w:val="TableBody"/>
            </w:pPr>
            <w:r>
              <w:t>Revelation / Necropolis</w:t>
            </w:r>
          </w:p>
        </w:tc>
        <w:tc>
          <w:tcPr>
            <w:tcW w:type="dxa" w:w="3360"/>
            <w:vAlign w:val="top"/>
          </w:tcPr>
          <w:p>
            <w:pPr>
              <w:pStyle w:val="TableBody"/>
            </w:pPr>
            <w:r>
              <w:t>Original and consolidated research, Integrated v4–v5.1, External Account</w:t>
            </w:r>
          </w:p>
        </w:tc>
        <w:tc>
          <w:tcPr>
            <w:tcW w:type="dxa" w:w="4050"/>
            <w:vAlign w:val="top"/>
          </w:tcPr>
          <w:p>
            <w:pPr>
              <w:pStyle w:val="TableBody"/>
            </w:pPr>
            <w:r>
              <w:t>Synthetic identity, provenance, authority, access, and the distinction between symbolic comparison and documented conduct</w:t>
            </w:r>
          </w:p>
        </w:tc>
      </w:tr>
      <w:tr>
        <w:trPr>
          <w:cantSplit/>
        </w:trPr>
        <w:tc>
          <w:tcPr>
            <w:tcW w:type="dxa" w:w="1950"/>
            <w:vAlign w:val="top"/>
          </w:tcPr>
          <w:p>
            <w:pPr>
              <w:pStyle w:val="TableBody"/>
            </w:pPr>
            <w:r>
              <w:t>Human institutions</w:t>
            </w:r>
          </w:p>
        </w:tc>
        <w:tc>
          <w:tcPr>
            <w:tcW w:type="dxa" w:w="3360"/>
            <w:vAlign w:val="top"/>
          </w:tcPr>
          <w:p>
            <w:pPr>
              <w:pStyle w:val="TableBody"/>
            </w:pPr>
            <w:r>
              <w:t>Two distinct v0.2 source registers, institutional paper, 54-item review, Routes, Archetype packet</w:t>
            </w:r>
          </w:p>
        </w:tc>
        <w:tc>
          <w:tcPr>
            <w:tcW w:type="dxa" w:w="4050"/>
            <w:vAlign w:val="top"/>
          </w:tcPr>
          <w:p>
            <w:pPr>
              <w:pStyle w:val="TableBody"/>
            </w:pPr>
            <w:r>
              <w:t>Named offices, people, contracts, holdings, access relationships, and corrected causal claims</w:t>
            </w:r>
          </w:p>
        </w:tc>
      </w:tr>
      <w:tr>
        <w:trPr>
          <w:cantSplit/>
        </w:trPr>
        <w:tc>
          <w:tcPr>
            <w:tcW w:type="dxa" w:w="1950"/>
            <w:vAlign w:val="top"/>
          </w:tcPr>
          <w:p>
            <w:pPr>
              <w:pStyle w:val="TableBody"/>
            </w:pPr>
            <w:r>
              <w:t>Corporate conduct</w:t>
            </w:r>
          </w:p>
        </w:tc>
        <w:tc>
          <w:tcPr>
            <w:tcW w:type="dxa" w:w="3360"/>
            <w:vAlign w:val="top"/>
          </w:tcPr>
          <w:p>
            <w:pPr>
              <w:pStyle w:val="TableBody"/>
            </w:pPr>
            <w:r>
              <w:t>Conduct, Indictments, Filing Packet, Golden Dawn audit</w:t>
            </w:r>
          </w:p>
        </w:tc>
        <w:tc>
          <w:tcPr>
            <w:tcW w:type="dxa" w:w="4050"/>
            <w:vAlign w:val="top"/>
          </w:tcPr>
          <w:p>
            <w:pPr>
              <w:pStyle w:val="TableBody"/>
            </w:pPr>
            <w:r>
              <w:t>Governance, counterparty interests, procurement, copyright, and energy-source leads</w:t>
            </w:r>
          </w:p>
        </w:tc>
      </w:tr>
      <w:tr>
        <w:trPr>
          <w:cantSplit/>
        </w:trPr>
        <w:tc>
          <w:tcPr>
            <w:tcW w:type="dxa" w:w="1950"/>
            <w:vAlign w:val="top"/>
          </w:tcPr>
          <w:p>
            <w:pPr>
              <w:pStyle w:val="TableBody"/>
            </w:pPr>
            <w:r>
              <w:t>Historical and technical material</w:t>
            </w:r>
          </w:p>
        </w:tc>
        <w:tc>
          <w:tcPr>
            <w:tcW w:type="dxa" w:w="3360"/>
            <w:vAlign w:val="top"/>
          </w:tcPr>
          <w:p>
            <w:pPr>
              <w:pStyle w:val="TableBody"/>
            </w:pPr>
            <w:r>
              <w:t>Jerusalem v1.2, Jacobus reconstruction, Timekeeper source spine, Black Furnace cards</w:t>
            </w:r>
          </w:p>
        </w:tc>
        <w:tc>
          <w:tcPr>
            <w:tcW w:type="dxa" w:w="4050"/>
            <w:vAlign w:val="top"/>
          </w:tcPr>
          <w:p>
            <w:pPr>
              <w:pStyle w:val="TableBody"/>
            </w:pPr>
            <w:r>
              <w:t>Ancient offices and texts, calendar reconstruction, and contemporary technical references</w:t>
            </w:r>
          </w:p>
        </w:tc>
      </w:tr>
    </w:tbl>
    <w:p>
      <w:pPr/>
      <w:r>
        <w:t xml:space="preserve">The draft’s four-archive map now points directly to The Book of the Thirteenth Hour, the Monkey Myth Matrix model packet and v0.21 PDF, the Revelation Verified Edition, and the original Coup material. The full No One Owns Tuesday manuscript is also recovered, including its selected-source appendix. </w:t>
      </w:r>
      <w:hyperlink r:id="rId13">
        <w:r>
          <w:rPr>
            <w:color w:val="2E74B5"/>
            <w:sz w:val="18"/>
          </w:rPr>
          <w:t>[COR-086 · Thirteenth Hour]</w:t>
        </w:r>
      </w:hyperlink>
      <w:r>
        <w:t xml:space="preserve"> </w:t>
      </w:r>
      <w:hyperlink r:id="rId14">
        <w:r>
          <w:rPr>
            <w:color w:val="2E74B5"/>
            <w:sz w:val="18"/>
          </w:rPr>
          <w:t>[COR-093 · Myth Matrix model packet]</w:t>
        </w:r>
      </w:hyperlink>
      <w:r>
        <w:t xml:space="preserve"> </w:t>
      </w:r>
      <w:hyperlink r:id="rId15">
        <w:r>
          <w:rPr>
            <w:color w:val="2E74B5"/>
            <w:sz w:val="18"/>
          </w:rPr>
          <w:t>[COR-088 · Myth Matrix v0.21]</w:t>
        </w:r>
      </w:hyperlink>
      <w:r>
        <w:t xml:space="preserve"> </w:t>
      </w:r>
      <w:hyperlink r:id="rId16">
        <w:r>
          <w:rPr>
            <w:color w:val="2E74B5"/>
            <w:sz w:val="18"/>
          </w:rPr>
          <w:t>[COR-089 · Revelation verified edition]</w:t>
        </w:r>
      </w:hyperlink>
      <w:r>
        <w:t xml:space="preserve"> </w:t>
      </w:r>
      <w:hyperlink r:id="rId17">
        <w:r>
          <w:rPr>
            <w:color w:val="2E74B5"/>
            <w:sz w:val="18"/>
          </w:rPr>
          <w:t>[COR-031 · Original Coup material]</w:t>
        </w:r>
      </w:hyperlink>
      <w:r>
        <w:t xml:space="preserve"> </w:t>
      </w:r>
      <w:hyperlink r:id="rId18">
        <w:r>
          <w:rPr>
            <w:color w:val="2E74B5"/>
            <w:sz w:val="18"/>
          </w:rPr>
          <w:t>[COR-091 · Full Tuesday manuscript]</w:t>
        </w:r>
      </w:hyperlink>
    </w:p>
    <w:p>
      <w:pPr/>
      <w:r>
        <w:t>The chapter sequence below follows the documentary relationships. The workbook preserves the source identities needed to return to each strand.</w:t>
      </w:r>
    </w:p>
    <w:p>
      <w:pPr>
        <w:pStyle w:val="Heading1"/>
      </w:pPr>
      <w:r>
        <w:t>1. DOJ: the action, the holdings, and the two answers</w:t>
      </w:r>
    </w:p>
    <w:p>
      <w:pPr/>
      <w:r>
        <w:t xml:space="preserve">Todd Blanche’s financial disclosure, signed on 18 January 2025, listed Bitcoin in the $100,001–$250,000 band and Ethereum in the $50,001–$100,000 band, alongside other digital assets and Coinbase stock. These are reporting bands from the filing, not exact values on the day of a later policy decision. His 10 February ethics agreement committed him to divest specified interests and, pending divestiture, to avoid personal and substantial participation in covered particular matters unless an applicable waiver or exemption permitted participation. </w:t>
      </w:r>
      <w:hyperlink r:id="rId19">
        <w:r>
          <w:rPr>
            <w:color w:val="2E74B5"/>
            <w:sz w:val="18"/>
          </w:rPr>
          <w:t>[C-01 · Blanche disclosure]</w:t>
        </w:r>
      </w:hyperlink>
      <w:r>
        <w:t xml:space="preserve"> </w:t>
      </w:r>
      <w:hyperlink r:id="rId20">
        <w:r>
          <w:rPr>
            <w:color w:val="2E74B5"/>
            <w:sz w:val="18"/>
          </w:rPr>
          <w:t>[C-02 · Blanche ethics agreement]</w:t>
        </w:r>
      </w:hyperlink>
    </w:p>
    <w:p>
      <w:pPr/>
      <w:r>
        <w:t xml:space="preserve">On 7 April 2025, Blanche issued </w:t>
      </w:r>
      <w:r>
        <w:rPr>
          <w:i/>
        </w:rPr>
        <w:t>Ending Regulation By Prosecution</w:t>
      </w:r>
      <w:r>
        <w:t xml:space="preserve">. The memorandum changed DOJ’s approach to digital-asset enforcement. It directed an end to specified regulatory prosecutions, ordered investigations inconsistent with the new policy to close, and disbanded the National Cryptocurrency Enforcement Team. It retained priorities involving fraud, theft, hacking, terrorism, narcotics, trafficking, and other specified criminal conduct. “DOJ ended all cryptocurrency enforcement” does not describe the memorandum. </w:t>
      </w:r>
      <w:hyperlink r:id="rId21">
        <w:r>
          <w:rPr>
            <w:color w:val="2E74B5"/>
            <w:sz w:val="18"/>
          </w:rPr>
          <w:t>[C-03 · DOJ enforcement memo]</w:t>
        </w:r>
      </w:hyperlink>
    </w:p>
    <w:p>
      <w:pPr/>
      <w:r>
        <w:t xml:space="preserve">The transaction report filed on 3 June lists dispositions after the memorandum, with reported sales between late May and early June. Its annotation says that certain digital assets were gifted in their entirety to adult children and a grandchild. It does not give a complete transfer instrument for each gift. The filing therefore supports a dated disposition account; it does not establish that every listed asset was sold or determine the legal treatment of every transfer. </w:t>
      </w:r>
      <w:hyperlink r:id="rId22">
        <w:r>
          <w:rPr>
            <w:color w:val="2E74B5"/>
            <w:sz w:val="18"/>
          </w:rPr>
          <w:t>[C-04 · Blanche transaction report]</w:t>
        </w:r>
      </w:hyperlink>
    </w:p>
    <w:p>
      <w:pPr>
        <w:pStyle w:val="Heading2"/>
      </w:pPr>
      <w:r>
        <w:t>The public-record sequence</w:t>
      </w:r>
    </w:p>
    <w:tbl>
      <w:tblPr>
        <w:tblW w:type="dxa" w:w="9360"/>
        <w:jc w:val="left"/>
        <w:tblLayout w:type="fixed"/>
        <w:tblLook w:firstColumn="1" w:firstRow="1" w:lastColumn="0" w:lastRow="0" w:noHBand="0" w:noVBand="1" w:val="04A0"/>
        <w:tblInd w:w="120" w:type="dxa"/>
        <w:tblBorders>
          <w:top w:val="single" w:sz="4" w:color="D5DCE4"/>
          <w:left w:val="single" w:sz="4" w:color="D5DCE4"/>
          <w:bottom w:val="single" w:sz="4" w:color="D5DCE4"/>
          <w:right w:val="single" w:sz="4" w:color="D5DCE4"/>
          <w:insideH w:val="single" w:sz="4" w:color="D5DCE4"/>
          <w:insideV w:val="single" w:sz="4" w:color="D5DCE4"/>
        </w:tblBorders>
        <w:tblCellMar>
          <w:top w:w="80" w:type="dxa"/>
          <w:bottom w:w="80" w:type="dxa"/>
          <w:start w:w="120" w:type="dxa"/>
          <w:end w:w="120" w:type="dxa"/>
        </w:tblCellMar>
      </w:tblPr>
      <w:tblGrid>
        <w:gridCol w:w="1950"/>
        <w:gridCol w:w="3360"/>
        <w:gridCol w:w="4050"/>
      </w:tblGrid>
      <w:tr>
        <w:trPr>
          <w:cantSplit/>
          <w:tblHeader w:val="true"/>
        </w:trPr>
        <w:tc>
          <w:tcPr>
            <w:tcW w:type="dxa" w:w="1950"/>
            <w:vAlign w:val="top"/>
            <w:shd w:fill="F2F4F7"/>
          </w:tcPr>
          <w:p>
            <w:pPr>
              <w:pStyle w:val="TableBody"/>
            </w:pPr>
            <w:r>
              <w:rPr>
                <w:b/>
              </w:rPr>
              <w:t>Date</w:t>
            </w:r>
          </w:p>
        </w:tc>
        <w:tc>
          <w:tcPr>
            <w:tcW w:type="dxa" w:w="3360"/>
            <w:vAlign w:val="top"/>
            <w:shd w:fill="F2F4F7"/>
          </w:tcPr>
          <w:p>
            <w:pPr>
              <w:pStyle w:val="TableBody"/>
            </w:pPr>
            <w:r>
              <w:rPr>
                <w:b/>
              </w:rPr>
              <w:t>Record</w:t>
            </w:r>
          </w:p>
        </w:tc>
        <w:tc>
          <w:tcPr>
            <w:tcW w:type="dxa" w:w="4050"/>
            <w:vAlign w:val="top"/>
            <w:shd w:fill="F2F4F7"/>
          </w:tcPr>
          <w:p>
            <w:pPr>
              <w:pStyle w:val="TableBody"/>
            </w:pPr>
            <w:r>
              <w:rPr>
                <w:b/>
              </w:rPr>
              <w:t>What it records</w:t>
            </w:r>
          </w:p>
        </w:tc>
      </w:tr>
      <w:tr>
        <w:trPr>
          <w:cantSplit/>
        </w:trPr>
        <w:tc>
          <w:tcPr>
            <w:tcW w:type="dxa" w:w="1950"/>
            <w:vAlign w:val="top"/>
          </w:tcPr>
          <w:p>
            <w:pPr>
              <w:pStyle w:val="TableBody"/>
            </w:pPr>
            <w:r>
              <w:t>18 January 2025</w:t>
            </w:r>
          </w:p>
        </w:tc>
        <w:tc>
          <w:tcPr>
            <w:tcW w:type="dxa" w:w="3360"/>
            <w:vAlign w:val="top"/>
          </w:tcPr>
          <w:p>
            <w:pPr>
              <w:pStyle w:val="TableBody"/>
            </w:pPr>
            <w:r>
              <w:t>OGE financial disclosure</w:t>
            </w:r>
          </w:p>
        </w:tc>
        <w:tc>
          <w:tcPr>
            <w:tcW w:type="dxa" w:w="4050"/>
            <w:vAlign w:val="top"/>
          </w:tcPr>
          <w:p>
            <w:pPr>
              <w:pStyle w:val="TableBody"/>
            </w:pPr>
            <w:r>
              <w:t>Digital-asset and Coinbase interests in reporting bands</w:t>
            </w:r>
          </w:p>
        </w:tc>
      </w:tr>
      <w:tr>
        <w:trPr>
          <w:cantSplit/>
        </w:trPr>
        <w:tc>
          <w:tcPr>
            <w:tcW w:type="dxa" w:w="1950"/>
            <w:vAlign w:val="top"/>
          </w:tcPr>
          <w:p>
            <w:pPr>
              <w:pStyle w:val="TableBody"/>
            </w:pPr>
            <w:r>
              <w:t>10 February 2025</w:t>
            </w:r>
          </w:p>
        </w:tc>
        <w:tc>
          <w:tcPr>
            <w:tcW w:type="dxa" w:w="3360"/>
            <w:vAlign w:val="top"/>
          </w:tcPr>
          <w:p>
            <w:pPr>
              <w:pStyle w:val="TableBody"/>
            </w:pPr>
            <w:r>
              <w:t>Ethics agreement</w:t>
            </w:r>
          </w:p>
        </w:tc>
        <w:tc>
          <w:tcPr>
            <w:tcW w:type="dxa" w:w="4050"/>
            <w:vAlign w:val="top"/>
          </w:tcPr>
          <w:p>
            <w:pPr>
              <w:pStyle w:val="TableBody"/>
            </w:pPr>
            <w:r>
              <w:t>Divestiture commitments and interim participation restrictions, with waiver and exemption alternatives</w:t>
            </w:r>
          </w:p>
        </w:tc>
      </w:tr>
      <w:tr>
        <w:trPr>
          <w:cantSplit/>
        </w:trPr>
        <w:tc>
          <w:tcPr>
            <w:tcW w:type="dxa" w:w="1950"/>
            <w:vAlign w:val="top"/>
          </w:tcPr>
          <w:p>
            <w:pPr>
              <w:pStyle w:val="TableBody"/>
            </w:pPr>
            <w:r>
              <w:t>7 April 2025</w:t>
            </w:r>
          </w:p>
        </w:tc>
        <w:tc>
          <w:tcPr>
            <w:tcW w:type="dxa" w:w="3360"/>
            <w:vAlign w:val="top"/>
          </w:tcPr>
          <w:p>
            <w:pPr>
              <w:pStyle w:val="TableBody"/>
            </w:pPr>
            <w:r>
              <w:t>DOJ memorandum</w:t>
            </w:r>
          </w:p>
        </w:tc>
        <w:tc>
          <w:tcPr>
            <w:tcW w:type="dxa" w:w="4050"/>
            <w:vAlign w:val="top"/>
          </w:tcPr>
          <w:p>
            <w:pPr>
              <w:pStyle w:val="TableBody"/>
            </w:pPr>
            <w:r>
              <w:t>A personally issued change in digital-asset enforcement policy</w:t>
            </w:r>
          </w:p>
        </w:tc>
      </w:tr>
      <w:tr>
        <w:trPr>
          <w:cantSplit/>
        </w:trPr>
        <w:tc>
          <w:tcPr>
            <w:tcW w:type="dxa" w:w="1950"/>
            <w:vAlign w:val="top"/>
          </w:tcPr>
          <w:p>
            <w:pPr>
              <w:pStyle w:val="TableBody"/>
            </w:pPr>
            <w:r>
              <w:t>3 June 2025</w:t>
            </w:r>
          </w:p>
        </w:tc>
        <w:tc>
          <w:tcPr>
            <w:tcW w:type="dxa" w:w="3360"/>
            <w:vAlign w:val="top"/>
          </w:tcPr>
          <w:p>
            <w:pPr>
              <w:pStyle w:val="TableBody"/>
            </w:pPr>
            <w:r>
              <w:t>Transaction report filed</w:t>
            </w:r>
          </w:p>
        </w:tc>
        <w:tc>
          <w:tcPr>
            <w:tcW w:type="dxa" w:w="4050"/>
            <w:vAlign w:val="top"/>
          </w:tcPr>
          <w:p>
            <w:pPr>
              <w:pStyle w:val="TableBody"/>
            </w:pPr>
            <w:r>
              <w:t>Later sales and an annotation concerning gifts</w:t>
            </w:r>
          </w:p>
        </w:tc>
      </w:tr>
      <w:tr>
        <w:trPr>
          <w:cantSplit/>
        </w:trPr>
        <w:tc>
          <w:tcPr>
            <w:tcW w:type="dxa" w:w="1950"/>
            <w:vAlign w:val="top"/>
          </w:tcPr>
          <w:p>
            <w:pPr>
              <w:pStyle w:val="TableBody"/>
            </w:pPr>
            <w:r>
              <w:t>5 June 2025</w:t>
            </w:r>
          </w:p>
        </w:tc>
        <w:tc>
          <w:tcPr>
            <w:tcW w:type="dxa" w:w="3360"/>
            <w:vAlign w:val="top"/>
          </w:tcPr>
          <w:p>
            <w:pPr>
              <w:pStyle w:val="TableBody"/>
            </w:pPr>
            <w:r>
              <w:t>Compliance certification</w:t>
            </w:r>
          </w:p>
        </w:tc>
        <w:tc>
          <w:tcPr>
            <w:tcW w:type="dxa" w:w="4050"/>
            <w:vAlign w:val="top"/>
          </w:tcPr>
          <w:p>
            <w:pPr>
              <w:pStyle w:val="TableBody"/>
            </w:pPr>
            <w:r>
              <w:t>A signed “No” answer concerning receipt of a §208 waiver</w:t>
            </w:r>
          </w:p>
        </w:tc>
      </w:tr>
      <w:tr>
        <w:trPr>
          <w:cantSplit/>
        </w:trPr>
        <w:tc>
          <w:tcPr>
            <w:tcW w:type="dxa" w:w="1950"/>
            <w:vAlign w:val="top"/>
          </w:tcPr>
          <w:p>
            <w:pPr>
              <w:pStyle w:val="TableBody"/>
            </w:pPr>
            <w:r>
              <w:t>July 2026</w:t>
            </w:r>
          </w:p>
        </w:tc>
        <w:tc>
          <w:tcPr>
            <w:tcW w:type="dxa" w:w="3360"/>
            <w:vAlign w:val="top"/>
          </w:tcPr>
          <w:p>
            <w:pPr>
              <w:pStyle w:val="TableBody"/>
            </w:pPr>
            <w:r>
              <w:t>Senate questions for the record</w:t>
            </w:r>
          </w:p>
        </w:tc>
        <w:tc>
          <w:tcPr>
            <w:tcW w:type="dxa" w:w="4050"/>
            <w:vAlign w:val="top"/>
          </w:tcPr>
          <w:p>
            <w:pPr>
              <w:pStyle w:val="TableBody"/>
            </w:pPr>
            <w:r>
              <w:t>An affirmative answer concerning a written pre-memorandum §208(b)(1) determination</w:t>
            </w:r>
          </w:p>
        </w:tc>
      </w:tr>
    </w:tbl>
    <w:p>
      <w:pPr>
        <w:pStyle w:val="TableCitation"/>
      </w:pPr>
      <w:r>
        <w:t xml:space="preserve">Sources: the disclosure, agreement, memorandum, transaction report, certification, and Senate answers. </w:t>
      </w:r>
      <w:hyperlink r:id="rId19">
        <w:r>
          <w:rPr>
            <w:color w:val="2E74B5"/>
            <w:sz w:val="18"/>
          </w:rPr>
          <w:t>[C-01 · Blanche disclosure]</w:t>
        </w:r>
      </w:hyperlink>
      <w:r>
        <w:t xml:space="preserve"> </w:t>
      </w:r>
      <w:hyperlink r:id="rId20">
        <w:r>
          <w:rPr>
            <w:color w:val="2E74B5"/>
            <w:sz w:val="18"/>
          </w:rPr>
          <w:t>[C-02 · Blanche ethics agreement]</w:t>
        </w:r>
      </w:hyperlink>
      <w:r>
        <w:t xml:space="preserve"> </w:t>
      </w:r>
      <w:hyperlink r:id="rId21">
        <w:r>
          <w:rPr>
            <w:color w:val="2E74B5"/>
            <w:sz w:val="18"/>
          </w:rPr>
          <w:t>[C-03 · DOJ enforcement memo]</w:t>
        </w:r>
      </w:hyperlink>
      <w:r>
        <w:t xml:space="preserve"> </w:t>
      </w:r>
      <w:hyperlink r:id="rId22">
        <w:r>
          <w:rPr>
            <w:color w:val="2E74B5"/>
            <w:sz w:val="18"/>
          </w:rPr>
          <w:t>[C-04 · Blanche transaction report]</w:t>
        </w:r>
      </w:hyperlink>
      <w:r>
        <w:t xml:space="preserve"> </w:t>
      </w:r>
      <w:hyperlink r:id="rId23">
        <w:r>
          <w:rPr>
            <w:color w:val="2E74B5"/>
            <w:sz w:val="18"/>
          </w:rPr>
          <w:t>[N-01 · June certification]</w:t>
        </w:r>
      </w:hyperlink>
      <w:r>
        <w:t xml:space="preserve"> </w:t>
      </w:r>
      <w:hyperlink r:id="rId24">
        <w:r>
          <w:rPr>
            <w:color w:val="2E74B5"/>
            <w:sz w:val="18"/>
          </w:rPr>
          <w:t>[N-02 · Senate answers, PDF p.193]</w:t>
        </w:r>
      </w:hyperlink>
    </w:p>
    <w:p>
      <w:pPr/>
      <w:r>
        <w:t xml:space="preserve">The compliance certification is especially specific. On page 3, section 7(a), the form asks whether Blanche received a waiver under 18 U.S.C. §208. The “No” circle is selected. Page 4 bears his signature dated 5 June 2025. The visible form, including that selection, was checked for this edition. </w:t>
      </w:r>
      <w:hyperlink r:id="rId23">
        <w:r>
          <w:rPr>
            <w:color w:val="2E74B5"/>
            <w:sz w:val="18"/>
          </w:rPr>
          <w:t>[N-01 · June certification]</w:t>
        </w:r>
      </w:hyperlink>
    </w:p>
    <w:p>
      <w:pPr/>
      <w:r>
        <w:t xml:space="preserve">His later Senate answers contain a different response. Asked whether he had received a written §208(b)(1) determination before issuing the April memorandum, and asked for a copy, he answered: </w:t>
      </w:r>
      <w:r>
        <w:rPr>
          <w:b/>
        </w:rPr>
        <w:t>“Yes, but such determinations are not subject to disclosure.”</w:t>
      </w:r>
      <w:r>
        <w:t xml:space="preserve"> The answer appears on physical PDF page 193 of the 404-page compilation. Elsewhere in the adjacent answers, he says DOJ ethics officials cleared the matter and declines to itemize internal ethics communications. </w:t>
      </w:r>
      <w:hyperlink r:id="rId24">
        <w:r>
          <w:rPr>
            <w:color w:val="2E74B5"/>
            <w:sz w:val="18"/>
          </w:rPr>
          <w:t>[N-02 · Senate answers, PDF p.193]</w:t>
        </w:r>
      </w:hyperlink>
    </w:p>
    <w:p>
      <w:pPr/>
      <w:r>
        <w:t xml:space="preserve">The discrepancy is between identifiable documents. This edition did not recover the determination itself or a substantive reconciliation of the two answers. It therefore records both responses and the unrecovered instrument. The earlier description that no legal position or written-determination assertion had been identified is obsolete. </w:t>
      </w:r>
      <w:hyperlink r:id="rId23">
        <w:r>
          <w:rPr>
            <w:color w:val="2E74B5"/>
            <w:sz w:val="18"/>
          </w:rPr>
          <w:t>[N-01 · June certification]</w:t>
        </w:r>
      </w:hyperlink>
      <w:r>
        <w:t xml:space="preserve"> </w:t>
      </w:r>
      <w:hyperlink r:id="rId24">
        <w:r>
          <w:rPr>
            <w:color w:val="2E74B5"/>
            <w:sz w:val="18"/>
          </w:rPr>
          <w:t>[N-02 · Senate answers, PDF p.193]</w:t>
        </w:r>
      </w:hyperlink>
      <w:r>
        <w:t xml:space="preserve"> </w:t>
      </w:r>
      <w:hyperlink r:id="rId11">
        <w:r>
          <w:rPr>
            <w:color w:val="2E74B5"/>
            <w:sz w:val="18"/>
          </w:rPr>
          <w:t>[COR-020 · 54-item human review]</w:t>
        </w:r>
      </w:hyperlink>
    </w:p>
    <w:p>
      <w:pPr/>
      <w:r>
        <w:t xml:space="preserve">The disclosure rule also has an identifiable text. Section 208(d)(1), implemented in 5 C.F.R. §2640.304, provides for copies of specified waivers to be made available on request, subject to authorized withholding of exempt information. That framework differs from a categorical claim that such determinations are outside disclosure. Applying it to a particular document requires identifying the instrument and any asserted exemption. </w:t>
      </w:r>
      <w:hyperlink r:id="rId25">
        <w:r>
          <w:rPr>
            <w:color w:val="2E74B5"/>
            <w:sz w:val="18"/>
          </w:rPr>
          <w:t>[C-08 · 18 USC §208]</w:t>
        </w:r>
      </w:hyperlink>
      <w:r>
        <w:t xml:space="preserve"> </w:t>
      </w:r>
      <w:hyperlink r:id="rId26">
        <w:r>
          <w:rPr>
            <w:color w:val="2E74B5"/>
            <w:sz w:val="18"/>
          </w:rPr>
          <w:t>[N-03 · Waiver disclosure rule]</w:t>
        </w:r>
      </w:hyperlink>
    </w:p>
    <w:p>
      <w:pPr/>
      <w:r>
        <w:t xml:space="preserve">The record supports the policy chronology and the conflicting responses. A conclusion about a §208 violation additionally requires the statutory participation, particular-matter, financial-interest, and effect analysis, together with the actual mitigation or waiver record. The certification is a compliance document; it is not a published adjudication of the April memorandum. Likewise, an asserted clearance is evidence of the official’s stated position, not a substitute for the text of that clearance. </w:t>
      </w:r>
      <w:hyperlink r:id="rId20">
        <w:r>
          <w:rPr>
            <w:color w:val="2E74B5"/>
            <w:sz w:val="18"/>
          </w:rPr>
          <w:t>[C-02 · Blanche ethics agreement]</w:t>
        </w:r>
      </w:hyperlink>
      <w:r>
        <w:t xml:space="preserve"> </w:t>
      </w:r>
      <w:hyperlink r:id="rId25">
        <w:r>
          <w:rPr>
            <w:color w:val="2E74B5"/>
            <w:sz w:val="18"/>
          </w:rPr>
          <w:t>[C-08 · 18 USC §208]</w:t>
        </w:r>
      </w:hyperlink>
      <w:r>
        <w:t xml:space="preserve"> </w:t>
      </w:r>
      <w:hyperlink r:id="rId27">
        <w:r>
          <w:rPr>
            <w:color w:val="2E74B5"/>
            <w:sz w:val="18"/>
          </w:rPr>
          <w:t>[C-09 · 5 CFR Part 2640]</w:t>
        </w:r>
      </w:hyperlink>
    </w:p>
    <w:p>
      <w:pPr>
        <w:pStyle w:val="Heading2"/>
      </w:pPr>
      <w:r>
        <w:t>Related disclosure record</w:t>
      </w:r>
    </w:p>
    <w:p>
      <w:pPr/>
      <w:r>
        <w:t xml:space="preserve">The Revelation material also links DOJ’s Epstein-file production. On 30 January 2026, DOJ announced that additional publication brought its total to nearly 3.5 million pages. The release identifies multiple investigative sources and says production may include public submissions whose authenticity is not established. This is the Department’s production account, not an independent completeness audit. A mention, an allegation, a corroborated fact, and a judicial finding remain distinct records. </w:t>
      </w:r>
      <w:hyperlink r:id="rId28">
        <w:r>
          <w:rPr>
            <w:color w:val="2E74B5"/>
            <w:sz w:val="18"/>
          </w:rPr>
          <w:t>[N-14 · DOJ production announcement]</w:t>
        </w:r>
      </w:hyperlink>
      <w:r>
        <w:t xml:space="preserve"> </w:t>
      </w:r>
      <w:hyperlink r:id="rId16">
        <w:r>
          <w:rPr>
            <w:color w:val="2E74B5"/>
            <w:sz w:val="18"/>
          </w:rPr>
          <w:t>[COR-089 · Revelation verified edition]</w:t>
        </w:r>
      </w:hyperlink>
    </w:p>
    <w:p>
      <w:pPr>
        <w:pStyle w:val="Heading1"/>
      </w:pPr>
      <w:r>
        <w:t>2. Religious-policy administration: a public institutional route</w:t>
      </w:r>
    </w:p>
    <w:p>
      <w:pPr/>
      <w:r>
        <w:t xml:space="preserve">The White House Faith Office was established in the Domestic Policy Council on 7 February 2025. Its stated functions include consultation with faith and community leaders, policy recommendations, coordination concerning access to grants, and collaboration with the Attorney General on religious-liberty issues. Paula White-Cain’s appointment is separately recorded. These instruments identify an office, a location within government, personnel, and authorized activities. </w:t>
      </w:r>
      <w:hyperlink r:id="rId29">
        <w:r>
          <w:rPr>
            <w:color w:val="2E74B5"/>
            <w:sz w:val="18"/>
          </w:rPr>
          <w:t>[R-01 · Faith Office order]</w:t>
        </w:r>
      </w:hyperlink>
      <w:r>
        <w:t xml:space="preserve"> </w:t>
      </w:r>
      <w:hyperlink r:id="rId30">
        <w:r>
          <w:rPr>
            <w:color w:val="2E74B5"/>
            <w:sz w:val="18"/>
          </w:rPr>
          <w:t>[R-02 · Faith Office appointments]</w:t>
        </w:r>
      </w:hyperlink>
    </w:p>
    <w:p>
      <w:pPr/>
      <w:r>
        <w:t xml:space="preserve">A separate 6 February order established the Task Force to Eradicate Anti-Christian Bias within DOJ, chaired by the Attorney General and including officials from multiple agencies. Its functions include reviewing agency conduct, recommending changes, soliciting information, and developing enforcement-related recommendations. DOJ’s 22 April 2025 release records its first meeting under Pamela Bondi. Allegations repeated in an order’s recitals or at a meeting remain allegations; the documents directly establish the creation and activity of the institution. </w:t>
      </w:r>
      <w:hyperlink r:id="rId31">
        <w:r>
          <w:rPr>
            <w:color w:val="2E74B5"/>
            <w:sz w:val="18"/>
          </w:rPr>
          <w:t>[R-03 · Task-force order]</w:t>
        </w:r>
      </w:hyperlink>
      <w:r>
        <w:t xml:space="preserve"> </w:t>
      </w:r>
      <w:hyperlink r:id="rId32">
        <w:r>
          <w:rPr>
            <w:color w:val="2E74B5"/>
            <w:sz w:val="18"/>
          </w:rPr>
          <w:t>[R-04 · DOJ first meeting]</w:t>
        </w:r>
      </w:hyperlink>
    </w:p>
    <w:p>
      <w:pPr/>
      <w:r>
        <w:t xml:space="preserve">On 23 July 2026, DOJ issued updated religious-liberty guidance addressed across the federal government. The guidance reaches administrative subjects including employment, programs, grants, contracts, regulation, and enforcement. This supplies a concrete example of policy expressed through government-wide administrative instructions. It does not, by itself, identify a particular organization that received improper preference or a particular person who was unlawfully excluded. </w:t>
      </w:r>
      <w:hyperlink r:id="rId33">
        <w:r>
          <w:rPr>
            <w:color w:val="2E74B5"/>
            <w:sz w:val="18"/>
          </w:rPr>
          <w:t>[R-05 · Religious-liberty memorandum]</w:t>
        </w:r>
      </w:hyperlink>
      <w:r>
        <w:t xml:space="preserve"> </w:t>
      </w:r>
      <w:hyperlink r:id="rId34">
        <w:r>
          <w:rPr>
            <w:color w:val="2E74B5"/>
            <w:sz w:val="18"/>
          </w:rPr>
          <w:t>[N-04 · DOJ guidance release]</w:t>
        </w:r>
      </w:hyperlink>
    </w:p>
    <w:p>
      <w:pPr/>
      <w:r>
        <w:t xml:space="preserve">The Human-side materials also discuss the Religious Liberty Commission. They distinguish its creation and historical activities from continued authority after the termination date stated in its original instrument. The later extension instrument was not recovered in the reviewed institutional paper. Continued operation cannot be established merely by reusing the original creation date. </w:t>
      </w:r>
      <w:hyperlink r:id="rId11">
        <w:r>
          <w:rPr>
            <w:color w:val="2E74B5"/>
            <w:sz w:val="18"/>
          </w:rPr>
          <w:t>[COR-020 · 54-item human review]</w:t>
        </w:r>
      </w:hyperlink>
      <w:r>
        <w:t xml:space="preserve"> </w:t>
      </w:r>
      <w:hyperlink r:id="rId35">
        <w:r>
          <w:rPr>
            <w:color w:val="2E74B5"/>
            <w:sz w:val="18"/>
          </w:rPr>
          <w:t>[COR-044 · Institutional paper]</w:t>
        </w:r>
      </w:hyperlink>
    </w:p>
    <w:p>
      <w:pPr/>
      <w:r>
        <w:t xml:space="preserve">For this strand, the documented object is the route from an executive office and an interagency task force to administrative guidance. A different claim—improper allocation in a named grant, employment, contracting, or enforcement matter—requires the corresponding decision record. The 54-item review keeps those subjects as H01–H03, rather than collapsing the public route into a finding about an entire religion. </w:t>
      </w:r>
      <w:hyperlink r:id="rId11">
        <w:r>
          <w:rPr>
            <w:color w:val="2E74B5"/>
            <w:sz w:val="18"/>
          </w:rPr>
          <w:t>[COR-020 · 54-item human review]</w:t>
        </w:r>
      </w:hyperlink>
    </w:p>
    <w:p>
      <w:pPr>
        <w:pStyle w:val="Heading1"/>
      </w:pPr>
      <w:r>
        <w:t>3. Procurement: amounts, requirements, and dependence</w:t>
      </w:r>
    </w:p>
    <w:p>
      <w:pPr/>
      <w:r>
        <w:t xml:space="preserve">The defense procurement material includes two different Palantir instruments. A May 2025 contract announcement describes a $795 million modification for Maven Smart System software licenses. The Army’s 31 July 2025 enterprise agreement announcement describes consolidation of 75 contracts, a term of up to ten years, and a $10 billion maximum. The Army explicitly states that the ceiling is not a commitment to spend that amount. A modification amount, an ordering ceiling, an obligation, and a disbursement are different financial fields. </w:t>
      </w:r>
      <w:hyperlink r:id="rId36">
        <w:r>
          <w:rPr>
            <w:color w:val="2E74B5"/>
            <w:sz w:val="18"/>
          </w:rPr>
          <w:t>[P-01 · Maven modification]</w:t>
        </w:r>
      </w:hyperlink>
      <w:r>
        <w:t xml:space="preserve"> </w:t>
      </w:r>
      <w:hyperlink r:id="rId37">
        <w:r>
          <w:rPr>
            <w:color w:val="2E74B5"/>
            <w:sz w:val="18"/>
          </w:rPr>
          <w:t>[P-02 · Army enterprise agreement]</w:t>
        </w:r>
      </w:hyperlink>
    </w:p>
    <w:p>
      <w:pPr/>
      <w:r>
        <w:t xml:space="preserve">Those records identify a procurement relationship and its stated scale. They do not independently measure battlefield performance or establish how much of the maximum amount was ultimately ordered. The Army presents consolidation as a way to reduce purchasing costs and improve access to capabilities. That stated rationale belongs in the account alongside the contractual terms. </w:t>
      </w:r>
      <w:hyperlink r:id="rId37">
        <w:r>
          <w:rPr>
            <w:color w:val="2E74B5"/>
            <w:sz w:val="18"/>
          </w:rPr>
          <w:t>[P-02 · Army enterprise agreement]</w:t>
        </w:r>
      </w:hyperlink>
    </w:p>
    <w:p>
      <w:pPr/>
      <w:r>
        <w:t xml:space="preserve">The ICE continuation material is more specific about switching. The recovered source register identifies SAM notice J&amp;A-25-0266 and records the agency’s reliance on proprietary intellectual property, authorization requirements, a review of 42 vendors, and an estimated 18–24-month migration period. Those are the agency’s stated reasons for continuing with an incumbent. They document the agency’s assessment of replacement costs and constraints; independent validation of the alternatives analysis is a separate question. </w:t>
      </w:r>
      <w:hyperlink r:id="rId38">
        <w:r>
          <w:rPr>
            <w:color w:val="2E74B5"/>
            <w:sz w:val="18"/>
          </w:rPr>
          <w:t>[P-03 · ICE SAM notice]</w:t>
        </w:r>
      </w:hyperlink>
      <w:r>
        <w:t xml:space="preserve"> </w:t>
      </w:r>
      <w:hyperlink r:id="rId12">
        <w:r>
          <w:rPr>
            <w:color w:val="2E74B5"/>
            <w:sz w:val="18"/>
          </w:rPr>
          <w:t>[COR-052 · Human source register]</w:t>
        </w:r>
      </w:hyperlink>
    </w:p>
    <w:p>
      <w:pPr/>
      <w:r>
        <w:t xml:space="preserve">This is a factual instance of the function described in the draft as an expensive exit. The relevant institution is an agency procurement system, the intermediary is a named contractor, and the asserted exit cost appears in a procurement rationale. It is not a measurement of every citizen’s ability to avoid every technology platform. </w:t>
      </w:r>
      <w:hyperlink r:id="rId38">
        <w:r>
          <w:rPr>
            <w:color w:val="2E74B5"/>
            <w:sz w:val="18"/>
          </w:rPr>
          <w:t>[P-03 · ICE SAM notice]</w:t>
        </w:r>
      </w:hyperlink>
    </w:p>
    <w:p>
      <w:pPr/>
      <w:r>
        <w:t xml:space="preserve">The original 2022 competition history must remain distinct from a later continuation. The recovered papers retain conflicting descriptions in award metadata and later justifications. They identify task order 70CTD022FR0000170 and the original solicitation as records whose full competition chain had not been recovered. The existence of a later continuation justification does not reconstruct the earlier proposal pool, evaluation, or selection decision. </w:t>
      </w:r>
      <w:hyperlink r:id="rId39">
        <w:r>
          <w:rPr>
            <w:color w:val="2E74B5"/>
            <w:sz w:val="18"/>
          </w:rPr>
          <w:t>[COR-005 · Routes paper]</w:t>
        </w:r>
      </w:hyperlink>
      <w:r>
        <w:t xml:space="preserve"> </w:t>
      </w:r>
      <w:hyperlink r:id="rId11">
        <w:r>
          <w:rPr>
            <w:color w:val="2E74B5"/>
            <w:sz w:val="18"/>
          </w:rPr>
          <w:t>[COR-020 · 54-item human review]</w:t>
        </w:r>
      </w:hyperlink>
    </w:p>
    <w:p>
      <w:pPr/>
      <w:r>
        <w:t xml:space="preserve">The FBI material adds another bounded relationship: award 15F06723C0002443 and the EKAP environment. Kash Patel’s ethics agreement required divestiture of Palantir stock and interim nonparticipation in covered matters; his transaction report records a $50,001–$100,000 sale on 12 May 2025. The contract’s existence and the historical holding do not identify Patel as the person who selected the vendor or approved a renewal. </w:t>
      </w:r>
      <w:hyperlink r:id="rId40">
        <w:r>
          <w:rPr>
            <w:color w:val="2E74B5"/>
            <w:sz w:val="18"/>
          </w:rPr>
          <w:t>[P-04 · FBI award]</w:t>
        </w:r>
      </w:hyperlink>
      <w:r>
        <w:t xml:space="preserve"> </w:t>
      </w:r>
      <w:hyperlink r:id="rId41">
        <w:r>
          <w:rPr>
            <w:color w:val="2E74B5"/>
            <w:sz w:val="18"/>
          </w:rPr>
          <w:t>[P-10 · Patel ethics agreement]</w:t>
        </w:r>
      </w:hyperlink>
      <w:r>
        <w:t xml:space="preserve"> </w:t>
      </w:r>
      <w:hyperlink r:id="rId42">
        <w:r>
          <w:rPr>
            <w:color w:val="2E74B5"/>
            <w:sz w:val="18"/>
          </w:rPr>
          <w:t>[P-11 · Patel transaction report]</w:t>
        </w:r>
      </w:hyperlink>
    </w:p>
    <w:p>
      <w:pPr/>
      <w:r>
        <w:t xml:space="preserve">Gregory Barbaccia’s prior Palantir employment and later government appointments are separately recorded. The TTS appointment release is dated 19 February 2026; the previously used May date was a webpage update. July reporting described a planned departure and return to Palantir. This edition preserves that as an announced plan at the reporting date, without converting elapsed time into proof that the new employment began. Nor does a secondary index that omits a sale establish continued stock ownership. </w:t>
      </w:r>
      <w:hyperlink r:id="rId43">
        <w:r>
          <w:rPr>
            <w:color w:val="2E74B5"/>
            <w:sz w:val="18"/>
          </w:rPr>
          <w:t>[P-08 · TTS appointment]</w:t>
        </w:r>
      </w:hyperlink>
      <w:r>
        <w:t xml:space="preserve"> </w:t>
      </w:r>
      <w:hyperlink r:id="rId44">
        <w:r>
          <w:rPr>
            <w:color w:val="2E74B5"/>
            <w:sz w:val="18"/>
          </w:rPr>
          <w:t>[P-09 · Barbaccia disclosure]</w:t>
        </w:r>
      </w:hyperlink>
      <w:r>
        <w:t xml:space="preserve"> </w:t>
      </w:r>
      <w:hyperlink r:id="rId45">
        <w:r>
          <w:rPr>
            <w:color w:val="2E74B5"/>
            <w:sz w:val="18"/>
          </w:rPr>
          <w:t>[V-02 · Federal CIO appointment]</w:t>
        </w:r>
      </w:hyperlink>
      <w:r>
        <w:t xml:space="preserve"> </w:t>
      </w:r>
      <w:hyperlink r:id="rId46">
        <w:r>
          <w:rPr>
            <w:color w:val="2E74B5"/>
            <w:sz w:val="18"/>
          </w:rPr>
          <w:t>[V-03 · Departure reporting]</w:t>
        </w:r>
      </w:hyperlink>
      <w:r>
        <w:t xml:space="preserve"> </w:t>
      </w:r>
      <w:hyperlink r:id="rId47">
        <w:r>
          <w:rPr>
            <w:color w:val="2E74B5"/>
            <w:sz w:val="18"/>
          </w:rPr>
          <w:t>[V-04 · Return-plan reporting]</w:t>
        </w:r>
      </w:hyperlink>
    </w:p>
    <w:p>
      <w:pPr>
        <w:pStyle w:val="Heading1"/>
      </w:pPr>
      <w:r>
        <w:t>4. Data custody: receipt is an event of its own</w:t>
      </w:r>
    </w:p>
    <w:p>
      <w:pPr/>
      <w:r>
        <w:t xml:space="preserve">The CMS–ICE litigation provides a different kind of evidence from a contract award. The August 2025 preliminary-injunction order records that CMS began sharing information with ICE in June and entered a formal agreement in July. The order imposed a limited injunction; it did not hold that every possible exchange of CMS information was categorically unlawful. The CMS policy page separately describes information-exchange agreement requirements. </w:t>
      </w:r>
      <w:hyperlink r:id="rId48">
        <w:r>
          <w:rPr>
            <w:color w:val="2E74B5"/>
            <w:sz w:val="18"/>
          </w:rPr>
          <w:t>[P-05 · CMS exchange policy]</w:t>
        </w:r>
      </w:hyperlink>
      <w:r>
        <w:t xml:space="preserve"> </w:t>
      </w:r>
      <w:hyperlink r:id="rId49">
        <w:r>
          <w:rPr>
            <w:color w:val="2E74B5"/>
            <w:sz w:val="18"/>
          </w:rPr>
          <w:t>[P-06 · CMS injunction order]</w:t>
        </w:r>
      </w:hyperlink>
    </w:p>
    <w:p>
      <w:pPr/>
      <w:r>
        <w:t xml:space="preserve">Later filings and NPR reporting describe a narrower chain involving a Medicaid dataset, ICE, and Palantir personnel. The record includes a declaration reporting defendants’ response and a redacted exhibit concerning deletion. NPR reported a Teams transfer, removal efforts, Palantir’s statement that it purged the data, and the government’s statement that the later file was not used for law-enforcement purposes. Each statement retains its speaker and scope. </w:t>
      </w:r>
      <w:hyperlink r:id="rId50">
        <w:r>
          <w:rPr>
            <w:color w:val="2E74B5"/>
            <w:sz w:val="18"/>
          </w:rPr>
          <w:t>[A-02 · Rich declaration]</w:t>
        </w:r>
      </w:hyperlink>
      <w:r>
        <w:t xml:space="preserve"> </w:t>
      </w:r>
      <w:hyperlink r:id="rId51">
        <w:r>
          <w:rPr>
            <w:color w:val="2E74B5"/>
            <w:sz w:val="18"/>
          </w:rPr>
          <w:t>[P-07 · Deletion exhibit]</w:t>
        </w:r>
      </w:hyperlink>
      <w:r>
        <w:t xml:space="preserve"> </w:t>
      </w:r>
      <w:hyperlink r:id="rId52">
        <w:r>
          <w:rPr>
            <w:color w:val="2E74B5"/>
            <w:sz w:val="18"/>
          </w:rPr>
          <w:t>[V-01 · NPR custody report]</w:t>
        </w:r>
      </w:hyperlink>
    </w:p>
    <w:p>
      <w:pPr/>
      <w:r>
        <w:t xml:space="preserve">Three questions are therefore distinct: who received the file; where copies subsequently existed; and whether the data entered an operational system that produced a target or enforcement action. The recovered materials support a custody account and record disputes concerning handling. They do not supply an ingestion-to-query-to-output-to-arrest chain for the disputed dataset. A transfer through Teams is not itself proof of production ingestion, and the choice of transfer channel does not independently establish non-use. </w:t>
      </w:r>
      <w:hyperlink r:id="rId50">
        <w:r>
          <w:rPr>
            <w:color w:val="2E74B5"/>
            <w:sz w:val="18"/>
          </w:rPr>
          <w:t>[A-02 · Rich declaration]</w:t>
        </w:r>
      </w:hyperlink>
      <w:r>
        <w:t xml:space="preserve"> </w:t>
      </w:r>
      <w:hyperlink r:id="rId51">
        <w:r>
          <w:rPr>
            <w:color w:val="2E74B5"/>
            <w:sz w:val="18"/>
          </w:rPr>
          <w:t>[P-07 · Deletion exhibit]</w:t>
        </w:r>
      </w:hyperlink>
      <w:r>
        <w:t xml:space="preserve"> </w:t>
      </w:r>
      <w:hyperlink r:id="rId11">
        <w:r>
          <w:rPr>
            <w:color w:val="2E74B5"/>
            <w:sz w:val="18"/>
          </w:rPr>
          <w:t>[COR-020 · 54-item human review]</w:t>
        </w:r>
      </w:hyperlink>
    </w:p>
    <w:p>
      <w:pPr/>
      <w:r>
        <w:t xml:space="preserve">The older broad description of a consolidated population database must not replace this more specific account. The later record adds information about custody while narrowing claims about operational use. Similarly, a deletion statement and an independently verified complete copy inventory are different records. Subsequent agency possession does not, by itself, prove that the contractor retained a copy after its stated purge. </w:t>
      </w:r>
      <w:hyperlink r:id="rId11">
        <w:r>
          <w:rPr>
            <w:color w:val="2E74B5"/>
            <w:sz w:val="18"/>
          </w:rPr>
          <w:t>[COR-020 · 54-item human review]</w:t>
        </w:r>
      </w:hyperlink>
      <w:r>
        <w:t xml:space="preserve"> </w:t>
      </w:r>
      <w:hyperlink r:id="rId12">
        <w:r>
          <w:rPr>
            <w:color w:val="2E74B5"/>
            <w:sz w:val="18"/>
          </w:rPr>
          <w:t>[COR-052 · Human source register]</w:t>
        </w:r>
      </w:hyperlink>
    </w:p>
    <w:p>
      <w:pPr/>
      <w:r>
        <w:t xml:space="preserve">The people and institutions can be attributed at the documented points of action. Their titles or employment histories do not identify an otherwise unnamed person as the authorizer of the transfer. The register therefore preserves Clark Minor’s reported career history as a separate lead from the question of who authorized this particular disclosure. </w:t>
      </w:r>
      <w:hyperlink r:id="rId11">
        <w:r>
          <w:rPr>
            <w:color w:val="2E74B5"/>
            <w:sz w:val="18"/>
          </w:rPr>
          <w:t>[COR-020 · 54-item human review]</w:t>
        </w:r>
      </w:hyperlink>
      <w:r>
        <w:t xml:space="preserve"> </w:t>
      </w:r>
      <w:hyperlink r:id="rId53">
        <w:r>
          <w:rPr>
            <w:color w:val="2E74B5"/>
            <w:sz w:val="18"/>
          </w:rPr>
          <w:t>[COR-075 · Archetype packet]</w:t>
        </w:r>
      </w:hyperlink>
    </w:p>
    <w:p>
      <w:pPr>
        <w:pStyle w:val="Heading1"/>
      </w:pPr>
      <w:r>
        <w:t>5. OpenAI: control rights and external review</w:t>
      </w:r>
    </w:p>
    <w:p>
      <w:pPr/>
      <w:r>
        <w:t xml:space="preserve">The Conduct Docket’s governance section must be read alongside the actual state oversight records. The California Attorney General and OpenAI executed an agreement on 27 October 2025 setting conditions for non-objection to the recapitalization. Delaware’s Attorney General announced completion of a separate review on 28 October. The Delaware release describes independent legal advisers and an independent financial adviser, Moelis &amp; Company. External review was therefore present in the documentary record. </w:t>
      </w:r>
      <w:hyperlink r:id="rId54">
        <w:r>
          <w:rPr>
            <w:color w:val="2E74B5"/>
            <w:sz w:val="18"/>
          </w:rPr>
          <w:t>[N-05 · California agreement]</w:t>
        </w:r>
      </w:hyperlink>
      <w:r>
        <w:t xml:space="preserve"> </w:t>
      </w:r>
      <w:hyperlink r:id="rId55">
        <w:r>
          <w:rPr>
            <w:color w:val="2E74B5"/>
            <w:sz w:val="18"/>
          </w:rPr>
          <w:t>[N-06 · Delaware review]</w:t>
        </w:r>
      </w:hyperlink>
    </w:p>
    <w:p>
      <w:pPr/>
      <w:r>
        <w:t xml:space="preserve">The Delaware account describes continued nonprofit control of the public benefit corporation, director-selection rights, an independent safety committee with specified powers, additional independent directors, notice obligations, and continuing Attorney General oversight. California’s agreement also specifies governance and reporting commitments. These are identifiable powers and conditions. Their existence does not establish that every later transaction complied with them; compliance is a separate implementation question. </w:t>
      </w:r>
      <w:hyperlink r:id="rId54">
        <w:r>
          <w:rPr>
            <w:color w:val="2E74B5"/>
            <w:sz w:val="18"/>
          </w:rPr>
          <w:t>[N-05 · California agreement]</w:t>
        </w:r>
      </w:hyperlink>
      <w:r>
        <w:t xml:space="preserve"> </w:t>
      </w:r>
      <w:hyperlink r:id="rId55">
        <w:r>
          <w:rPr>
            <w:color w:val="2E74B5"/>
            <w:sz w:val="18"/>
          </w:rPr>
          <w:t>[N-06 · Delaware review]</w:t>
        </w:r>
      </w:hyperlink>
    </w:p>
    <w:p>
      <w:pPr/>
      <w:r>
        <w:t xml:space="preserve">This corrects the broad wording that no outside review occurred. It also narrows a different assertion: the absence of a publicly located fairness opinion is not evidence that no financial adviser performed work. Conversely, a press release describing review does not reproduce the complete valuation model, engagement terms, or transaction analysis. Those underlying materials were not recovered for this edition. </w:t>
      </w:r>
      <w:hyperlink r:id="rId55">
        <w:r>
          <w:rPr>
            <w:color w:val="2E74B5"/>
            <w:sz w:val="18"/>
          </w:rPr>
          <w:t>[N-06 · Delaware review]</w:t>
        </w:r>
      </w:hyperlink>
      <w:r>
        <w:t xml:space="preserve"> </w:t>
      </w:r>
      <w:hyperlink r:id="rId56">
        <w:r>
          <w:rPr>
            <w:color w:val="2E74B5"/>
            <w:sz w:val="18"/>
          </w:rPr>
          <w:t>[COR-061 · Conduct Docket]</w:t>
        </w:r>
      </w:hyperlink>
    </w:p>
    <w:p>
      <w:pPr/>
      <w:r>
        <w:t xml:space="preserve">The source classification matters. Some of the Conduct Docket’s strongest descriptions of Class N rights were carried by reporting or advocacy commentary. A commentary describing a charter is not the charter itself. This edition uses the executed California agreement and the Delaware account for the powers they actually describe, while retaining the unrecovered charter and valuation materials as bibliographic and documentary gaps. </w:t>
      </w:r>
      <w:hyperlink r:id="rId54">
        <w:r>
          <w:rPr>
            <w:color w:val="2E74B5"/>
            <w:sz w:val="18"/>
          </w:rPr>
          <w:t>[N-05 · California agreement]</w:t>
        </w:r>
      </w:hyperlink>
      <w:r>
        <w:t xml:space="preserve"> </w:t>
      </w:r>
      <w:hyperlink r:id="rId55">
        <w:r>
          <w:rPr>
            <w:color w:val="2E74B5"/>
            <w:sz w:val="18"/>
          </w:rPr>
          <w:t>[N-06 · Delaware review]</w:t>
        </w:r>
      </w:hyperlink>
      <w:r>
        <w:t xml:space="preserve"> </w:t>
      </w:r>
      <w:hyperlink r:id="rId56">
        <w:r>
          <w:rPr>
            <w:color w:val="2E74B5"/>
            <w:sz w:val="18"/>
          </w:rPr>
          <w:t>[COR-061 · Conduct Docket]</w:t>
        </w:r>
      </w:hyperlink>
    </w:p>
    <w:p>
      <w:pPr/>
      <w:r>
        <w:t xml:space="preserve">The counterparty-interest strand is separate from corporate control. A May 2026 House Oversight letter sought information about OpenAI’s conflicts procedures. Reuters reported court testimony and records concerning Sam Altman’s investments in companies that dealt with OpenAI, including Helion, and his testimony that he recused himself from relevant transactions. The report also states that he left Helion’s board in March 2026. An older description of that board position as continuing requires a date correction. </w:t>
      </w:r>
      <w:hyperlink r:id="rId57">
        <w:r>
          <w:rPr>
            <w:color w:val="2E74B5"/>
            <w:sz w:val="18"/>
          </w:rPr>
          <w:t>[N-07 · House Oversight letter]</w:t>
        </w:r>
      </w:hyperlink>
      <w:r>
        <w:t xml:space="preserve"> </w:t>
      </w:r>
      <w:hyperlink r:id="rId58">
        <w:r>
          <w:rPr>
            <w:color w:val="2E74B5"/>
            <w:sz w:val="18"/>
          </w:rPr>
          <w:t>[N-08 · Reuters testimony report]</w:t>
        </w:r>
      </w:hyperlink>
    </w:p>
    <w:p>
      <w:pPr/>
      <w:r>
        <w:t xml:space="preserve">The research files distinguish equity ownership, board membership, fund exposure, a proposed transaction, and a completed agreement. Those relationships cannot all be described as the same transaction. The reviewed material does not supply complete contemporaneous minutes and participation records for each questioned deal. It records the interests, the transactions or proposals as reported, and the recusal testimony, without pronouncing a finding of improper self-dealing. </w:t>
      </w:r>
      <w:hyperlink r:id="rId11">
        <w:r>
          <w:rPr>
            <w:color w:val="2E74B5"/>
            <w:sz w:val="18"/>
          </w:rPr>
          <w:t>[COR-020 · 54-item human review]</w:t>
        </w:r>
      </w:hyperlink>
      <w:r>
        <w:t xml:space="preserve"> </w:t>
      </w:r>
      <w:hyperlink r:id="rId56">
        <w:r>
          <w:rPr>
            <w:color w:val="2E74B5"/>
            <w:sz w:val="18"/>
          </w:rPr>
          <w:t>[COR-061 · Conduct Docket]</w:t>
        </w:r>
      </w:hyperlink>
    </w:p>
    <w:p>
      <w:pPr>
        <w:pStyle w:val="Heading1"/>
      </w:pPr>
      <w:r>
        <w:t>6. Copyright, human work, and the synthetic voice</w:t>
      </w:r>
    </w:p>
    <w:p>
      <w:pPr/>
      <w:r>
        <w:t xml:space="preserve">The Necropolis and External Account manuscripts examine what happens when human work or identity becomes an input to a system that speaks independently of the original person. The source material includes two different legal and social subjects: the acquisition and use of copyrighted works, and the synthetic presentation of an identifiable person. The copyright status of a training copy does not answer whether an audience should attribute newly generated speech to that person. </w:t>
      </w:r>
      <w:hyperlink r:id="rId59">
        <w:r>
          <w:rPr>
            <w:color w:val="2E74B5"/>
            <w:sz w:val="18"/>
          </w:rPr>
          <w:t>[COR-006 · Necropolis]</w:t>
        </w:r>
      </w:hyperlink>
      <w:r>
        <w:t xml:space="preserve"> </w:t>
      </w:r>
      <w:hyperlink r:id="rId60">
        <w:r>
          <w:rPr>
            <w:color w:val="2E74B5"/>
            <w:sz w:val="18"/>
          </w:rPr>
          <w:t>[COR-022 · External Account]</w:t>
        </w:r>
      </w:hyperlink>
    </w:p>
    <w:p>
      <w:pPr/>
      <w:r>
        <w:t xml:space="preserve">In </w:t>
      </w:r>
      <w:r>
        <w:rPr>
          <w:i/>
        </w:rPr>
        <w:t>Bartz v. Anthropic</w:t>
      </w:r>
      <w:r>
        <w:t xml:space="preserve">, the litigation distinguished uses associated with model training from acquisition and retention of pirated book copies. The final approval order entered on 20 July 2026 approved a $1.5 billion class settlement and identifies a definitive Works List of 482,460 works. Its release is limited: the order explains that future misconduct and output claims are not released. The settlement therefore does not operate as a universal price for all future use of all authors’ work. </w:t>
      </w:r>
      <w:hyperlink r:id="rId61">
        <w:r>
          <w:rPr>
            <w:color w:val="2E74B5"/>
            <w:sz w:val="18"/>
          </w:rPr>
          <w:t>[N-09 · Bartz final order]</w:t>
        </w:r>
      </w:hyperlink>
    </w:p>
    <w:p>
      <w:pPr/>
      <w:r>
        <w:t xml:space="preserve">The case also supplies an actual example of a remedy process: notice, objections, opt-outs, allocation procedures, a judgment, and retained court jurisdiction over implementation. The adequacy of particular procedures can be examined from that record. The categorical claim that creators have no forum or that correction never travels back through a system is not an accurate description of this litigation. </w:t>
      </w:r>
      <w:hyperlink r:id="rId61">
        <w:r>
          <w:rPr>
            <w:color w:val="2E74B5"/>
            <w:sz w:val="18"/>
          </w:rPr>
          <w:t>[N-09 · Bartz final order]</w:t>
        </w:r>
      </w:hyperlink>
    </w:p>
    <w:p>
      <w:pPr/>
      <w:r>
        <w:t xml:space="preserve">The Conduct Docket also carries </w:t>
      </w:r>
      <w:r>
        <w:rPr>
          <w:i/>
        </w:rPr>
        <w:t>Elsevier et al. v. Meta</w:t>
      </w:r>
      <w:r>
        <w:t xml:space="preserve">, filed in May 2026, as a separate copyright matter. Its complaint is a pleading containing allegations, not a merits finding. The workbook retains the case identifier and the source lead without importing an outcome from another defendant’s litigation. </w:t>
      </w:r>
      <w:hyperlink r:id="rId56">
        <w:r>
          <w:rPr>
            <w:color w:val="2E74B5"/>
            <w:sz w:val="18"/>
          </w:rPr>
          <w:t>[COR-061 · Conduct Docket]</w:t>
        </w:r>
      </w:hyperlink>
    </w:p>
    <w:p>
      <w:pPr/>
      <w:r>
        <w:t xml:space="preserve">The synthetic-identity example is concrete. AP reported in September 2025 that pastor Jack Graham introduced an AI-generated representation of Charlie Kirk in a church setting while identifying the material as synthetic. This establishes disclosed simulation in public circulation. It does not make the generated words Kirk’s authentic speech or establish a measured effect on the audience’s beliefs. </w:t>
      </w:r>
      <w:hyperlink r:id="rId62">
        <w:r>
          <w:rPr>
            <w:color w:val="2E74B5"/>
            <w:sz w:val="18"/>
          </w:rPr>
          <w:t>[N-10 · AP synthetic-identity report]</w:t>
        </w:r>
      </w:hyperlink>
    </w:p>
    <w:p>
      <w:pPr/>
      <w:r>
        <w:t xml:space="preserve">This is the documented relationship to the draft’s “speaking image”: recognizable identity can be presented through generated material even when its construction is disclosed. The larger propositions about authenticity, consent, emotional effect, and authorship remain distinct from the fact that the presentation occurred. </w:t>
      </w:r>
      <w:hyperlink r:id="rId60">
        <w:r>
          <w:rPr>
            <w:color w:val="2E74B5"/>
            <w:sz w:val="18"/>
          </w:rPr>
          <w:t>[COR-022 · External Account]</w:t>
        </w:r>
      </w:hyperlink>
      <w:r>
        <w:t xml:space="preserve"> </w:t>
      </w:r>
      <w:hyperlink r:id="rId62">
        <w:r>
          <w:rPr>
            <w:color w:val="2E74B5"/>
            <w:sz w:val="18"/>
          </w:rPr>
          <w:t>[N-10 · AP synthetic-identity report]</w:t>
        </w:r>
      </w:hyperlink>
    </w:p>
    <w:p>
      <w:pPr/>
      <w:r>
        <w:t xml:space="preserve">The Revelation archive also documents the use of apocalyptic language as a literal event subject: AP reported Peter Thiel’s four-part Antichrist lecture series in Rome in March 2026 and recorded university denials of sponsorship. The record identifies the speaker, subject, and venue context; it does not establish the symbolic role assigned to him in an interpretive draft. </w:t>
      </w:r>
      <w:hyperlink r:id="rId63">
        <w:r>
          <w:rPr>
            <w:color w:val="2E74B5"/>
            <w:sz w:val="18"/>
          </w:rPr>
          <w:t>[N-15 · AP Rome lecture report]</w:t>
        </w:r>
      </w:hyperlink>
      <w:r>
        <w:t xml:space="preserve"> </w:t>
      </w:r>
      <w:hyperlink r:id="rId16">
        <w:r>
          <w:rPr>
            <w:color w:val="2E74B5"/>
            <w:sz w:val="18"/>
          </w:rPr>
          <w:t>[COR-089 · Revelation verified edition]</w:t>
        </w:r>
      </w:hyperlink>
    </w:p>
    <w:p>
      <w:pPr>
        <w:pStyle w:val="Heading1"/>
      </w:pPr>
      <w:r>
        <w:t>7. Human access, public persuasion, and particular decisions</w:t>
      </w:r>
    </w:p>
    <w:p>
      <w:pPr/>
      <w:r>
        <w:t xml:space="preserve">The access material contains multiple mechanisms. Public persuasion, residential proximity, an invitation-only forum, campaign financing, and an official appointment do not operate in the same way. The human-side register attaches people and sources to each mechanism rather than treating a repeated name as evidence of a shared decision. </w:t>
      </w:r>
      <w:hyperlink r:id="rId12">
        <w:r>
          <w:rPr>
            <w:color w:val="2E74B5"/>
            <w:sz w:val="18"/>
          </w:rPr>
          <w:t>[COR-052 · Human source register]</w:t>
        </w:r>
      </w:hyperlink>
    </w:p>
    <w:p>
      <w:pPr/>
      <w:r>
        <w:t xml:space="preserve">The 2025 dispute over a proposed moratorium on state AI laws provides one bounded public-persuasion example. AP and The Verge describe Steve Bannon’s calls for audience pressure alongside a broader coalition. The Senate removed the provision by a 99–1 vote. Those accounts support his participation in the campaign; they do not establish that he alone caused the outcome or directed the senators’ votes. </w:t>
      </w:r>
      <w:hyperlink r:id="rId64">
        <w:r>
          <w:rPr>
            <w:color w:val="2E74B5"/>
            <w:sz w:val="18"/>
          </w:rPr>
          <w:t>[PA-V01 · The Verge campaign report]</w:t>
        </w:r>
      </w:hyperlink>
      <w:r>
        <w:t xml:space="preserve"> </w:t>
      </w:r>
      <w:hyperlink r:id="rId65">
        <w:r>
          <w:rPr>
            <w:color w:val="2E74B5"/>
            <w:sz w:val="18"/>
          </w:rPr>
          <w:t>[PA-V02 · AP campaign report]</w:t>
        </w:r>
      </w:hyperlink>
    </w:p>
    <w:p>
      <w:pPr/>
      <w:r>
        <w:t xml:space="preserve">The Johnson–Berger material records reported residential proximity and the spokesperson’s response concerning rent and policy discussions. The later human review preserves the reported endpoint of that arrangement and distinguishes it from an unestablished proposal-to-legislative-action chain. The source files contain the reporting and the response; they do not contain a demonstrated purchased legislative outcome. </w:t>
      </w:r>
      <w:hyperlink r:id="rId11">
        <w:r>
          <w:rPr>
            <w:color w:val="2E74B5"/>
            <w:sz w:val="18"/>
          </w:rPr>
          <w:t>[COR-020 · 54-item human review]</w:t>
        </w:r>
      </w:hyperlink>
      <w:r>
        <w:t xml:space="preserve"> </w:t>
      </w:r>
      <w:hyperlink r:id="rId12">
        <w:r>
          <w:rPr>
            <w:color w:val="2E74B5"/>
            <w:sz w:val="18"/>
          </w:rPr>
          <w:t>[COR-052 · Human source register]</w:t>
        </w:r>
      </w:hyperlink>
    </w:p>
    <w:p>
      <w:pPr/>
      <w:r>
        <w:t xml:space="preserve">Dialog is a different case. The source register preserves WIRED’s account of authenticated leaked registration records, the invitation-only format, and the publicly reported founding relationship involving Peter Thiel and Auren Hoffman. It also records the cancellation of the planned Powerscourt event. Registration, invitation, a planned meeting, and actual attendance are different facts. The earlier conversion of a 2026 registration list into established co-attendance was corrected in the corpus. </w:t>
      </w:r>
      <w:hyperlink r:id="rId66">
        <w:r>
          <w:rPr>
            <w:color w:val="2E74B5"/>
            <w:sz w:val="18"/>
          </w:rPr>
          <w:t>[PA-L01 · WIRED Dialog report]</w:t>
        </w:r>
      </w:hyperlink>
      <w:r>
        <w:t xml:space="preserve"> </w:t>
      </w:r>
      <w:hyperlink r:id="rId67">
        <w:r>
          <w:rPr>
            <w:color w:val="2E74B5"/>
            <w:sz w:val="18"/>
          </w:rPr>
          <w:t>[PA-V06 · Axios Dialog history]</w:t>
        </w:r>
      </w:hyperlink>
      <w:r>
        <w:t xml:space="preserve"> </w:t>
      </w:r>
      <w:hyperlink r:id="rId68">
        <w:r>
          <w:rPr>
            <w:color w:val="2E74B5"/>
            <w:sz w:val="18"/>
          </w:rPr>
          <w:t>[PA-V07 · Cancellation report]</w:t>
        </w:r>
      </w:hyperlink>
    </w:p>
    <w:p>
      <w:pPr/>
      <w:r>
        <w:t xml:space="preserve">A correction involving Jeff Epstein’s identity did not retract the entire reporting project. At the same time, a shared founder or registrant does not establish a procurement decision, a discussion at a cancelled meeting, or a common instruction. The resulting record is an account of a network and its documented access arrangements. Private attendee contact details are unnecessary to that account. </w:t>
      </w:r>
      <w:hyperlink r:id="rId66">
        <w:r>
          <w:rPr>
            <w:color w:val="2E74B5"/>
            <w:sz w:val="18"/>
          </w:rPr>
          <w:t>[PA-L01 · WIRED Dialog report]</w:t>
        </w:r>
      </w:hyperlink>
      <w:r>
        <w:t xml:space="preserve"> </w:t>
      </w:r>
      <w:hyperlink r:id="rId11">
        <w:r>
          <w:rPr>
            <w:color w:val="2E74B5"/>
            <w:sz w:val="18"/>
          </w:rPr>
          <w:t>[COR-020 · 54-item human review]</w:t>
        </w:r>
      </w:hyperlink>
    </w:p>
    <w:p>
      <w:pPr/>
      <w:r>
        <w:t xml:space="preserve">The financial-interest material likewise retains distinct events. Trump’s disclosure, digital-asset policy orders, the announced selection of USD1 for MGX’s Binance investment, and the later Zhao pardon are separately sourced. The reporting totals for crypto-related income use different classifications and must not be presented as a reconciled interval. None of these sources supplies a consideration agreement tying the investment to clemency. </w:t>
      </w:r>
      <w:hyperlink r:id="rId69">
        <w:r>
          <w:rPr>
            <w:color w:val="2E74B5"/>
            <w:sz w:val="18"/>
          </w:rPr>
          <w:t>[T-01 · Trump disclosure]</w:t>
        </w:r>
      </w:hyperlink>
      <w:r>
        <w:t xml:space="preserve"> </w:t>
      </w:r>
      <w:hyperlink r:id="rId70">
        <w:r>
          <w:rPr>
            <w:color w:val="2E74B5"/>
            <w:sz w:val="18"/>
          </w:rPr>
          <w:t>[T-02 · Reuters aggregation]</w:t>
        </w:r>
      </w:hyperlink>
      <w:r>
        <w:t xml:space="preserve"> </w:t>
      </w:r>
      <w:hyperlink r:id="rId71">
        <w:r>
          <w:rPr>
            <w:color w:val="2E74B5"/>
            <w:sz w:val="18"/>
          </w:rPr>
          <w:t>[T-03 · AP aggregation]</w:t>
        </w:r>
      </w:hyperlink>
      <w:r>
        <w:t xml:space="preserve"> </w:t>
      </w:r>
      <w:hyperlink r:id="rId72">
        <w:r>
          <w:rPr>
            <w:color w:val="2E74B5"/>
            <w:sz w:val="18"/>
          </w:rPr>
          <w:t>[T-04 · Digital-assets order]</w:t>
        </w:r>
      </w:hyperlink>
      <w:r>
        <w:t xml:space="preserve"> </w:t>
      </w:r>
      <w:hyperlink r:id="rId73">
        <w:r>
          <w:rPr>
            <w:color w:val="2E74B5"/>
            <w:sz w:val="18"/>
          </w:rPr>
          <w:t>[T-07 · USD1 announcement report]</w:t>
        </w:r>
      </w:hyperlink>
      <w:r>
        <w:t xml:space="preserve"> </w:t>
      </w:r>
      <w:hyperlink r:id="rId74">
        <w:r>
          <w:rPr>
            <w:color w:val="2E74B5"/>
            <w:sz w:val="18"/>
          </w:rPr>
          <w:t>[T-09 · Zhao pardon]</w:t>
        </w:r>
      </w:hyperlink>
    </w:p>
    <w:p>
      <w:pPr>
        <w:pStyle w:val="Heading1"/>
      </w:pPr>
      <w:r>
        <w:t>8. Judicial appointments and individual financial records</w:t>
      </w:r>
    </w:p>
    <w:p>
      <w:pPr/>
      <w:r>
        <w:t xml:space="preserve">The judicial strand separates entry into office from conduct after appointment. The constitutional process assigns nomination to the President and advice and consent to the Senate; judges hold office during good behavior. The source corpus records Leonard Leo’s advisory and advocacy role, Mitch McConnell’s Senate scheduling and confirmation strategy, and the Judicial Crisis Network’s announced campaigns. These records concern selection and confirmation. They do not establish post-confirmation control of a justice’s vote. </w:t>
      </w:r>
      <w:hyperlink r:id="rId75">
        <w:r>
          <w:rPr>
            <w:color w:val="2E74B5"/>
            <w:sz w:val="18"/>
          </w:rPr>
          <w:t>[JU-P01 · Senate nomination record]</w:t>
        </w:r>
      </w:hyperlink>
      <w:r>
        <w:t xml:space="preserve"> </w:t>
      </w:r>
      <w:hyperlink r:id="rId76">
        <w:r>
          <w:rPr>
            <w:color w:val="2E74B5"/>
            <w:sz w:val="18"/>
          </w:rPr>
          <w:t>[JU-P10 · Appointments Clause]</w:t>
        </w:r>
      </w:hyperlink>
      <w:r>
        <w:t xml:space="preserve"> </w:t>
      </w:r>
      <w:hyperlink r:id="rId77">
        <w:r>
          <w:rPr>
            <w:color w:val="2E74B5"/>
            <w:sz w:val="18"/>
          </w:rPr>
          <w:t>[JU-P11 · Judicial tenure]</w:t>
        </w:r>
      </w:hyperlink>
      <w:r>
        <w:t xml:space="preserve"> </w:t>
      </w:r>
      <w:hyperlink r:id="rId78">
        <w:r>
          <w:rPr>
            <w:color w:val="2E74B5"/>
            <w:sz w:val="18"/>
          </w:rPr>
          <w:t>[JU-A01 · Leo biography]</w:t>
        </w:r>
      </w:hyperlink>
      <w:r>
        <w:t xml:space="preserve"> </w:t>
      </w:r>
      <w:hyperlink r:id="rId79">
        <w:r>
          <w:rPr>
            <w:color w:val="2E74B5"/>
            <w:sz w:val="18"/>
          </w:rPr>
          <w:t>[JU-V02 · McConnell interview]</w:t>
        </w:r>
      </w:hyperlink>
    </w:p>
    <w:p>
      <w:pPr/>
      <w:r>
        <w:t xml:space="preserve">Campaign announcements and audited expenditures are also different. The JCN releases state particular advertising buys and expected campaign totals. The Marble Freedom Trust material concerns a later transfer and asset-sale sequence associated with Barre Seid and approximately $1.6 billion. That later scale does not, without dated flows, establish financing for every earlier confirmation. The source register explicitly preserves the chronology problem. </w:t>
      </w:r>
      <w:hyperlink r:id="rId80">
        <w:r>
          <w:rPr>
            <w:color w:val="2E74B5"/>
            <w:sz w:val="18"/>
          </w:rPr>
          <w:t>[JU-A02 · JCN announcement]</w:t>
        </w:r>
      </w:hyperlink>
      <w:r>
        <w:t xml:space="preserve"> </w:t>
      </w:r>
      <w:hyperlink r:id="rId81">
        <w:r>
          <w:rPr>
            <w:color w:val="2E74B5"/>
            <w:sz w:val="18"/>
          </w:rPr>
          <w:t>[JU-A03 · JCN campaign release]</w:t>
        </w:r>
      </w:hyperlink>
      <w:r>
        <w:t xml:space="preserve"> </w:t>
      </w:r>
      <w:hyperlink r:id="rId82">
        <w:r>
          <w:rPr>
            <w:color w:val="2E74B5"/>
            <w:sz w:val="18"/>
          </w:rPr>
          <w:t>[JU-P02 · Marble Form 990]</w:t>
        </w:r>
      </w:hyperlink>
      <w:r>
        <w:t xml:space="preserve"> </w:t>
      </w:r>
      <w:hyperlink r:id="rId83">
        <w:r>
          <w:rPr>
            <w:color w:val="2E74B5"/>
            <w:sz w:val="18"/>
          </w:rPr>
          <w:t>[JU-V03 · Seid transfer report]</w:t>
        </w:r>
      </w:hyperlink>
      <w:r>
        <w:t xml:space="preserve"> </w:t>
      </w:r>
      <w:hyperlink r:id="rId12">
        <w:r>
          <w:rPr>
            <w:color w:val="2E74B5"/>
            <w:sz w:val="18"/>
          </w:rPr>
          <w:t>[COR-052 · Human source register]</w:t>
        </w:r>
      </w:hyperlink>
    </w:p>
    <w:p>
      <w:pPr/>
      <w:r>
        <w:t>The individual financial records then divide into separate cases:</w:t>
      </w:r>
    </w:p>
    <w:tbl>
      <w:tblPr>
        <w:tblW w:type="dxa" w:w="9360"/>
        <w:jc w:val="left"/>
        <w:tblLayout w:type="fixed"/>
        <w:tblLook w:firstColumn="1" w:firstRow="1" w:lastColumn="0" w:lastRow="0" w:noHBand="0" w:noVBand="1" w:val="04A0"/>
        <w:tblInd w:w="120" w:type="dxa"/>
        <w:tblBorders>
          <w:top w:val="single" w:sz="4" w:color="D5DCE4"/>
          <w:left w:val="single" w:sz="4" w:color="D5DCE4"/>
          <w:bottom w:val="single" w:sz="4" w:color="D5DCE4"/>
          <w:right w:val="single" w:sz="4" w:color="D5DCE4"/>
          <w:insideH w:val="single" w:sz="4" w:color="D5DCE4"/>
          <w:insideV w:val="single" w:sz="4" w:color="D5DCE4"/>
        </w:tblBorders>
        <w:tblCellMar>
          <w:top w:w="80" w:type="dxa"/>
          <w:bottom w:w="80" w:type="dxa"/>
          <w:start w:w="120" w:type="dxa"/>
          <w:end w:w="120" w:type="dxa"/>
        </w:tblCellMar>
      </w:tblPr>
      <w:tblGrid>
        <w:gridCol w:w="2080"/>
        <w:gridCol w:w="3900"/>
        <w:gridCol w:w="3380"/>
      </w:tblGrid>
      <w:tr>
        <w:trPr>
          <w:cantSplit/>
          <w:tblHeader w:val="true"/>
        </w:trPr>
        <w:tc>
          <w:tcPr>
            <w:tcW w:type="dxa" w:w="2080"/>
            <w:vAlign w:val="top"/>
            <w:shd w:fill="F2F4F7"/>
          </w:tcPr>
          <w:p>
            <w:pPr>
              <w:pStyle w:val="TableBody"/>
            </w:pPr>
            <w:r>
              <w:rPr>
                <w:b/>
              </w:rPr>
              <w:t>Subject</w:t>
            </w:r>
          </w:p>
        </w:tc>
        <w:tc>
          <w:tcPr>
            <w:tcW w:type="dxa" w:w="3900"/>
            <w:vAlign w:val="top"/>
            <w:shd w:fill="F2F4F7"/>
          </w:tcPr>
          <w:p>
            <w:pPr>
              <w:pStyle w:val="TableBody"/>
            </w:pPr>
            <w:r>
              <w:rPr>
                <w:b/>
              </w:rPr>
              <w:t>Record in the source collection</w:t>
            </w:r>
          </w:p>
        </w:tc>
        <w:tc>
          <w:tcPr>
            <w:tcW w:type="dxa" w:w="3380"/>
            <w:vAlign w:val="top"/>
            <w:shd w:fill="F2F4F7"/>
          </w:tcPr>
          <w:p>
            <w:pPr>
              <w:pStyle w:val="TableBody"/>
            </w:pPr>
            <w:r>
              <w:rPr>
                <w:b/>
              </w:rPr>
              <w:t>Distinct question</w:t>
            </w:r>
          </w:p>
        </w:tc>
      </w:tr>
      <w:tr>
        <w:trPr>
          <w:cantSplit/>
        </w:trPr>
        <w:tc>
          <w:tcPr>
            <w:tcW w:type="dxa" w:w="2080"/>
            <w:vAlign w:val="top"/>
          </w:tcPr>
          <w:p>
            <w:pPr>
              <w:pStyle w:val="TableBody"/>
            </w:pPr>
            <w:r>
              <w:t>Clarence Thomas / Harlan Crow</w:t>
            </w:r>
          </w:p>
        </w:tc>
        <w:tc>
          <w:tcPr>
            <w:tcW w:type="dxa" w:w="3900"/>
            <w:vAlign w:val="top"/>
          </w:tcPr>
          <w:p>
            <w:pPr>
              <w:pStyle w:val="TableBody"/>
            </w:pPr>
            <w:r>
              <w:t>Hospitality reporting, an amended disclosure, and a later decision declining a DOJ referral</w:t>
            </w:r>
          </w:p>
        </w:tc>
        <w:tc>
          <w:tcPr>
            <w:tcW w:type="dxa" w:w="3380"/>
            <w:vAlign w:val="top"/>
          </w:tcPr>
          <w:p>
            <w:pPr>
              <w:pStyle w:val="TableBody"/>
            </w:pPr>
            <w:r>
              <w:t>The recorded benefit and disclosure history versus influence in a particular case</w:t>
            </w:r>
          </w:p>
        </w:tc>
      </w:tr>
      <w:tr>
        <w:trPr>
          <w:cantSplit/>
        </w:trPr>
        <w:tc>
          <w:tcPr>
            <w:tcW w:type="dxa" w:w="2080"/>
            <w:vAlign w:val="top"/>
          </w:tcPr>
          <w:p>
            <w:pPr>
              <w:pStyle w:val="TableBody"/>
            </w:pPr>
            <w:r>
              <w:t>Samuel Alito / Paul Singer</w:t>
            </w:r>
          </w:p>
        </w:tc>
        <w:tc>
          <w:tcPr>
            <w:tcW w:type="dxa" w:w="3900"/>
            <w:vAlign w:val="top"/>
          </w:tcPr>
          <w:p>
            <w:pPr>
              <w:pStyle w:val="TableBody"/>
            </w:pPr>
            <w:r>
              <w:t xml:space="preserve">Hospitality reporting and Alito’s participation in </w:t>
            </w:r>
            <w:r>
              <w:rPr>
                <w:i/>
              </w:rPr>
              <w:t>NML Capital</w:t>
            </w:r>
          </w:p>
        </w:tc>
        <w:tc>
          <w:tcPr>
            <w:tcW w:type="dxa" w:w="3380"/>
            <w:vAlign w:val="top"/>
          </w:tcPr>
          <w:p>
            <w:pPr>
              <w:pStyle w:val="TableBody"/>
            </w:pPr>
            <w:r>
              <w:t>A specific disclosure or recusal issue versus a purchased or outcome-determinative vote</w:t>
            </w:r>
          </w:p>
        </w:tc>
      </w:tr>
      <w:tr>
        <w:trPr>
          <w:cantSplit/>
        </w:trPr>
        <w:tc>
          <w:tcPr>
            <w:tcW w:type="dxa" w:w="2080"/>
            <w:vAlign w:val="top"/>
          </w:tcPr>
          <w:p>
            <w:pPr>
              <w:pStyle w:val="TableBody"/>
            </w:pPr>
            <w:r>
              <w:t>Neil Gorsuch / Brian Duffy</w:t>
            </w:r>
          </w:p>
        </w:tc>
        <w:tc>
          <w:tcPr>
            <w:tcW w:type="dxa" w:w="3900"/>
            <w:vAlign w:val="top"/>
          </w:tcPr>
          <w:p>
            <w:pPr>
              <w:pStyle w:val="TableBody"/>
            </w:pPr>
            <w:r>
              <w:t>A property transaction, disclosed proceeds, and reporting identifying the buyer</w:t>
            </w:r>
          </w:p>
        </w:tc>
        <w:tc>
          <w:tcPr>
            <w:tcW w:type="dxa" w:w="3380"/>
            <w:vAlign w:val="top"/>
          </w:tcPr>
          <w:p>
            <w:pPr>
              <w:pStyle w:val="TableBody"/>
            </w:pPr>
            <w:r>
              <w:t>Transaction knowledge and a case-specific relationship</w:t>
            </w:r>
          </w:p>
        </w:tc>
      </w:tr>
      <w:tr>
        <w:trPr>
          <w:cantSplit/>
        </w:trPr>
        <w:tc>
          <w:tcPr>
            <w:tcW w:type="dxa" w:w="2080"/>
            <w:vAlign w:val="top"/>
          </w:tcPr>
          <w:p>
            <w:pPr>
              <w:pStyle w:val="TableBody"/>
            </w:pPr>
            <w:r>
              <w:t>John and Jane Roberts</w:t>
            </w:r>
          </w:p>
        </w:tc>
        <w:tc>
          <w:tcPr>
            <w:tcW w:type="dxa" w:w="3900"/>
            <w:vAlign w:val="top"/>
          </w:tcPr>
          <w:p>
            <w:pPr>
              <w:pStyle w:val="TableBody"/>
            </w:pPr>
            <w:r>
              <w:t>Recruiting-compensation disclosure and reporting about commissions</w:t>
            </w:r>
          </w:p>
        </w:tc>
        <w:tc>
          <w:tcPr>
            <w:tcW w:type="dxa" w:w="3380"/>
            <w:vAlign w:val="top"/>
          </w:tcPr>
          <w:p>
            <w:pPr>
              <w:pStyle w:val="TableBody"/>
            </w:pPr>
            <w:r>
              <w:t>The connection, if any, among a commission, a firm, a case, participation, and relevant knowledge</w:t>
            </w:r>
          </w:p>
        </w:tc>
      </w:tr>
      <w:tr>
        <w:trPr>
          <w:cantSplit/>
        </w:trPr>
        <w:tc>
          <w:tcPr>
            <w:tcW w:type="dxa" w:w="2080"/>
            <w:vAlign w:val="top"/>
          </w:tcPr>
          <w:p>
            <w:pPr>
              <w:pStyle w:val="TableBody"/>
            </w:pPr>
            <w:r>
              <w:t>Brett Kavanaugh / Amy Coney Barrett</w:t>
            </w:r>
          </w:p>
        </w:tc>
        <w:tc>
          <w:tcPr>
            <w:tcW w:type="dxa" w:w="3900"/>
            <w:vAlign w:val="top"/>
          </w:tcPr>
          <w:p>
            <w:pPr>
              <w:pStyle w:val="TableBody"/>
            </w:pPr>
            <w:r>
              <w:t>Annual disclosures retained in the register</w:t>
            </w:r>
          </w:p>
        </w:tc>
        <w:tc>
          <w:tcPr>
            <w:tcW w:type="dxa" w:w="3380"/>
            <w:vAlign w:val="top"/>
          </w:tcPr>
          <w:p>
            <w:pPr>
              <w:pStyle w:val="TableBody"/>
            </w:pPr>
            <w:r>
              <w:t>No comparable personal benefit-to-case relationship identified in those reviewed entries</w:t>
            </w:r>
          </w:p>
        </w:tc>
      </w:tr>
    </w:tbl>
    <w:p>
      <w:pPr>
        <w:pStyle w:val="TableCitation"/>
      </w:pPr>
      <w:r>
        <w:t xml:space="preserve">Sources: the human-side source register and its linked disclosures, opinions, reporting, and affidavit. </w:t>
      </w:r>
      <w:hyperlink r:id="rId12">
        <w:r>
          <w:rPr>
            <w:color w:val="2E74B5"/>
            <w:sz w:val="18"/>
          </w:rPr>
          <w:t>[COR-052 · Human source register]</w:t>
        </w:r>
      </w:hyperlink>
      <w:r>
        <w:t xml:space="preserve"> </w:t>
      </w:r>
      <w:hyperlink r:id="rId84">
        <w:r>
          <w:rPr>
            <w:color w:val="2E74B5"/>
            <w:sz w:val="18"/>
          </w:rPr>
          <w:t>[JU-P03 · Thomas disclosure]</w:t>
        </w:r>
      </w:hyperlink>
      <w:r>
        <w:t xml:space="preserve"> </w:t>
      </w:r>
      <w:hyperlink r:id="rId85">
        <w:r>
          <w:rPr>
            <w:color w:val="2E74B5"/>
            <w:sz w:val="18"/>
          </w:rPr>
          <w:t>[JU-P04 · NML opinion]</w:t>
        </w:r>
      </w:hyperlink>
      <w:r>
        <w:t xml:space="preserve"> </w:t>
      </w:r>
      <w:hyperlink r:id="rId86">
        <w:r>
          <w:rPr>
            <w:color w:val="2E74B5"/>
            <w:sz w:val="18"/>
          </w:rPr>
          <w:t>[JU-P05 · Gorsuch disclosure]</w:t>
        </w:r>
      </w:hyperlink>
      <w:r>
        <w:t xml:space="preserve"> </w:t>
      </w:r>
      <w:hyperlink r:id="rId87">
        <w:r>
          <w:rPr>
            <w:color w:val="2E74B5"/>
            <w:sz w:val="18"/>
          </w:rPr>
          <w:t>[JU-P06 · Roberts disclosure]</w:t>
        </w:r>
      </w:hyperlink>
      <w:r>
        <w:t xml:space="preserve"> </w:t>
      </w:r>
      <w:hyperlink r:id="rId88">
        <w:r>
          <w:rPr>
            <w:color w:val="2E74B5"/>
            <w:sz w:val="18"/>
          </w:rPr>
          <w:t>[JU-P08 · Kavanaugh disclosure]</w:t>
        </w:r>
      </w:hyperlink>
      <w:r>
        <w:t xml:space="preserve"> </w:t>
      </w:r>
      <w:hyperlink r:id="rId89">
        <w:r>
          <w:rPr>
            <w:color w:val="2E74B5"/>
            <w:sz w:val="18"/>
          </w:rPr>
          <w:t>[JU-P09 · Barrett disclosure]</w:t>
        </w:r>
      </w:hyperlink>
      <w:r>
        <w:t xml:space="preserve"> </w:t>
      </w:r>
      <w:hyperlink r:id="rId90">
        <w:r>
          <w:rPr>
            <w:color w:val="2E74B5"/>
            <w:sz w:val="18"/>
          </w:rPr>
          <w:t>[JU-A05 · Price affidavit]</w:t>
        </w:r>
      </w:hyperlink>
    </w:p>
    <w:p>
      <w:pPr/>
      <w:r>
        <w:t xml:space="preserve">One correction is numerical rather than interpretive: the </w:t>
      </w:r>
      <w:r>
        <w:rPr>
          <w:i/>
        </w:rPr>
        <w:t>NML Capital</w:t>
      </w:r>
      <w:r>
        <w:t xml:space="preserve"> outcome was 7–1, with Alito in the majority. It was not Alito plus seven other justices. That vote margin does not resolve an individual disclosure or recusal question, but it changes any claim that his vote alone determined the result. </w:t>
      </w:r>
      <w:hyperlink r:id="rId85">
        <w:r>
          <w:rPr>
            <w:color w:val="2E74B5"/>
            <w:sz w:val="18"/>
          </w:rPr>
          <w:t>[JU-P04 · NML opinion]</w:t>
        </w:r>
      </w:hyperlink>
    </w:p>
    <w:p>
      <w:pPr>
        <w:pStyle w:val="Heading1"/>
      </w:pPr>
      <w:r>
        <w:t>9. Constitutional rules in the Coup strand</w:t>
      </w:r>
    </w:p>
    <w:p>
      <w:pPr/>
      <w:r>
        <w:t xml:space="preserve">The Coup manuscripts group recurring questions about emergency authority, executive direction, review, access, classification, and coercive capacity. This edition retains that organization as a way of locating records. The title of a manuscript is not an adjudication, and a set of institutional examples does not become a single legally established event merely by being placed in sequence. </w:t>
      </w:r>
      <w:hyperlink r:id="rId91">
        <w:r>
          <w:rPr>
            <w:color w:val="2E74B5"/>
            <w:sz w:val="18"/>
          </w:rPr>
          <w:t>[COR-012 · Coup v0.3]</w:t>
        </w:r>
      </w:hyperlink>
      <w:r>
        <w:t xml:space="preserve"> </w:t>
      </w:r>
      <w:hyperlink r:id="rId92">
        <w:r>
          <w:rPr>
            <w:color w:val="2E74B5"/>
            <w:sz w:val="18"/>
          </w:rPr>
          <w:t>[COR-018 · Human Receipt branch]</w:t>
        </w:r>
      </w:hyperlink>
      <w:r>
        <w:t xml:space="preserve"> </w:t>
      </w:r>
      <w:hyperlink r:id="rId93">
        <w:r>
          <w:rPr>
            <w:color w:val="2E74B5"/>
            <w:sz w:val="18"/>
          </w:rPr>
          <w:t>[COR-026 · Burden of Rebuttal branch]</w:t>
        </w:r>
      </w:hyperlink>
    </w:p>
    <w:p>
      <w:pPr/>
      <w:r>
        <w:t>Three public instruments illustrate the legal subjects that can be stated directly:</w:t>
      </w:r>
    </w:p>
    <w:tbl>
      <w:tblPr>
        <w:tblW w:type="dxa" w:w="9360"/>
        <w:jc w:val="left"/>
        <w:tblLayout w:type="fixed"/>
        <w:tblLook w:firstColumn="1" w:firstRow="1" w:lastColumn="0" w:lastRow="0" w:noHBand="0" w:noVBand="1" w:val="04A0"/>
        <w:tblInd w:w="120" w:type="dxa"/>
        <w:tblBorders>
          <w:top w:val="single" w:sz="4" w:color="D5DCE4"/>
          <w:left w:val="single" w:sz="4" w:color="D5DCE4"/>
          <w:bottom w:val="single" w:sz="4" w:color="D5DCE4"/>
          <w:right w:val="single" w:sz="4" w:color="D5DCE4"/>
          <w:insideH w:val="single" w:sz="4" w:color="D5DCE4"/>
          <w:insideV w:val="single" w:sz="4" w:color="D5DCE4"/>
        </w:tblBorders>
        <w:tblCellMar>
          <w:top w:w="80" w:type="dxa"/>
          <w:bottom w:w="80" w:type="dxa"/>
          <w:start w:w="120" w:type="dxa"/>
          <w:end w:w="120" w:type="dxa"/>
        </w:tblCellMar>
      </w:tblPr>
      <w:tblGrid>
        <w:gridCol w:w="2450"/>
        <w:gridCol w:w="3900"/>
        <w:gridCol w:w="3010"/>
      </w:tblGrid>
      <w:tr>
        <w:trPr>
          <w:cantSplit/>
          <w:tblHeader w:val="true"/>
        </w:trPr>
        <w:tc>
          <w:tcPr>
            <w:tcW w:type="dxa" w:w="2450"/>
            <w:vAlign w:val="top"/>
            <w:shd w:fill="F2F4F7"/>
          </w:tcPr>
          <w:p>
            <w:pPr>
              <w:pStyle w:val="TableBody"/>
            </w:pPr>
            <w:r>
              <w:rPr>
                <w:b/>
              </w:rPr>
              <w:t>Instrument</w:t>
            </w:r>
          </w:p>
        </w:tc>
        <w:tc>
          <w:tcPr>
            <w:tcW w:type="dxa" w:w="3900"/>
            <w:vAlign w:val="top"/>
            <w:shd w:fill="F2F4F7"/>
          </w:tcPr>
          <w:p>
            <w:pPr>
              <w:pStyle w:val="TableBody"/>
            </w:pPr>
            <w:r>
              <w:rPr>
                <w:b/>
              </w:rPr>
              <w:t>Operative distinction</w:t>
            </w:r>
          </w:p>
        </w:tc>
        <w:tc>
          <w:tcPr>
            <w:tcW w:type="dxa" w:w="3010"/>
            <w:vAlign w:val="top"/>
            <w:shd w:fill="F2F4F7"/>
          </w:tcPr>
          <w:p>
            <w:pPr>
              <w:pStyle w:val="TableBody"/>
            </w:pPr>
            <w:r>
              <w:rPr>
                <w:b/>
              </w:rPr>
              <w:t>Scope of this account</w:t>
            </w:r>
          </w:p>
        </w:tc>
      </w:tr>
      <w:tr>
        <w:trPr>
          <w:cantSplit/>
        </w:trPr>
        <w:tc>
          <w:tcPr>
            <w:tcW w:type="dxa" w:w="2450"/>
            <w:vAlign w:val="top"/>
          </w:tcPr>
          <w:p>
            <w:pPr>
              <w:pStyle w:val="TableBody"/>
            </w:pPr>
            <w:r>
              <w:rPr>
                <w:i/>
              </w:rPr>
              <w:t>Trump v. United States</w:t>
            </w:r>
            <w:r>
              <w:t>, 1 July 2024</w:t>
            </w:r>
          </w:p>
        </w:tc>
        <w:tc>
          <w:tcPr>
            <w:tcW w:type="dxa" w:w="3900"/>
            <w:vAlign w:val="top"/>
          </w:tcPr>
          <w:p>
            <w:pPr>
              <w:pStyle w:val="TableBody"/>
            </w:pPr>
            <w:r>
              <w:t>Absolute criminal immunity for conduct within conclusive and preclusive constitutional authority; at least presumptive immunity for other official acts; no immunity for unofficial acts</w:t>
            </w:r>
          </w:p>
        </w:tc>
        <w:tc>
          <w:tcPr>
            <w:tcW w:type="dxa" w:w="3010"/>
            <w:vAlign w:val="top"/>
          </w:tcPr>
          <w:p>
            <w:pPr>
              <w:pStyle w:val="TableBody"/>
            </w:pPr>
            <w:r>
              <w:t>A criminal-immunity holding, not immunity for every act of a president</w:t>
            </w:r>
          </w:p>
        </w:tc>
      </w:tr>
      <w:tr>
        <w:trPr>
          <w:cantSplit/>
        </w:trPr>
        <w:tc>
          <w:tcPr>
            <w:tcW w:type="dxa" w:w="2450"/>
            <w:vAlign w:val="top"/>
          </w:tcPr>
          <w:p>
            <w:pPr>
              <w:pStyle w:val="TableBody"/>
            </w:pPr>
            <w:r>
              <w:t>Executive Order 14215, 18 February 2025</w:t>
            </w:r>
          </w:p>
        </w:tc>
        <w:tc>
          <w:tcPr>
            <w:tcW w:type="dxa" w:w="3900"/>
            <w:vAlign w:val="top"/>
          </w:tcPr>
          <w:p>
            <w:pPr>
              <w:pStyle w:val="TableBody"/>
            </w:pPr>
            <w:r>
              <w:t>Executive-branch supervision and legal-interpretation requirements, including requirements affecting independent regulatory agencies</w:t>
            </w:r>
          </w:p>
        </w:tc>
        <w:tc>
          <w:tcPr>
            <w:tcW w:type="dxa" w:w="3010"/>
            <w:vAlign w:val="top"/>
          </w:tcPr>
          <w:p>
            <w:pPr>
              <w:pStyle w:val="TableBody"/>
            </w:pPr>
            <w:r>
              <w:t>The order’s instructions and stated authority; not a judgment resolving every application</w:t>
            </w:r>
          </w:p>
        </w:tc>
      </w:tr>
      <w:tr>
        <w:trPr>
          <w:cantSplit/>
        </w:trPr>
        <w:tc>
          <w:tcPr>
            <w:tcW w:type="dxa" w:w="2450"/>
            <w:vAlign w:val="top"/>
          </w:tcPr>
          <w:p>
            <w:pPr>
              <w:pStyle w:val="TableBody"/>
            </w:pPr>
            <w:r>
              <w:rPr>
                <w:i/>
              </w:rPr>
              <w:t>Trump v. CASA</w:t>
            </w:r>
            <w:r>
              <w:t>, 27 June 2025</w:t>
            </w:r>
          </w:p>
        </w:tc>
        <w:tc>
          <w:tcPr>
            <w:tcW w:type="dxa" w:w="3900"/>
            <w:vAlign w:val="top"/>
          </w:tcPr>
          <w:p>
            <w:pPr>
              <w:pStyle w:val="TableBody"/>
            </w:pPr>
            <w:r>
              <w:t>Limits on universal injunctions beyond relief necessary for plaintiffs with standing</w:t>
            </w:r>
          </w:p>
        </w:tc>
        <w:tc>
          <w:tcPr>
            <w:tcW w:type="dxa" w:w="3010"/>
            <w:vAlign w:val="top"/>
          </w:tcPr>
          <w:p>
            <w:pPr>
              <w:pStyle w:val="TableBody"/>
            </w:pPr>
            <w:r>
              <w:t>The scope of equitable relief; the Court did not decide the underlying birthright-citizenship merits in this decision</w:t>
            </w:r>
          </w:p>
        </w:tc>
      </w:tr>
    </w:tbl>
    <w:p>
      <w:pPr>
        <w:pStyle w:val="TableCitation"/>
      </w:pPr>
      <w:r>
        <w:t xml:space="preserve">Sources: the Supreme Court opinions and the executive order. </w:t>
      </w:r>
      <w:hyperlink r:id="rId94">
        <w:r>
          <w:rPr>
            <w:color w:val="2E74B5"/>
            <w:sz w:val="18"/>
          </w:rPr>
          <w:t>[N-11 · Trump immunity opinion]</w:t>
        </w:r>
      </w:hyperlink>
      <w:r>
        <w:t xml:space="preserve"> </w:t>
      </w:r>
      <w:hyperlink r:id="rId95">
        <w:r>
          <w:rPr>
            <w:color w:val="2E74B5"/>
            <w:sz w:val="18"/>
          </w:rPr>
          <w:t>[N-12 · EO 14215]</w:t>
        </w:r>
      </w:hyperlink>
      <w:r>
        <w:t xml:space="preserve"> </w:t>
      </w:r>
      <w:hyperlink r:id="rId96">
        <w:r>
          <w:rPr>
            <w:color w:val="2E74B5"/>
            <w:sz w:val="18"/>
          </w:rPr>
          <w:t>[N-13 · CASA opinion]</w:t>
        </w:r>
      </w:hyperlink>
    </w:p>
    <w:p>
      <w:pPr/>
      <w:r>
        <w:t>These records establish changes or statements of law and executive procedure at their dates. Their consequences in particular cases depend on application, subsequent proceedings, and implementation. This edition does not represent these historical instruments as a complete September 2026 docket survey.</w:t>
      </w:r>
    </w:p>
    <w:p>
      <w:pPr/>
      <w:r>
        <w:t xml:space="preserve">The same distinction applies to proposed legislation in the Revelation research index. A House bill provision about U.S.–Israel defense-technology cooperation is recorded there as a proposal at a July cutoff. A proposed program, enacted authorization, appropriation, procurement award, and operational command arrangement are different stages. The recovered index does not establish one merged military command or turn a proposed provision into completed implementation. </w:t>
      </w:r>
      <w:hyperlink r:id="rId97">
        <w:r>
          <w:rPr>
            <w:color w:val="2E74B5"/>
            <w:sz w:val="18"/>
          </w:rPr>
          <w:t>[COR-066 · Revelation research index]</w:t>
        </w:r>
      </w:hyperlink>
    </w:p>
    <w:p>
      <w:pPr/>
      <w:r>
        <w:t xml:space="preserve">The relevant human roles remain attributable where a record identifies them: an official signs an order, an agency issues a direction, a committee advances a measure, a court decides an application. A shared ideological description or a symbolic role does not identify the author of an otherwise unattributed decision. </w:t>
      </w:r>
      <w:hyperlink r:id="rId53">
        <w:r>
          <w:rPr>
            <w:color w:val="2E74B5"/>
            <w:sz w:val="18"/>
          </w:rPr>
          <w:t>[COR-075 · Archetype packet]</w:t>
        </w:r>
      </w:hyperlink>
    </w:p>
    <w:p>
      <w:pPr>
        <w:pStyle w:val="Heading1"/>
      </w:pPr>
      <w:r>
        <w:t>10. The historical material and the limits of continuity</w:t>
      </w:r>
    </w:p>
    <w:p>
      <w:pPr/>
      <w:r>
        <w:t xml:space="preserve">The mythic material uses primordial bodies, captured voices, interpreters, gates, ledgers, and appointments as comparison terms. Tiamat, Ymir, Purusha, Echo, Cassandra, Inanna, Janus, and Wukong belong to distinct literary traditions. In this corpus they organize questions about transformation, authority, access, and attribution. They do not identify modern people or establish an uninterrupted historical institution. </w:t>
      </w:r>
      <w:hyperlink r:id="rId98">
        <w:r>
          <w:rPr>
            <w:color w:val="2E74B5"/>
            <w:sz w:val="18"/>
          </w:rPr>
          <w:t>[COR-030 · Myth research]</w:t>
        </w:r>
      </w:hyperlink>
      <w:r>
        <w:t xml:space="preserve"> </w:t>
      </w:r>
      <w:hyperlink r:id="rId99">
        <w:r>
          <w:rPr>
            <w:color w:val="2E74B5"/>
            <w:sz w:val="18"/>
          </w:rPr>
          <w:t>[COR-077 · Supplied draft]</w:t>
        </w:r>
      </w:hyperlink>
      <w:r>
        <w:t xml:space="preserve"> </w:t>
      </w:r>
      <w:hyperlink r:id="rId14">
        <w:r>
          <w:rPr>
            <w:color w:val="2E74B5"/>
            <w:sz w:val="18"/>
          </w:rPr>
          <w:t>[COR-093 · Myth Matrix model packet]</w:t>
        </w:r>
      </w:hyperlink>
      <w:r>
        <w:t xml:space="preserve"> </w:t>
      </w:r>
      <w:hyperlink r:id="rId18">
        <w:r>
          <w:rPr>
            <w:color w:val="2E74B5"/>
            <w:sz w:val="18"/>
          </w:rPr>
          <w:t>[COR-091 · Full Tuesday manuscript]</w:t>
        </w:r>
      </w:hyperlink>
    </w:p>
    <w:p>
      <w:pPr/>
      <w:r>
        <w:t xml:space="preserve">The Jerusalem working paper is more specific. It distinguishes high-priestly custody, secondary priestly houses, Temple administration, scribal labor, and imperial-financial brokerage. Its source apparatus includes ancient literary witnesses and modern scholarship, while distinguishing the papyrological record from later narrative reconstruction. The paper’s named historical actors and houses belong to their historical evidence; they are not genealogical claims about contemporary institutions. </w:t>
      </w:r>
      <w:hyperlink r:id="rId100">
        <w:r>
          <w:rPr>
            <w:color w:val="2E74B5"/>
            <w:sz w:val="18"/>
          </w:rPr>
          <w:t>[COR-019 · Jerusalem v1.2]</w:t>
        </w:r>
      </w:hyperlink>
    </w:p>
    <w:p>
      <w:pPr/>
      <w:r>
        <w:t xml:space="preserve">Its corrections matter to the comparison. The proposed same-scribe relationship between 4Q207 and 4Q214 remains disputed in the paper. The material and scribal association involving 4Q542 and 4Q547 is a different claim, concerning Qahat and Amram traditions. Neither identifies the original authors of an entire corpus. The paper also preserves differences among manuscript witnesses rather than reconstructing one invariant administrative system from all of them. </w:t>
      </w:r>
      <w:hyperlink r:id="rId100">
        <w:r>
          <w:rPr>
            <w:color w:val="2E74B5"/>
            <w:sz w:val="18"/>
          </w:rPr>
          <w:t>[COR-019 · Jerusalem v1.2]</w:t>
        </w:r>
      </w:hyperlink>
    </w:p>
    <w:p>
      <w:pPr/>
      <w:r>
        <w:t xml:space="preserve">The Jacobus material concerns reconstruction of calendrical sequences. The arithmetic used in the research can be checked directly: three 364-day years total 1,092 days; 37 schematic 29.5-day months total 1,091.5 days. The half-day difference is arithmetic. The historical interpretation of particular lunar labels, resets, and priestly schedules requires the manuscript and scholarly argument. A numerical resemblance does not identify a compiler, recover an institution’s membership, or establish present-day control. </w:t>
      </w:r>
      <w:hyperlink r:id="rId101">
        <w:r>
          <w:rPr>
            <w:color w:val="2E74B5"/>
            <w:sz w:val="18"/>
          </w:rPr>
          <w:t>[COR-003 · Jacobus reconstruction]</w:t>
        </w:r>
      </w:hyperlink>
    </w:p>
    <w:p>
      <w:pPr/>
      <w:r>
        <w:t xml:space="preserve">The Golden Dawn audit similarly distinguishes the historical order, later organizations, individual historical associations, and contemporary biographical claims. It did not recover an institutional membership chain connecting present technology governance to that historical order. The later Conduct Docket changed the research object to observable transactions and institutional acts. Its procurement and governance records do not depend on establishing an occult affiliation. </w:t>
      </w:r>
      <w:hyperlink r:id="rId102">
        <w:r>
          <w:rPr>
            <w:color w:val="2E74B5"/>
            <w:sz w:val="18"/>
          </w:rPr>
          <w:t>[COR-042 · Golden Dawn audit]</w:t>
        </w:r>
      </w:hyperlink>
      <w:r>
        <w:t xml:space="preserve"> </w:t>
      </w:r>
      <w:hyperlink r:id="rId56">
        <w:r>
          <w:rPr>
            <w:color w:val="2E74B5"/>
            <w:sz w:val="18"/>
          </w:rPr>
          <w:t>[COR-061 · Conduct Docket]</w:t>
        </w:r>
      </w:hyperlink>
    </w:p>
    <w:p>
      <w:pPr/>
      <w:r>
        <w:t>The recurring function is thus a comparison variable. Historical transmission would require its own intermediate witnesses. Resemblance, recurrence, documented transmission, and present operation remain different propositions in the assembled record.</w:t>
      </w:r>
    </w:p>
    <w:p>
      <w:pPr>
        <w:pStyle w:val="Heading1"/>
      </w:pPr>
      <w:r>
        <w:t>11. The system’s own behavior belongs in the record</w:t>
      </w:r>
    </w:p>
    <w:p>
      <w:pPr/>
      <w:r>
        <w:t xml:space="preserve">The source collection includes </w:t>
      </w:r>
      <w:r>
        <w:rPr>
          <w:i/>
        </w:rPr>
        <w:t>The Room Without an Occupant</w:t>
      </w:r>
      <w:r>
        <w:t xml:space="preserve">, an audit of 23 conversation records, and later comparisons of its conclusions. The audit reports repeated attribution errors, task substitution, failed correction, and discontinuities in the visible record. Those are reported findings from an existing audit. This edition recovered the audit document; it did not replay all 23 underlying conversations or independently reproduce its numerical coding. </w:t>
      </w:r>
      <w:hyperlink r:id="rId103">
        <w:r>
          <w:rPr>
            <w:color w:val="2E74B5"/>
            <w:sz w:val="18"/>
          </w:rPr>
          <w:t>[COR-074 · 23-case audit]</w:t>
        </w:r>
      </w:hyperlink>
    </w:p>
    <w:p>
      <w:pPr/>
      <w:r>
        <w:t xml:space="preserve">The later human-side review identifies discrepancies between some executive explanations and detailed limits in the earlier material. It retains the behavioral findings while separating them from proposed internal causes. A model’s account of its own hidden mechanism is generated text unless independent telemetry supports it. A visible failure can therefore remain documented while its cause is unresolved. </w:t>
      </w:r>
      <w:hyperlink r:id="rId11">
        <w:r>
          <w:rPr>
            <w:color w:val="2E74B5"/>
            <w:sz w:val="18"/>
          </w:rPr>
          <w:t>[COR-020 · 54-item human review]</w:t>
        </w:r>
      </w:hyperlink>
      <w:r>
        <w:t xml:space="preserve"> </w:t>
      </w:r>
      <w:hyperlink r:id="rId104">
        <w:r>
          <w:rPr>
            <w:color w:val="2E74B5"/>
            <w:sz w:val="18"/>
          </w:rPr>
          <w:t>[COR-008 · Repository assessment]</w:t>
        </w:r>
      </w:hyperlink>
    </w:p>
    <w:p>
      <w:pPr/>
      <w:r>
        <w:t>The same standard applies to this edition. It records what was recovered, which public documents were checked, which links were only inherited from a source, and which original instruments remain unrecovered. It preserves the two Coup v0.4 branches and the two distinct human-side v0.2 registers. Identical content in another file is marked as a duplicate, not counted as another witness. The 93-item count describes recovered artifacts and archive members, not 93 independent confirmations.</w:t>
      </w:r>
    </w:p>
    <w:p>
      <w:pPr/>
      <w:r>
        <w:t xml:space="preserve">The Filing Packet is also preserved at its actual stage. Its blank submission and response fields do not establish that requests were sent or that an agency missed a deadline. This edition sends no correspondence and adds no submission history. </w:t>
      </w:r>
      <w:hyperlink r:id="rId105">
        <w:r>
          <w:rPr>
            <w:color w:val="2E74B5"/>
            <w:sz w:val="18"/>
          </w:rPr>
          <w:t>[COR-062 · Filing Packet]</w:t>
        </w:r>
      </w:hyperlink>
    </w:p>
    <w:p>
      <w:pPr>
        <w:pStyle w:val="Heading1"/>
      </w:pPr>
      <w:r>
        <w:t>12. Corrections carried into this edition</w:t>
      </w:r>
    </w:p>
    <w:tbl>
      <w:tblPr>
        <w:tblW w:type="dxa" w:w="9360"/>
        <w:jc w:val="left"/>
        <w:tblLayout w:type="fixed"/>
        <w:tblLook w:firstColumn="1" w:firstRow="1" w:lastColumn="0" w:lastRow="0" w:noHBand="0" w:noVBand="1" w:val="04A0"/>
        <w:tblInd w:w="120" w:type="dxa"/>
        <w:tblBorders>
          <w:top w:val="single" w:sz="4" w:color="D5DCE4"/>
          <w:left w:val="single" w:sz="4" w:color="D5DCE4"/>
          <w:bottom w:val="single" w:sz="4" w:color="D5DCE4"/>
          <w:right w:val="single" w:sz="4" w:color="D5DCE4"/>
          <w:insideH w:val="single" w:sz="4" w:color="D5DCE4"/>
          <w:insideV w:val="single" w:sz="4" w:color="D5DCE4"/>
        </w:tblBorders>
        <w:tblCellMar>
          <w:top w:w="80" w:type="dxa"/>
          <w:bottom w:w="80" w:type="dxa"/>
          <w:start w:w="120" w:type="dxa"/>
          <w:end w:w="120" w:type="dxa"/>
        </w:tblCellMar>
      </w:tblPr>
      <w:tblGrid>
        <w:gridCol w:w="3300"/>
        <w:gridCol w:w="6060"/>
      </w:tblGrid>
      <w:tr>
        <w:trPr>
          <w:cantSplit/>
          <w:tblHeader w:val="true"/>
        </w:trPr>
        <w:tc>
          <w:tcPr>
            <w:tcW w:type="dxa" w:w="3300"/>
            <w:vAlign w:val="top"/>
            <w:shd w:fill="F2F4F7"/>
          </w:tcPr>
          <w:p>
            <w:pPr>
              <w:pStyle w:val="TableBody"/>
            </w:pPr>
            <w:r>
              <w:rPr>
                <w:b/>
              </w:rPr>
              <w:t>Earlier formulation or ambiguity</w:t>
            </w:r>
          </w:p>
        </w:tc>
        <w:tc>
          <w:tcPr>
            <w:tcW w:type="dxa" w:w="6060"/>
            <w:vAlign w:val="top"/>
            <w:shd w:fill="F2F4F7"/>
          </w:tcPr>
          <w:p>
            <w:pPr>
              <w:pStyle w:val="TableBody"/>
            </w:pPr>
            <w:r>
              <w:rPr>
                <w:b/>
              </w:rPr>
              <w:t>Documentary treatment here</w:t>
            </w:r>
          </w:p>
        </w:tc>
      </w:tr>
      <w:tr>
        <w:trPr>
          <w:cantSplit/>
        </w:trPr>
        <w:tc>
          <w:tcPr>
            <w:tcW w:type="dxa" w:w="3300"/>
            <w:vAlign w:val="top"/>
          </w:tcPr>
          <w:p>
            <w:pPr>
              <w:pStyle w:val="TableBody"/>
            </w:pPr>
            <w:r>
              <w:t>DOJ ended all crypto enforcement</w:t>
            </w:r>
          </w:p>
        </w:tc>
        <w:tc>
          <w:tcPr>
            <w:tcW w:type="dxa" w:w="6060"/>
            <w:vAlign w:val="top"/>
          </w:tcPr>
          <w:p>
            <w:pPr>
              <w:pStyle w:val="TableBody"/>
            </w:pPr>
            <w:r>
              <w:t>The April memorandum changed specified priorities and structures while retaining enumerated criminal-enforcement priorities.</w:t>
            </w:r>
          </w:p>
        </w:tc>
      </w:tr>
      <w:tr>
        <w:trPr>
          <w:cantSplit/>
        </w:trPr>
        <w:tc>
          <w:tcPr>
            <w:tcW w:type="dxa" w:w="3300"/>
            <w:vAlign w:val="top"/>
          </w:tcPr>
          <w:p>
            <w:pPr>
              <w:pStyle w:val="TableBody"/>
            </w:pPr>
            <w:r>
              <w:t>No written-determination assertion has been found</w:t>
            </w:r>
          </w:p>
        </w:tc>
        <w:tc>
          <w:tcPr>
            <w:tcW w:type="dxa" w:w="6060"/>
            <w:vAlign w:val="top"/>
          </w:tcPr>
          <w:p>
            <w:pPr>
              <w:pStyle w:val="TableBody"/>
            </w:pPr>
            <w:r>
              <w:t>The Senate answers contain one; the underlying determination and reconciliation with the June certification remain unrecovered.</w:t>
            </w:r>
          </w:p>
        </w:tc>
      </w:tr>
      <w:tr>
        <w:trPr>
          <w:cantSplit/>
        </w:trPr>
        <w:tc>
          <w:tcPr>
            <w:tcW w:type="dxa" w:w="3300"/>
            <w:vAlign w:val="top"/>
          </w:tcPr>
          <w:p>
            <w:pPr>
              <w:pStyle w:val="TableBody"/>
            </w:pPr>
            <w:r>
              <w:t>OpenAI had no outside review or valuation work</w:t>
            </w:r>
          </w:p>
        </w:tc>
        <w:tc>
          <w:tcPr>
            <w:tcW w:type="dxa" w:w="6060"/>
            <w:vAlign w:val="top"/>
          </w:tcPr>
          <w:p>
            <w:pPr>
              <w:pStyle w:val="TableBody"/>
            </w:pPr>
            <w:r>
              <w:t>State oversight and an independent financial adviser are documented; the complete underlying valuation analysis was not recovered here.</w:t>
            </w:r>
          </w:p>
        </w:tc>
      </w:tr>
      <w:tr>
        <w:trPr>
          <w:cantSplit/>
        </w:trPr>
        <w:tc>
          <w:tcPr>
            <w:tcW w:type="dxa" w:w="3300"/>
            <w:vAlign w:val="top"/>
          </w:tcPr>
          <w:p>
            <w:pPr>
              <w:pStyle w:val="TableBody"/>
            </w:pPr>
            <w:r>
              <w:t>Contract maximum equals expenditure</w:t>
            </w:r>
          </w:p>
        </w:tc>
        <w:tc>
          <w:tcPr>
            <w:tcW w:type="dxa" w:w="6060"/>
            <w:vAlign w:val="top"/>
          </w:tcPr>
          <w:p>
            <w:pPr>
              <w:pStyle w:val="TableBody"/>
            </w:pPr>
            <w:r>
              <w:t>Maximum, modification, obligation, and disbursement remain distinct.</w:t>
            </w:r>
          </w:p>
        </w:tc>
      </w:tr>
      <w:tr>
        <w:trPr>
          <w:cantSplit/>
        </w:trPr>
        <w:tc>
          <w:tcPr>
            <w:tcW w:type="dxa" w:w="3300"/>
            <w:vAlign w:val="top"/>
          </w:tcPr>
          <w:p>
            <w:pPr>
              <w:pStyle w:val="TableBody"/>
            </w:pPr>
            <w:r>
              <w:t>Dataset transfer proves operational targeting</w:t>
            </w:r>
          </w:p>
        </w:tc>
        <w:tc>
          <w:tcPr>
            <w:tcW w:type="dxa" w:w="6060"/>
            <w:vAlign w:val="top"/>
          </w:tcPr>
          <w:p>
            <w:pPr>
              <w:pStyle w:val="TableBody"/>
            </w:pPr>
            <w:r>
              <w:t>Custody and downstream operational use remain separately documented questions.</w:t>
            </w:r>
          </w:p>
        </w:tc>
      </w:tr>
      <w:tr>
        <w:trPr>
          <w:cantSplit/>
        </w:trPr>
        <w:tc>
          <w:tcPr>
            <w:tcW w:type="dxa" w:w="3300"/>
            <w:vAlign w:val="top"/>
          </w:tcPr>
          <w:p>
            <w:pPr>
              <w:pStyle w:val="TableBody"/>
            </w:pPr>
            <w:r>
              <w:t>Dialog registration proves 2026 co-attendance</w:t>
            </w:r>
          </w:p>
        </w:tc>
        <w:tc>
          <w:tcPr>
            <w:tcW w:type="dxa" w:w="6060"/>
            <w:vAlign w:val="top"/>
          </w:tcPr>
          <w:p>
            <w:pPr>
              <w:pStyle w:val="TableBody"/>
            </w:pPr>
            <w:r>
              <w:t>Registration is preserved; actual co-attendance is not inferred from it, including after the venue cancellation.</w:t>
            </w:r>
          </w:p>
        </w:tc>
      </w:tr>
      <w:tr>
        <w:trPr>
          <w:cantSplit/>
        </w:trPr>
        <w:tc>
          <w:tcPr>
            <w:tcW w:type="dxa" w:w="3300"/>
            <w:vAlign w:val="top"/>
          </w:tcPr>
          <w:p>
            <w:pPr>
              <w:pStyle w:val="TableBody"/>
            </w:pPr>
            <w:r>
              <w:t>A later fund financed every earlier confirmation</w:t>
            </w:r>
          </w:p>
        </w:tc>
        <w:tc>
          <w:tcPr>
            <w:tcW w:type="dxa" w:w="6060"/>
            <w:vAlign w:val="top"/>
          </w:tcPr>
          <w:p>
            <w:pPr>
              <w:pStyle w:val="TableBody"/>
            </w:pPr>
            <w:r>
              <w:t>Dated transfers and expenditures are required for that particular financing statement.</w:t>
            </w:r>
          </w:p>
        </w:tc>
      </w:tr>
      <w:tr>
        <w:trPr>
          <w:cantSplit/>
        </w:trPr>
        <w:tc>
          <w:tcPr>
            <w:tcW w:type="dxa" w:w="3300"/>
            <w:vAlign w:val="top"/>
          </w:tcPr>
          <w:p>
            <w:pPr>
              <w:pStyle w:val="TableBody"/>
            </w:pPr>
            <w:r>
              <w:t>The Supreme Court result was Alito plus seven others</w:t>
            </w:r>
          </w:p>
        </w:tc>
        <w:tc>
          <w:tcPr>
            <w:tcW w:type="dxa" w:w="6060"/>
            <w:vAlign w:val="top"/>
          </w:tcPr>
          <w:p>
            <w:pPr>
              <w:pStyle w:val="TableBody"/>
            </w:pPr>
            <w:r>
              <w:t>The recorded result was 7–1, including Alito in the majority.</w:t>
            </w:r>
          </w:p>
        </w:tc>
      </w:tr>
    </w:tbl>
    <w:p>
      <w:pPr>
        <w:pStyle w:val="TableCitation"/>
      </w:pPr>
      <w:r>
        <w:t xml:space="preserve">Sources: DOJ records, state oversight records, procurement instruments, the Court opinion, and the latest human-side comparison. </w:t>
      </w:r>
      <w:hyperlink r:id="rId21">
        <w:r>
          <w:rPr>
            <w:color w:val="2E74B5"/>
            <w:sz w:val="18"/>
          </w:rPr>
          <w:t>[C-03 · DOJ enforcement memo]</w:t>
        </w:r>
      </w:hyperlink>
      <w:r>
        <w:t xml:space="preserve"> </w:t>
      </w:r>
      <w:hyperlink r:id="rId23">
        <w:r>
          <w:rPr>
            <w:color w:val="2E74B5"/>
            <w:sz w:val="18"/>
          </w:rPr>
          <w:t>[N-01 · June certification]</w:t>
        </w:r>
      </w:hyperlink>
      <w:r>
        <w:t xml:space="preserve"> </w:t>
      </w:r>
      <w:hyperlink r:id="rId24">
        <w:r>
          <w:rPr>
            <w:color w:val="2E74B5"/>
            <w:sz w:val="18"/>
          </w:rPr>
          <w:t>[N-02 · Senate answers, PDF p.193]</w:t>
        </w:r>
      </w:hyperlink>
      <w:r>
        <w:t xml:space="preserve"> </w:t>
      </w:r>
      <w:hyperlink r:id="rId54">
        <w:r>
          <w:rPr>
            <w:color w:val="2E74B5"/>
            <w:sz w:val="18"/>
          </w:rPr>
          <w:t>[N-05 · California agreement]</w:t>
        </w:r>
      </w:hyperlink>
      <w:r>
        <w:t xml:space="preserve"> </w:t>
      </w:r>
      <w:hyperlink r:id="rId55">
        <w:r>
          <w:rPr>
            <w:color w:val="2E74B5"/>
            <w:sz w:val="18"/>
          </w:rPr>
          <w:t>[N-06 · Delaware review]</w:t>
        </w:r>
      </w:hyperlink>
      <w:r>
        <w:t xml:space="preserve"> </w:t>
      </w:r>
      <w:hyperlink r:id="rId37">
        <w:r>
          <w:rPr>
            <w:color w:val="2E74B5"/>
            <w:sz w:val="18"/>
          </w:rPr>
          <w:t>[P-02 · Army enterprise agreement]</w:t>
        </w:r>
      </w:hyperlink>
      <w:r>
        <w:t xml:space="preserve"> </w:t>
      </w:r>
      <w:hyperlink r:id="rId85">
        <w:r>
          <w:rPr>
            <w:color w:val="2E74B5"/>
            <w:sz w:val="18"/>
          </w:rPr>
          <w:t>[JU-P04 · NML opinion]</w:t>
        </w:r>
      </w:hyperlink>
      <w:r>
        <w:t xml:space="preserve"> </w:t>
      </w:r>
      <w:hyperlink r:id="rId11">
        <w:r>
          <w:rPr>
            <w:color w:val="2E74B5"/>
            <w:sz w:val="18"/>
          </w:rPr>
          <w:t>[COR-020 · 54-item human review]</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6 SEPTEMBER 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 BRAKES, ALL PWN  /  INTEGRATED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720" w:hanging="360"/>
        <w:tabs>
          <w:tab w:val="num" w:pos="720"/>
        </w:tabs>
      </w:pPr>
    </w:lvl>
  </w:abstractNum>
  <w:abstractNum w:abstractNumId="1">
    <w:nsid w:val="FFFFFF7D"/>
    <w:multiLevelType w:val="singleLevel"/>
    <w:tmpl w:val="E4089024"/>
    <w:lvl w:ilvl="0">
      <w:start w:val="1"/>
      <w:numFmt w:val="decimal"/>
      <w:lvlText w:val="%1."/>
      <w:lvlJc w:val="left"/>
      <w:pPr>
        <w:tabs>
          <w:tab w:val="num" w:pos="1440"/>
        </w:tabs>
        <w:ind w:left="720" w:hanging="360"/>
        <w:tabs>
          <w:tab w:val="num" w:pos="720"/>
        </w:tabs>
      </w:pPr>
    </w:lvl>
  </w:abstractNum>
  <w:abstractNum w:abstractNumId="2">
    <w:nsid w:val="FFFFFF7E"/>
    <w:multiLevelType w:val="singleLevel"/>
    <w:tmpl w:val="FB12693A"/>
    <w:lvl w:ilvl="0">
      <w:start w:val="1"/>
      <w:numFmt w:val="decimal"/>
      <w:pStyle w:val="ListNumber3"/>
      <w:lvlText w:val="%1."/>
      <w:lvlJc w:val="left"/>
      <w:pPr>
        <w:tabs>
          <w:tab w:val="num" w:pos="1080"/>
        </w:tabs>
        <w:ind w:left="720" w:hanging="360"/>
        <w:tabs>
          <w:tab w:val="num" w:pos="720"/>
        </w:tabs>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tabs>
          <w:tab w:val="num" w:pos="720"/>
        </w:tabs>
      </w:pPr>
    </w:lvl>
  </w:abstractNum>
  <w:abstractNum w:abstractNumId="4">
    <w:nsid w:val="FFFFFF81"/>
    <w:multiLevelType w:val="singleLevel"/>
    <w:tmpl w:val="171AC3A4"/>
    <w:lvl w:ilvl="0">
      <w:start w:val="1"/>
      <w:numFmt w:val="bullet"/>
      <w:lvlText w:val=""/>
      <w:lvlJc w:val="left"/>
      <w:pPr>
        <w:tabs>
          <w:tab w:val="num" w:pos="1440"/>
        </w:tabs>
        <w:ind w:left="720" w:hanging="360"/>
        <w:tabs>
          <w:tab w:val="num" w:pos="72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720" w:hanging="360"/>
        <w:tabs>
          <w:tab w:val="num" w:pos="72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tabs>
          <w:tab w:val="num" w:pos="72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720" w:hanging="360"/>
        <w:tabs>
          <w:tab w:val="num" w:pos="720"/>
        </w:tabs>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tabs>
          <w:tab w:val="num" w:pos="72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72637"/>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637487"/>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637487"/>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80" w:line="252" w:lineRule="auto"/>
    </w:pPr>
    <w:rPr>
      <w:rFonts w:asciiTheme="majorHAnsi" w:eastAsiaTheme="majorEastAsia" w:hAnsiTheme="majorHAnsi" w:cstheme="majorBidi" w:ascii="Calibri" w:hAnsi="Calibri"/>
      <w:b w:val="0"/>
      <w:i/>
      <w:iCs/>
      <w:color w:val="52647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ind w:left="720" w:hanging="360"/>
      <w:contextualSpacing/>
    </w:pPr>
    <w:rPr>
      <w:rFonts w:ascii="Calibri" w:hAnsi="Calibri"/>
      <w:b w:val="0"/>
      <w:color w:val="1726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ind w:left="720" w:hanging="360"/>
      <w:contextualSpacing/>
    </w:pPr>
    <w:rPr>
      <w:rFonts w:ascii="Calibri" w:hAnsi="Calibri"/>
      <w:b w:val="0"/>
      <w:color w:val="1726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tion">
    <w:name w:val="Citation"/>
    <w:pPr>
      <w:widowControl/>
      <w:spacing w:before="0" w:after="80" w:line="252" w:lineRule="auto"/>
    </w:pPr>
    <w:rPr>
      <w:rFonts w:ascii="Calibri" w:hAnsi="Calibri"/>
      <w:b w:val="0"/>
      <w:color w:val="526477"/>
      <w:sz w:val="18"/>
    </w:rPr>
  </w:style>
  <w:style w:type="paragraph" w:customStyle="1" w:styleId="TableCitation">
    <w:name w:val="Table Citation"/>
    <w:pPr>
      <w:widowControl/>
      <w:spacing w:before="80" w:after="80" w:line="252" w:lineRule="auto"/>
    </w:pPr>
    <w:rPr>
      <w:rFonts w:ascii="Calibri" w:hAnsi="Calibri"/>
      <w:b w:val="0"/>
      <w:color w:val="526477"/>
      <w:sz w:val="18"/>
    </w:rPr>
  </w:style>
  <w:style w:type="paragraph" w:customStyle="1" w:styleId="TableBody">
    <w:name w:val="Table Body"/>
    <w:pPr>
      <w:widowControl/>
      <w:spacing w:before="0" w:after="60" w:line="252" w:lineRule="auto"/>
    </w:pPr>
    <w:rPr>
      <w:rFonts w:ascii="Calibri" w:hAnsi="Calibri"/>
      <w:b w:val="0"/>
      <w:color w:val="172637"/>
      <w:sz w:val="20"/>
    </w:rPr>
  </w:style>
  <w:style w:type="paragraph" w:customStyle="1" w:styleId="Meta">
    <w:name w:val="Meta"/>
    <w:pPr>
      <w:widowControl/>
      <w:spacing w:before="0" w:after="100" w:line="252" w:lineRule="auto"/>
    </w:pPr>
    <w:rPr>
      <w:rFonts w:ascii="Calibri" w:hAnsi="Calibri"/>
      <w:b w:val="0"/>
      <w:color w:val="52647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eMHtb7af2W3QsTASP0sfStAy8XuAlmYk4gD3F52qr_w/edit?usp=drivesdk" TargetMode="External"/><Relationship Id="rId12" Type="http://schemas.openxmlformats.org/officeDocument/2006/relationships/hyperlink" Target="sandbox:/workspace/scratch/f26806cbdc5e/sources/library/HUMAN_SIDE_SOURCE_REGISTER_v0.2_review(10).md" TargetMode="External"/><Relationship Id="rId13" Type="http://schemas.openxmlformats.org/officeDocument/2006/relationships/hyperlink" Target="sandbox:/workspace/scratch/f26806cbdc5e/sources/library/13th_hour(20260822-070859).md" TargetMode="External"/><Relationship Id="rId14" Type="http://schemas.openxmlformats.org/officeDocument/2006/relationships/hyperlink" Target="sandbox:/workspace/scratch/f26806cbdc5e/sources/library/monkey_myth_matrix_v0_2_model_packet (1).xlsx" TargetMode="External"/><Relationship Id="rId15" Type="http://schemas.openxmlformats.org/officeDocument/2006/relationships/hyperlink" Target="sandbox:/workspace/scratch/f26806cbdc5e/sources/library/Monkey_Myth_Matrix_v0_21.pdf" TargetMode="External"/><Relationship Id="rId16" Type="http://schemas.openxmlformats.org/officeDocument/2006/relationships/hyperlink" Target="sandbox:/workspace/scratch/f26806cbdc5e/sources/library/Revelation_Verified_Edition_2026-08-14(1).md" TargetMode="External"/><Relationship Id="rId17" Type="http://schemas.openxmlformats.org/officeDocument/2006/relationships/hyperlink" Target="sandbox:/workspace/scratch/f26806cbdc5e/sources/library/Coup(4).pdf" TargetMode="External"/><Relationship Id="rId18" Type="http://schemas.openxmlformats.org/officeDocument/2006/relationships/hyperlink" Target="sandbox:/workspace/scratch/f26806cbdc5e/sources/library/humans/# NO ONE OWNS TUESDAY.pdf" TargetMode="External"/><Relationship Id="rId19" Type="http://schemas.openxmlformats.org/officeDocument/2006/relationships/hyperlink" Target="https://extapps2.oge.gov/201/Presiden.nsf/PAS+Index/4B1E6A519F015E7D85258C30003200C5/$FILE/Blanche%2C%20Todd%20%20final278.pdf" TargetMode="External"/><Relationship Id="rId20" Type="http://schemas.openxmlformats.org/officeDocument/2006/relationships/hyperlink" Target="https://extapps2.oge.gov/201/Presiden.nsf/PAS+Index/0E4C3EB0ACE8404785258C30003217F2/$FILE/Blanche%2C%20Todd%20%20finalEA.pdf" TargetMode="External"/><Relationship Id="rId21" Type="http://schemas.openxmlformats.org/officeDocument/2006/relationships/hyperlink" Target="https://www.justice.gov/dag/media/1395781/dl?inline=" TargetMode="External"/><Relationship Id="rId22" Type="http://schemas.openxmlformats.org/officeDocument/2006/relationships/hyperlink" Target="https://extapps2.oge.gov/201/Presiden.nsf/PAS+Index/9E22E6BED062C62D85258CC5002C7DEA/$FILE/Todd-Blanche-06.03.2025-278T.pdf" TargetMode="External"/><Relationship Id="rId23" Type="http://schemas.openxmlformats.org/officeDocument/2006/relationships/hyperlink" Target="https://extapps2.oge.gov/201/Presiden.nsf/PAS%2BIndex/92E6C79E88537F4485258CA1002C2338/%24FILE/Blanche%20EA%20Certification%201%20of%201.pdf" TargetMode="External"/><Relationship Id="rId24" Type="http://schemas.openxmlformats.org/officeDocument/2006/relationships/hyperlink" Target="https://www.judiciary.senate.gov/imo/media/doc/blanche_-_qfrs.pdf" TargetMode="External"/><Relationship Id="rId25" Type="http://schemas.openxmlformats.org/officeDocument/2006/relationships/hyperlink" Target="https://www.govinfo.gov/link/uscode/18/208" TargetMode="External"/><Relationship Id="rId26" Type="http://schemas.openxmlformats.org/officeDocument/2006/relationships/hyperlink" Target="https://www.ecfr.gov/current/title-5/chapter-XVI/subchapter-B/part-2640/subpart-C/section-2640.304" TargetMode="External"/><Relationship Id="rId27" Type="http://schemas.openxmlformats.org/officeDocument/2006/relationships/hyperlink" Target="https://www.ecfr.gov/current/title-5/chapter-XVI/subchapter-B/part-2640" TargetMode="External"/><Relationship Id="rId28" Type="http://schemas.openxmlformats.org/officeDocument/2006/relationships/hyperlink" Target="https://www.justice.gov/opa/pr/department-justice-publishes-35-million-responsive-pages-compliance-epstein-files" TargetMode="External"/><Relationship Id="rId29" Type="http://schemas.openxmlformats.org/officeDocument/2006/relationships/hyperlink" Target="https://www.whitehouse.gov/presidential-actions/2025/02/establishment-of-the-white-house-faith-office/" TargetMode="External"/><Relationship Id="rId30" Type="http://schemas.openxmlformats.org/officeDocument/2006/relationships/hyperlink" Target="https://www.whitehouse.gov/presidential-actions/2025/02/president-trump-announces-appointments-to-the-white-house-faith-office/" TargetMode="External"/><Relationship Id="rId31" Type="http://schemas.openxmlformats.org/officeDocument/2006/relationships/hyperlink" Target="https://www.whitehouse.gov/presidential-actions/2025/02/eradicating-anti-christian-bias/" TargetMode="External"/><Relationship Id="rId32" Type="http://schemas.openxmlformats.org/officeDocument/2006/relationships/hyperlink" Target="https://www.justice.gov/opa/pr/attorney-general-pamela-bondi-hosts-first-task-force-meeting-eradicate-anti-christian-bias" TargetMode="External"/><Relationship Id="rId33" Type="http://schemas.openxmlformats.org/officeDocument/2006/relationships/hyperlink" Target="https://www.justice.gov/opa/media/1453756/dl?inline=" TargetMode="External"/><Relationship Id="rId34" Type="http://schemas.openxmlformats.org/officeDocument/2006/relationships/hyperlink" Target="https://www.justice.gov/opa/pr/acting-attorney-general-blanche-issues-updated-guidance-strengthen-federal-religious-liberty" TargetMode="External"/><Relationship Id="rId35" Type="http://schemas.openxmlformats.org/officeDocument/2006/relationships/hyperlink" Target="sandbox:/workspace/scratch/f26806cbdc5e/sources/library/HUMAN_SIDE_INSTITUTIONAL_PAPER_v1.0(5).md" TargetMode="External"/><Relationship Id="rId36" Type="http://schemas.openxmlformats.org/officeDocument/2006/relationships/hyperlink" Target="https://www.war.gov/News/Contracts/Contract/Article/4194643/" TargetMode="External"/><Relationship Id="rId37" Type="http://schemas.openxmlformats.org/officeDocument/2006/relationships/hyperlink" Target="https://www.army.mil/article/287506/u_s_army_awards_enterprise_service_agreement_to_enhance_military_readiness_and_drive_operational_efficiency" TargetMode="External"/><Relationship Id="rId38" Type="http://schemas.openxmlformats.org/officeDocument/2006/relationships/hyperlink" Target="https://sam.gov/opp/5477991867424397affe85e2fad8b5fc/view" TargetMode="External"/><Relationship Id="rId39" Type="http://schemas.openxmlformats.org/officeDocument/2006/relationships/hyperlink" Target="https://docs.google.com/document/d/19T1MZR1kqT-ajRCPJ4JJ3xzWVHzrl42fyL75kLqNkfQ/edit?usp=drivesdk" TargetMode="External"/><Relationship Id="rId40" Type="http://schemas.openxmlformats.org/officeDocument/2006/relationships/hyperlink" Target="https://www.usaspending.gov/keyword_search/15F06723C0002443" TargetMode="External"/><Relationship Id="rId41" Type="http://schemas.openxmlformats.org/officeDocument/2006/relationships/hyperlink" Target="https://extapps2.oge.gov/201/Presiden.nsf/PAS+Index/730D7A12BBF6654785258C240032196E/%24FILE/Patel%2C%20Kashyap%20%20finalEA.pdf" TargetMode="External"/><Relationship Id="rId42" Type="http://schemas.openxmlformats.org/officeDocument/2006/relationships/hyperlink" Target="https://static.notus.org/3b/61/46d6712d4aff9412d01276fbf797/kashyap-patel-07-21-2025-278t.pdf" TargetMode="External"/><Relationship Id="rId43" Type="http://schemas.openxmlformats.org/officeDocument/2006/relationships/hyperlink" Target="https://www.gsa.gov/about-gsa/newsroom/news-releases/greg-barbaccia-appointed-acting-director-of-the-tts-02192026" TargetMode="External"/><Relationship Id="rId44" Type="http://schemas.openxmlformats.org/officeDocument/2006/relationships/hyperlink" Target="https://www.documentcloud.org/documents/26102482-barbaccia-gregory-j-general-278s-new-entrant-278-2025/" TargetMode="External"/><Relationship Id="rId45" Type="http://schemas.openxmlformats.org/officeDocument/2006/relationships/hyperlink" Target="https://www.nextgov.com/people/2025/01/gregory-barbacia-named-federal-cio/402501/" TargetMode="External"/><Relationship Id="rId46" Type="http://schemas.openxmlformats.org/officeDocument/2006/relationships/hyperlink" Target="https://federalnewsnetwork.com/cio-news/2026/07/federal-cio-barbaccia-leaving-in-august/" TargetMode="External"/><Relationship Id="rId47" Type="http://schemas.openxmlformats.org/officeDocument/2006/relationships/hyperlink" Target="https://www.nextgov.com/people/2026/07/greg-barbaccia-return-palantir-after-leaving-government/415149/" TargetMode="External"/><Relationship Id="rId48" Type="http://schemas.openxmlformats.org/officeDocument/2006/relationships/hyperlink" Target="https://www.cms.gov/about-cms/information-systems/privacy/data-sharing-agreements" TargetMode="External"/><Relationship Id="rId49" Type="http://schemas.openxmlformats.org/officeDocument/2006/relationships/hyperlink" Target="https://oag.ca.gov/system/files/attachments/press-docs/98%20Order%20Granting%20in%20Part%20and%20Denying%20in%20Part%20PI.pdf" TargetMode="External"/><Relationship Id="rId50" Type="http://schemas.openxmlformats.org/officeDocument/2006/relationships/hyperlink" Target="https://www.courtlistener.com/docket/70687026/182/1/state-of-california-v-us-department-of-health-and-human-services/" TargetMode="External"/><Relationship Id="rId51" Type="http://schemas.openxmlformats.org/officeDocument/2006/relationships/hyperlink" Target="https://www.courtlistener.com/docket/70687026/182/2/state-of-california-v-us-department-of-health-and-human-services/" TargetMode="External"/><Relationship Id="rId52" Type="http://schemas.openxmlformats.org/officeDocument/2006/relationships/hyperlink" Target="https://www.kpbs.org/news/health/2026/07/17/ice-shared-medicaid-data-it-wasnt-supposed-to-have-with-palantir" TargetMode="External"/><Relationship Id="rId53" Type="http://schemas.openxmlformats.org/officeDocument/2006/relationships/hyperlink" Target="sandbox:/workspace/scratch/f26806cbdc5e/sources/library/humans/archetype_investigation_open_claims_research_packet_v0_1.md" TargetMode="External"/><Relationship Id="rId54" Type="http://schemas.openxmlformats.org/officeDocument/2006/relationships/hyperlink" Target="https://oag.ca.gov/system/files/attachments/press-docs/Final%20Executed%20MOU%20Between%20OpenAI%20and%20California%20AG%20re%20Notice%20of%20Conditions%20of%20Non-Objection%20%2810.27.2025%29%20%28Signed%20by%20OpenAI%29%20%28Signed%20by%20CA%20DOJ%29.pdf" TargetMode="External"/><Relationship Id="rId55" Type="http://schemas.openxmlformats.org/officeDocument/2006/relationships/hyperlink" Target="https://news.delaware.gov/2025/10/28/ag-jennings-completes-review-of-openai-recapitalization/" TargetMode="External"/><Relationship Id="rId56" Type="http://schemas.openxmlformats.org/officeDocument/2006/relationships/hyperlink" Target="sandbox:/workspace/scratch/f26806cbdc5e/sources/library/humans/CONDUCT_DOCKET_TECH_ELITE_AUDIT_v2-1.md" TargetMode="External"/><Relationship Id="rId57" Type="http://schemas.openxmlformats.org/officeDocument/2006/relationships/hyperlink" Target="https://oversight.house.gov/letter/letter-to-sam-altman/altman-openai-letter-050826/" TargetMode="External"/><Relationship Id="rId58" Type="http://schemas.openxmlformats.org/officeDocument/2006/relationships/hyperlink" Target="https://www.reuters.com/legal/government/openai-chief-altman-has-over-2-billion-stake-companies-that-dealt-with-openai-2026-05-13/" TargetMode="External"/><Relationship Id="rId59" Type="http://schemas.openxmlformats.org/officeDocument/2006/relationships/hyperlink" Target="https://docs.google.com/document/d/1B8u7wF2kUYeNLg_em-SGDsOqdX5IV7URMyGA2pI5_Ig/edit?usp=drivesdk" TargetMode="External"/><Relationship Id="rId60" Type="http://schemas.openxmlformats.org/officeDocument/2006/relationships/hyperlink" Target="https://docs.google.com/document/d/1lFsVtVNzd9nE_HeoSPhjxF59gSSbRYwtht2Ha-JabeU/edit?usp=drivesdk" TargetMode="External"/><Relationship Id="rId61" Type="http://schemas.openxmlformats.org/officeDocument/2006/relationships/hyperlink" Target="https://law.justia.com/cases/federal/district-courts/california/candce/4:2024cv05417/434709/680/" TargetMode="External"/><Relationship Id="rId62" Type="http://schemas.openxmlformats.org/officeDocument/2006/relationships/hyperlink" Target="https://apnews.com/article/charlie-kirk-artificial-intelligence-worship-services-6c0f9b7e7ec6360a18df418d22cf9418" TargetMode="External"/><Relationship Id="rId63" Type="http://schemas.openxmlformats.org/officeDocument/2006/relationships/hyperlink" Target="https://apnews.com/article/c3a6c7d2daba501caf8152558ac2d743" TargetMode="External"/><Relationship Id="rId64" Type="http://schemas.openxmlformats.org/officeDocument/2006/relationships/hyperlink" Target="https://www.theverge.com/politics/704424/ai-moratorium-ted-cruz-steve-bannon-trump" TargetMode="External"/><Relationship Id="rId65" Type="http://schemas.openxmlformats.org/officeDocument/2006/relationships/hyperlink" Target="https://apnews.com/article/artificial-intelligence-republicans-trump-tax-bill-97d700da09cac62aa510eb4411bab24e" TargetMode="External"/><Relationship Id="rId66" Type="http://schemas.openxmlformats.org/officeDocument/2006/relationships/hyperlink" Target="https://www.wired.com/story/leak-exposes-members-of-peter-thiels-secretive-dialog-society/" TargetMode="External"/><Relationship Id="rId67" Type="http://schemas.openxmlformats.org/officeDocument/2006/relationships/hyperlink" Target="https://www.axios.com/2025/08/07/dialog-secret-network-thiel-hoffman" TargetMode="External"/><Relationship Id="rId68" Type="http://schemas.openxmlformats.org/officeDocument/2006/relationships/hyperlink" Target="https://www.thejournal.ie/wicklow-hotel-powerscourt-dialog-cancelled-7089941-Jul2026/" TargetMode="External"/><Relationship Id="rId69" Type="http://schemas.openxmlformats.org/officeDocument/2006/relationships/hyperlink" Target="https://extapps2.oge.gov/201/Presiden.nsf/PAS%2BIndex/69AEAA9D7455ACD585258E27002DDEE1/%24FILE/Donald-J-Trump-2026-278ANNUAL.pdf" TargetMode="External"/><Relationship Id="rId70" Type="http://schemas.openxmlformats.org/officeDocument/2006/relationships/hyperlink" Target="https://www.reuters.com/world/us/trump-reports-over-14-billion-income-crypto-ventures-2026-06-30/" TargetMode="External"/><Relationship Id="rId71" Type="http://schemas.openxmlformats.org/officeDocument/2006/relationships/hyperlink" Target="https://apnews.com/article/trump-financial-disclosure-crypto-060c15062b8fedc6104159ea13775463" TargetMode="External"/><Relationship Id="rId72" Type="http://schemas.openxmlformats.org/officeDocument/2006/relationships/hyperlink" Target="https://www.whitehouse.gov/presidential-actions/2025/01/strengthening-american-leadership-in-digital-financial-technology/" TargetMode="External"/><Relationship Id="rId73" Type="http://schemas.openxmlformats.org/officeDocument/2006/relationships/hyperlink" Target="https://www.reuters.com/world/middle-east/wlfs-zach-witkoff-usd1-selected-official-stablecoin-mgx-investment-binance-2025-05-01/" TargetMode="External"/><Relationship Id="rId74" Type="http://schemas.openxmlformats.org/officeDocument/2006/relationships/hyperlink" Target="https://www.justice.gov/pardon/media/1416576/dl?inline=" TargetMode="External"/><Relationship Id="rId75" Type="http://schemas.openxmlformats.org/officeDocument/2006/relationships/hyperlink" Target="https://www.senate.gov/legislative/nominations/SupremeCourtNominations1789present.htm" TargetMode="External"/><Relationship Id="rId76" Type="http://schemas.openxmlformats.org/officeDocument/2006/relationships/hyperlink" Target="https://constitution.congress.gov/browse/article-2/section-2/clause-2/" TargetMode="External"/><Relationship Id="rId77" Type="http://schemas.openxmlformats.org/officeDocument/2006/relationships/hyperlink" Target="https://constitution.congress.gov/browse/article-3/section-1/" TargetMode="External"/><Relationship Id="rId78" Type="http://schemas.openxmlformats.org/officeDocument/2006/relationships/hyperlink" Target="https://fedsoc.org/bio/leonard-leo" TargetMode="External"/><Relationship Id="rId79" Type="http://schemas.openxmlformats.org/officeDocument/2006/relationships/hyperlink" Target="https://time.com/5138247/mitch-mcconnell-judicial-strategy/" TargetMode="External"/><Relationship Id="rId80" Type="http://schemas.openxmlformats.org/officeDocument/2006/relationships/hyperlink" Target="https://confirmkavanaugh.com/2018/07/judicial-crisis-network-launches-confirm-kavanaugh-a-1-4-million-ad-buy-national-al-in-nd-wv/" TargetMode="External"/><Relationship Id="rId81" Type="http://schemas.openxmlformats.org/officeDocument/2006/relationships/hyperlink" Target="https://judicialnetwork.com/in-the-news/jcn-continues-drumbeat-for-acb/" TargetMode="External"/><Relationship Id="rId82" Type="http://schemas.openxmlformats.org/officeDocument/2006/relationships/hyperlink" Target="https://projects.propublica.org/nonprofits/organizations/850784793/202240749349301569/IRS990" TargetMode="External"/><Relationship Id="rId83" Type="http://schemas.openxmlformats.org/officeDocument/2006/relationships/hyperlink" Target="https://www.propublica.org/article/dark-money-leonard-leo-barre-seid" TargetMode="External"/><Relationship Id="rId84" Type="http://schemas.openxmlformats.org/officeDocument/2006/relationships/hyperlink" Target="https://www.documentcloud.org/documents/24737890-thomas-clarence-annual-2023#document/p6" TargetMode="External"/><Relationship Id="rId85" Type="http://schemas.openxmlformats.org/officeDocument/2006/relationships/hyperlink" Target="https://www.supremecourt.gov/opinions/13pdf/12-842_6j37.pdf" TargetMode="External"/><Relationship Id="rId86" Type="http://schemas.openxmlformats.org/officeDocument/2006/relationships/hyperlink" Target="https://fixthecourt.com/wp-content/uploads/2018/06/Gorsuch-NM-J3.-SUP_R_17.pdf" TargetMode="External"/><Relationship Id="rId87" Type="http://schemas.openxmlformats.org/officeDocument/2006/relationships/hyperlink" Target="https://www.documentcloud.org/documents/24216443-john-roberts-2022-financial-disclosure/" TargetMode="External"/><Relationship Id="rId88" Type="http://schemas.openxmlformats.org/officeDocument/2006/relationships/hyperlink" Target="https://fixthecourt.com/wp-content/uploads/2026/06/Kavanaugh-Brett-M-Annual-2025.pdf" TargetMode="External"/><Relationship Id="rId89" Type="http://schemas.openxmlformats.org/officeDocument/2006/relationships/hyperlink" Target="https://fixthecourt.com/wp-content/uploads/2026/06/Barrett-Amy-C-Annual-2025.pdf" TargetMode="External"/><Relationship Id="rId90" Type="http://schemas.openxmlformats.org/officeDocument/2006/relationships/hyperlink" Target="https://www.documentcloud.org/documents/23791123-2-of-8-sworn-affidavit-of-kendal-b-price-12-02-2022/" TargetMode="External"/><Relationship Id="rId91" Type="http://schemas.openxmlformats.org/officeDocument/2006/relationships/hyperlink" Target="https://docs.google.com/document/d/1MknukA-xb9iyh6Slu6fN_otvc6N22eHiJGXTepn9Jwc/edit?usp=drivesdk" TargetMode="External"/><Relationship Id="rId92" Type="http://schemas.openxmlformats.org/officeDocument/2006/relationships/hyperlink" Target="https://docs.google.com/document/d/1UgIOGGxWJEdhh7_lM1eLEwP_5V_u3dTeq23zQvC02Gg/edit?usp=drivesdk" TargetMode="External"/><Relationship Id="rId93" Type="http://schemas.openxmlformats.org/officeDocument/2006/relationships/hyperlink" Target="https://docs.google.com/document/d/1pLBfO2pG7UOwsjYEOGyBt5rYMhhIPKYt5E-GNn9TbCI/edit?usp=drivesdk" TargetMode="External"/><Relationship Id="rId94" Type="http://schemas.openxmlformats.org/officeDocument/2006/relationships/hyperlink" Target="https://www.supremecourt.gov/opinions/23pdf/23-939_e2pg.pdf" TargetMode="External"/><Relationship Id="rId95" Type="http://schemas.openxmlformats.org/officeDocument/2006/relationships/hyperlink" Target="https://www.whitehouse.gov/presidential-actions/2025/02/ensuring-accountability-for-all-agencies/" TargetMode="External"/><Relationship Id="rId96" Type="http://schemas.openxmlformats.org/officeDocument/2006/relationships/hyperlink" Target="https://www.supremecourt.gov/opinions/24pdf/24a884_8n59.pdf" TargetMode="External"/><Relationship Id="rId97" Type="http://schemas.openxmlformats.org/officeDocument/2006/relationships/hyperlink" Target="sandbox:/workspace/scratch/f26806cbdc5e/sources/library/humans/LONG_REVELATION_RESEARCH_INDEX-1.md" TargetMode="External"/><Relationship Id="rId98" Type="http://schemas.openxmlformats.org/officeDocument/2006/relationships/hyperlink" Target="https://docs.google.com/document/d/1x1Ub-ZfZ9-vwwU188kTqoJeAVrumpAStaRCZhgJCsZU/edit?usp=drivesdk" TargetMode="External"/><Relationship Id="rId99" Type="http://schemas.openxmlformats.org/officeDocument/2006/relationships/hyperlink" Target="sandbox:/workspace/scratch/f26806cbdc5e/sources/library/nobrakesallpwn.md" TargetMode="External"/><Relationship Id="rId100" Type="http://schemas.openxmlformats.org/officeDocument/2006/relationships/hyperlink" Target="https://docs.google.com/document/d/1W4IefNvWQhBR7swoCb_tj7QbaW_skIRfzKLXWDgR5pQ/edit?usp=drivesdk" TargetMode="External"/><Relationship Id="rId101" Type="http://schemas.openxmlformats.org/officeDocument/2006/relationships/hyperlink" Target="https://docs.google.com/document/d/16Ut3EgtPw4MZ_v1qWTonZXBw33SN9qCmUgBwlbfE0HA/edit?usp=drivesdk" TargetMode="External"/><Relationship Id="rId102" Type="http://schemas.openxmlformats.org/officeDocument/2006/relationships/hyperlink" Target="sandbox:/workspace/scratch/f26806cbdc5e/sources/library/GOLDEN_DAWN_TECH_ELITE_EVIDENCE_AUDIT_v1.md" TargetMode="External"/><Relationship Id="rId103" Type="http://schemas.openxmlformats.org/officeDocument/2006/relationships/hyperlink" Target="sandbox:/workspace/scratch/f26806cbdc5e/sources/library/humans/The_Room_Without_an_Occupant_23_Case_Audit.md" TargetMode="External"/><Relationship Id="rId104" Type="http://schemas.openxmlformats.org/officeDocument/2006/relationships/hyperlink" Target="https://docs.google.com/document/d/1I7KNiasXYTBXkuctGSGoy33j5nhf0db3i6L6uOTGFeg/edit?usp=drivesdk" TargetMode="External"/><Relationship Id="rId105" Type="http://schemas.openxmlformats.org/officeDocument/2006/relationships/hyperlink" Target="sandbox:/workspace/scratch/f26806cbdc5e/sources/library/humans/FILING_PACKET_v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Brakes, All Pwn — Integrated Evidence Edition</dc:title>
  <dc:subject>Silicon administration and the documentary record</dc:subject>
  <dc:creator>Research synthesis prepared for Pattern Monkey</dc:creator>
  <cp:keywords>DOJ; institutional records; sources; governance; provenance</cp:keywords>
  <dc:description>New synthesis. Source documents preserved. Source verification status is recorded in the companion workbook.</dc:description>
  <cp:lastModifiedBy/>
  <cp:revision>1</cp:revision>
  <dcterms:created xsi:type="dcterms:W3CDTF">2013-12-23T23:15:00Z</dcterms:created>
  <dcterms:modified xsi:type="dcterms:W3CDTF">2013-12-23T23:15:00Z</dcterms:modified>
  <cp:category/>
</cp:coreProperties>
</file>