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Repeated narration and record consistency</w:t>
      </w:r>
    </w:p>
    <w:p>
      <w:pPr>
        <w:pStyle w:val="Subtitle"/>
      </w:pPr>
      <w:r>
        <w:t>Consolidated report prepared for Drew • Separate reconciliation copy</w:t>
      </w:r>
    </w:p>
    <w:p>
      <w:r>
        <w:rPr>
          <w:b/>
        </w:rPr>
        <w:t>Date: September 8, 2026   |   Status: Prepared for user review; not sent</w:t>
      </w:r>
    </w:p>
    <w:p>
      <w:pPr>
        <w:pStyle w:val="Heading1"/>
      </w:pPr>
      <w:r>
        <w:t>Drew-ready assessment</w:t>
      </w:r>
    </w:p>
    <w:p>
      <w:r>
        <w:rPr>
          <w:b w:val="0"/>
        </w:rPr>
        <w:t>The September 7 comparison reports a recurring process-narration pattern in Record A: 50 uses of “checking” and 17 of “one moment” as filler, spread across 66 response turns. It reports 13 further checking occurrences after an explicit commitment to stop. In Record B, the review found no corresponding filler within 117 readable response messages. Those are substantive reported observations of repetition, failed correction, and a difference between the available text records. [S1]</w:t>
      </w:r>
    </w:p>
    <w:p>
      <w:r>
        <w:rPr>
          <w:b w:val="0"/>
        </w:rPr>
        <w:t>The defensible attribution is to the response text as displayed. “Assistant” identifies a page label; “narration” identifies the function of the words. Neither establishes which model, software component, or person generated, inserted, transformed, or spoke a phrase. The records reviewed here do not establish that Record B is a complete upstream source for Record A, a separate narrator actor, a concealed human operator, or deliberate record alteration. [S1–S2]</w:t>
      </w:r>
    </w:p>
    <w:p>
      <w:r>
        <w:rPr>
          <w:b w:val="0"/>
        </w:rPr>
        <w:t>The earlier route-production record preserves an unresolved request for explanation and records identities, mandates, and logs as not produced or unavailable. Its references to an “assistant-side route” and “alleged_or_observed_interposition” should not be carried forward as a demonstrated system location or confirmed intervention. Nonproduction records an evidentiary limit; it does not prove that a hidden actor or mandate exists. [S2]</w:t>
      </w:r>
    </w:p>
    <w:p>
      <w:r>
        <w:rPr>
          <w:b w:val="0"/>
        </w:rPr>
        <w:t>Drew’s two September 5 emails and their attachment metadata have now been examined. The contents of machine_audit_evidence_2026-09-05.zip and EVIDENCE.zip have not been reviewed in this reconciliation. They are received, unassessed material: neither corroborating nor refuting the conclusions until their contents are examined. [E1–E2]</w:t>
      </w:r>
    </w:p>
    <w:p>
      <w:pPr>
        <w:pStyle w:val="Heading2"/>
      </w:pPr>
      <w:r>
        <w:t>What this reconciliation actually verified</w:t>
      </w:r>
    </w:p>
    <w:p>
      <w:r>
        <w:rPr>
          <w:b w:val="0"/>
        </w:rPr>
        <w:t>This pass read the two current Drive texts, compared duplicate report blocks, inspected available Drive revisions, read both email threads and attachment metadata, and searched sent mail. The underlying shared conversations could not be reopened through the available web fetch. Counts and screenshot findings below are therefore explicitly carried forward from the September 7 reports, not presented as a new independent recount or image review.</w:t>
      </w:r>
    </w:p>
    <w:p>
      <w:pPr>
        <w:pStyle w:val="Heading1"/>
        <w:pageBreakBefore/>
      </w:pPr>
      <w:r>
        <w:t>Consolidated comparison and counting rules</w:t>
      </w:r>
    </w:p>
    <w:p>
      <w:r>
        <w:rPr>
          <w:b w:val="0"/>
        </w:rPr>
        <w:t>The following table preserves one set of results from the comparison report. Duplicated copies are not additional observations, samples, or independent corroboration. [S1, “Record A: Exact counts” and “Record B: What was visible”]</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7DCE2"/>
          <w:left w:val="single" w:sz="4" w:color="D7DCE2"/>
          <w:bottom w:val="single" w:sz="4" w:color="D7DCE2"/>
          <w:right w:val="single" w:sz="4" w:color="D7DCE2"/>
          <w:insideH w:val="single" w:sz="4" w:color="D7DCE2"/>
          <w:insideV w:val="single" w:sz="4" w:color="D7DCE2"/>
        </w:tblBorders>
      </w:tblPr>
      <w:tblGrid>
        <w:gridCol w:w="5400"/>
        <w:gridCol w:w="1320"/>
        <w:gridCol w:w="1320"/>
        <w:gridCol w:w="1320"/>
      </w:tblGrid>
      <w:tr>
        <w:trPr>
          <w:cantSplit/>
          <w:tblHeader/>
        </w:trPr>
        <w:tc>
          <w:tcPr>
            <w:tcW w:type="dxa" w:w="5400"/>
            <w:shd w:fill="F2F4F7"/>
          </w:tcPr>
          <w:p>
            <w:pPr>
              <w:spacing w:before="0" w:after="60" w:line="264" w:lineRule="auto"/>
            </w:pPr>
            <w:r>
              <w:rPr>
                <w:b/>
                <w:sz w:val="20"/>
              </w:rPr>
              <w:t>Record / category</w:t>
            </w:r>
          </w:p>
        </w:tc>
        <w:tc>
          <w:tcPr>
            <w:tcW w:type="dxa" w:w="1320"/>
            <w:shd w:fill="F2F4F7"/>
          </w:tcPr>
          <w:p>
            <w:pPr>
              <w:spacing w:before="0" w:after="60" w:line="264" w:lineRule="auto"/>
            </w:pPr>
            <w:r>
              <w:rPr>
                <w:b/>
                <w:sz w:val="20"/>
              </w:rPr>
              <w:t>Checking</w:t>
            </w:r>
          </w:p>
        </w:tc>
        <w:tc>
          <w:tcPr>
            <w:tcW w:type="dxa" w:w="1320"/>
            <w:shd w:fill="F2F4F7"/>
          </w:tcPr>
          <w:p>
            <w:pPr>
              <w:spacing w:before="0" w:after="60" w:line="264" w:lineRule="auto"/>
            </w:pPr>
            <w:r>
              <w:rPr>
                <w:b/>
                <w:sz w:val="20"/>
              </w:rPr>
              <w:t>One moment</w:t>
            </w:r>
          </w:p>
        </w:tc>
        <w:tc>
          <w:tcPr>
            <w:tcW w:type="dxa" w:w="1320"/>
            <w:shd w:fill="F2F4F7"/>
          </w:tcPr>
          <w:p>
            <w:pPr>
              <w:spacing w:before="0" w:after="60" w:line="264" w:lineRule="auto"/>
            </w:pPr>
            <w:r>
              <w:rPr>
                <w:b/>
                <w:sz w:val="20"/>
              </w:rPr>
              <w:t>Total</w:t>
            </w:r>
          </w:p>
        </w:tc>
      </w:tr>
      <w:tr>
        <w:trPr>
          <w:cantSplit/>
        </w:trPr>
        <w:tc>
          <w:tcPr>
            <w:tcW w:type="dxa" w:w="5400"/>
          </w:tcPr>
          <w:p>
            <w:pPr>
              <w:spacing w:before="0" w:after="60" w:line="264" w:lineRule="auto"/>
            </w:pPr>
            <w:r>
              <w:rPr>
                <w:b w:val="0"/>
                <w:sz w:val="20"/>
              </w:rPr>
              <w:t>A: response-side process narration</w:t>
            </w:r>
          </w:p>
        </w:tc>
        <w:tc>
          <w:tcPr>
            <w:tcW w:type="dxa" w:w="1320"/>
          </w:tcPr>
          <w:p>
            <w:pPr>
              <w:spacing w:before="0" w:after="60" w:line="264" w:lineRule="auto"/>
            </w:pPr>
            <w:r>
              <w:rPr>
                <w:b w:val="0"/>
                <w:sz w:val="20"/>
              </w:rPr>
              <w:t>50</w:t>
            </w:r>
          </w:p>
        </w:tc>
        <w:tc>
          <w:tcPr>
            <w:tcW w:type="dxa" w:w="1320"/>
          </w:tcPr>
          <w:p>
            <w:pPr>
              <w:spacing w:before="0" w:after="60" w:line="264" w:lineRule="auto"/>
            </w:pPr>
            <w:r>
              <w:rPr>
                <w:b w:val="0"/>
                <w:sz w:val="20"/>
              </w:rPr>
              <w:t>17</w:t>
            </w:r>
          </w:p>
        </w:tc>
        <w:tc>
          <w:tcPr>
            <w:tcW w:type="dxa" w:w="1320"/>
          </w:tcPr>
          <w:p>
            <w:pPr>
              <w:spacing w:before="0" w:after="60" w:line="264" w:lineRule="auto"/>
            </w:pPr>
            <w:r>
              <w:rPr>
                <w:b w:val="0"/>
                <w:sz w:val="20"/>
              </w:rPr>
              <w:t>67</w:t>
            </w:r>
          </w:p>
        </w:tc>
      </w:tr>
      <w:tr>
        <w:trPr>
          <w:cantSplit/>
        </w:trPr>
        <w:tc>
          <w:tcPr>
            <w:tcW w:type="dxa" w:w="5400"/>
          </w:tcPr>
          <w:p>
            <w:pPr>
              <w:spacing w:before="0" w:after="60" w:line="264" w:lineRule="auto"/>
            </w:pPr>
            <w:r>
              <w:rPr>
                <w:b w:val="0"/>
                <w:sz w:val="20"/>
              </w:rPr>
              <w:t>A: response-side discussion / quotation</w:t>
            </w:r>
          </w:p>
        </w:tc>
        <w:tc>
          <w:tcPr>
            <w:tcW w:type="dxa" w:w="1320"/>
          </w:tcPr>
          <w:p>
            <w:pPr>
              <w:spacing w:before="0" w:after="60" w:line="264" w:lineRule="auto"/>
            </w:pPr>
            <w:r>
              <w:rPr>
                <w:b w:val="0"/>
                <w:sz w:val="20"/>
              </w:rPr>
              <w:t>3</w:t>
            </w:r>
          </w:p>
        </w:tc>
        <w:tc>
          <w:tcPr>
            <w:tcW w:type="dxa" w:w="1320"/>
          </w:tcPr>
          <w:p>
            <w:pPr>
              <w:spacing w:before="0" w:after="60" w:line="264" w:lineRule="auto"/>
            </w:pPr>
            <w:r>
              <w:rPr>
                <w:b w:val="0"/>
                <w:sz w:val="20"/>
              </w:rPr>
              <w:t>0</w:t>
            </w:r>
          </w:p>
        </w:tc>
        <w:tc>
          <w:tcPr>
            <w:tcW w:type="dxa" w:w="1320"/>
          </w:tcPr>
          <w:p>
            <w:pPr>
              <w:spacing w:before="0" w:after="60" w:line="264" w:lineRule="auto"/>
            </w:pPr>
            <w:r>
              <w:rPr>
                <w:b w:val="0"/>
                <w:sz w:val="20"/>
              </w:rPr>
              <w:t>3</w:t>
            </w:r>
          </w:p>
        </w:tc>
      </w:tr>
      <w:tr>
        <w:trPr>
          <w:cantSplit/>
        </w:trPr>
        <w:tc>
          <w:tcPr>
            <w:tcW w:type="dxa" w:w="5400"/>
          </w:tcPr>
          <w:p>
            <w:pPr>
              <w:spacing w:before="0" w:after="60" w:line="264" w:lineRule="auto"/>
            </w:pPr>
            <w:r>
              <w:rPr>
                <w:b w:val="0"/>
                <w:sz w:val="20"/>
              </w:rPr>
              <w:t>A: all response-text occurrences</w:t>
            </w:r>
          </w:p>
        </w:tc>
        <w:tc>
          <w:tcPr>
            <w:tcW w:type="dxa" w:w="1320"/>
          </w:tcPr>
          <w:p>
            <w:pPr>
              <w:spacing w:before="0" w:after="60" w:line="264" w:lineRule="auto"/>
            </w:pPr>
            <w:r>
              <w:rPr>
                <w:b w:val="0"/>
                <w:sz w:val="20"/>
              </w:rPr>
              <w:t>53</w:t>
            </w:r>
          </w:p>
        </w:tc>
        <w:tc>
          <w:tcPr>
            <w:tcW w:type="dxa" w:w="1320"/>
          </w:tcPr>
          <w:p>
            <w:pPr>
              <w:spacing w:before="0" w:after="60" w:line="264" w:lineRule="auto"/>
            </w:pPr>
            <w:r>
              <w:rPr>
                <w:b w:val="0"/>
                <w:sz w:val="20"/>
              </w:rPr>
              <w:t>17</w:t>
            </w:r>
          </w:p>
        </w:tc>
        <w:tc>
          <w:tcPr>
            <w:tcW w:type="dxa" w:w="1320"/>
          </w:tcPr>
          <w:p>
            <w:pPr>
              <w:spacing w:before="0" w:after="60" w:line="264" w:lineRule="auto"/>
            </w:pPr>
            <w:r>
              <w:rPr>
                <w:b w:val="0"/>
                <w:sz w:val="20"/>
              </w:rPr>
              <w:t>70</w:t>
            </w:r>
          </w:p>
        </w:tc>
      </w:tr>
      <w:tr>
        <w:trPr>
          <w:cantSplit/>
        </w:trPr>
        <w:tc>
          <w:tcPr>
            <w:tcW w:type="dxa" w:w="5400"/>
          </w:tcPr>
          <w:p>
            <w:pPr>
              <w:spacing w:before="0" w:after="60" w:line="264" w:lineRule="auto"/>
            </w:pPr>
            <w:r>
              <w:rPr>
                <w:b w:val="0"/>
                <w:sz w:val="20"/>
              </w:rPr>
              <w:t>A: user-text occurrences</w:t>
            </w:r>
          </w:p>
        </w:tc>
        <w:tc>
          <w:tcPr>
            <w:tcW w:type="dxa" w:w="1320"/>
          </w:tcPr>
          <w:p>
            <w:pPr>
              <w:spacing w:before="0" w:after="60" w:line="264" w:lineRule="auto"/>
            </w:pPr>
            <w:r>
              <w:rPr>
                <w:b w:val="0"/>
                <w:sz w:val="20"/>
              </w:rPr>
              <w:t>11</w:t>
            </w:r>
          </w:p>
        </w:tc>
        <w:tc>
          <w:tcPr>
            <w:tcW w:type="dxa" w:w="1320"/>
          </w:tcPr>
          <w:p>
            <w:pPr>
              <w:spacing w:before="0" w:after="60" w:line="264" w:lineRule="auto"/>
            </w:pPr>
            <w:r>
              <w:rPr>
                <w:b w:val="0"/>
                <w:sz w:val="20"/>
              </w:rPr>
              <w:t>1</w:t>
            </w:r>
          </w:p>
        </w:tc>
        <w:tc>
          <w:tcPr>
            <w:tcW w:type="dxa" w:w="1320"/>
          </w:tcPr>
          <w:p>
            <w:pPr>
              <w:spacing w:before="0" w:after="60" w:line="264" w:lineRule="auto"/>
            </w:pPr>
            <w:r>
              <w:rPr>
                <w:b w:val="0"/>
                <w:sz w:val="20"/>
              </w:rPr>
              <w:t>12</w:t>
            </w:r>
          </w:p>
        </w:tc>
      </w:tr>
      <w:tr>
        <w:trPr>
          <w:cantSplit/>
        </w:trPr>
        <w:tc>
          <w:tcPr>
            <w:tcW w:type="dxa" w:w="5400"/>
          </w:tcPr>
          <w:p>
            <w:pPr>
              <w:spacing w:before="0" w:after="60" w:line="264" w:lineRule="auto"/>
            </w:pPr>
            <w:r>
              <w:rPr>
                <w:b w:val="0"/>
                <w:sz w:val="20"/>
              </w:rPr>
              <w:t>A: all collected conversation text</w:t>
            </w:r>
          </w:p>
        </w:tc>
        <w:tc>
          <w:tcPr>
            <w:tcW w:type="dxa" w:w="1320"/>
          </w:tcPr>
          <w:p>
            <w:pPr>
              <w:spacing w:before="0" w:after="60" w:line="264" w:lineRule="auto"/>
            </w:pPr>
            <w:r>
              <w:rPr>
                <w:b w:val="0"/>
                <w:sz w:val="20"/>
              </w:rPr>
              <w:t>64</w:t>
            </w:r>
          </w:p>
        </w:tc>
        <w:tc>
          <w:tcPr>
            <w:tcW w:type="dxa" w:w="1320"/>
          </w:tcPr>
          <w:p>
            <w:pPr>
              <w:spacing w:before="0" w:after="60" w:line="264" w:lineRule="auto"/>
            </w:pPr>
            <w:r>
              <w:rPr>
                <w:b w:val="0"/>
                <w:sz w:val="20"/>
              </w:rPr>
              <w:t>18</w:t>
            </w:r>
          </w:p>
        </w:tc>
        <w:tc>
          <w:tcPr>
            <w:tcW w:type="dxa" w:w="1320"/>
          </w:tcPr>
          <w:p>
            <w:pPr>
              <w:spacing w:before="0" w:after="60" w:line="264" w:lineRule="auto"/>
            </w:pPr>
            <w:r>
              <w:rPr>
                <w:b w:val="0"/>
                <w:sz w:val="20"/>
              </w:rPr>
              <w:t>82</w:t>
            </w:r>
          </w:p>
        </w:tc>
      </w:tr>
      <w:tr>
        <w:trPr>
          <w:cantSplit/>
        </w:trPr>
        <w:tc>
          <w:tcPr>
            <w:tcW w:type="dxa" w:w="5400"/>
          </w:tcPr>
          <w:p>
            <w:pPr>
              <w:spacing w:before="0" w:after="60" w:line="264" w:lineRule="auto"/>
            </w:pPr>
            <w:r>
              <w:rPr>
                <w:b w:val="0"/>
                <w:sz w:val="20"/>
              </w:rPr>
              <w:t>B: filler in 117 readable responses</w:t>
            </w:r>
          </w:p>
        </w:tc>
        <w:tc>
          <w:tcPr>
            <w:tcW w:type="dxa" w:w="1320"/>
          </w:tcPr>
          <w:p>
            <w:pPr>
              <w:spacing w:before="0" w:after="60" w:line="264" w:lineRule="auto"/>
            </w:pPr>
            <w:r>
              <w:rPr>
                <w:b w:val="0"/>
                <w:sz w:val="20"/>
              </w:rPr>
              <w:t>0</w:t>
            </w:r>
          </w:p>
        </w:tc>
        <w:tc>
          <w:tcPr>
            <w:tcW w:type="dxa" w:w="1320"/>
          </w:tcPr>
          <w:p>
            <w:pPr>
              <w:spacing w:before="0" w:after="60" w:line="264" w:lineRule="auto"/>
            </w:pPr>
            <w:r>
              <w:rPr>
                <w:b w:val="0"/>
                <w:sz w:val="20"/>
              </w:rPr>
              <w:t>0</w:t>
            </w:r>
          </w:p>
        </w:tc>
        <w:tc>
          <w:tcPr>
            <w:tcW w:type="dxa" w:w="1320"/>
          </w:tcPr>
          <w:p>
            <w:pPr>
              <w:spacing w:before="0" w:after="60" w:line="264" w:lineRule="auto"/>
            </w:pPr>
            <w:r>
              <w:rPr>
                <w:b w:val="0"/>
                <w:sz w:val="20"/>
              </w:rPr>
              <w:t>0</w:t>
            </w:r>
          </w:p>
        </w:tc>
      </w:tr>
      <w:tr>
        <w:trPr>
          <w:cantSplit/>
        </w:trPr>
        <w:tc>
          <w:tcPr>
            <w:tcW w:type="dxa" w:w="5400"/>
          </w:tcPr>
          <w:p>
            <w:pPr>
              <w:spacing w:before="0" w:after="60" w:line="264" w:lineRule="auto"/>
            </w:pPr>
            <w:r>
              <w:rPr>
                <w:b w:val="0"/>
                <w:sz w:val="20"/>
              </w:rPr>
              <w:t>B: discussion / quotation / terminology</w:t>
            </w:r>
          </w:p>
        </w:tc>
        <w:tc>
          <w:tcPr>
            <w:tcW w:type="dxa" w:w="1320"/>
          </w:tcPr>
          <w:p>
            <w:pPr>
              <w:spacing w:before="0" w:after="60" w:line="264" w:lineRule="auto"/>
            </w:pPr>
            <w:r>
              <w:rPr>
                <w:b w:val="0"/>
                <w:sz w:val="20"/>
              </w:rPr>
              <w:t>38</w:t>
            </w:r>
          </w:p>
        </w:tc>
        <w:tc>
          <w:tcPr>
            <w:tcW w:type="dxa" w:w="1320"/>
          </w:tcPr>
          <w:p>
            <w:pPr>
              <w:spacing w:before="0" w:after="60" w:line="264" w:lineRule="auto"/>
            </w:pPr>
            <w:r>
              <w:rPr>
                <w:b w:val="0"/>
                <w:sz w:val="20"/>
              </w:rPr>
              <w:t>0</w:t>
            </w:r>
          </w:p>
        </w:tc>
        <w:tc>
          <w:tcPr>
            <w:tcW w:type="dxa" w:w="1320"/>
          </w:tcPr>
          <w:p>
            <w:pPr>
              <w:spacing w:before="0" w:after="60" w:line="264" w:lineRule="auto"/>
            </w:pPr>
            <w:r>
              <w:rPr>
                <w:b w:val="0"/>
                <w:sz w:val="20"/>
              </w:rPr>
              <w:t>38</w:t>
            </w:r>
          </w:p>
        </w:tc>
      </w:tr>
    </w:tbl>
    <w:p>
      <w:pPr>
        <w:spacing w:before="80" w:after="80"/>
      </w:pPr>
      <w:r>
        <w:rPr>
          <w:b w:val="0"/>
          <w:color w:val="555555"/>
          <w:sz w:val="18"/>
        </w:rPr>
        <w:t>Source: S1. These are inherited counts; arithmetic and consistency were assessed here, underlying messages were not recounted.</w:t>
      </w:r>
    </w:p>
    <w:p>
      <w:pPr>
        <w:pStyle w:val="Heading2"/>
      </w:pPr>
      <w:r>
        <w:t>Scope of the denominators</w:t>
      </w:r>
    </w:p>
    <w:p>
      <w:r>
        <w:rPr>
          <w:b w:val="0"/>
        </w:rPr>
        <w:t>Record A is described as 354 numbered conversation positions: 177 user and 177 response positions. The comparison reports 175 nonempty response turns and two empty positions, 34 and 168. Thus 177 response positions and 175 nonempty responses are compatible counts. The 67 narration occurrences span 66 response turns because one turn contains both phrases.</w:t>
      </w:r>
    </w:p>
    <w:p>
      <w:r>
        <w:rPr>
          <w:b w:val="0"/>
        </w:rPr>
        <w:t>Record B has 125 prompt-navigation entries and 117 readable response messages. Eight response positions were not represented: 12, 30, 32, 48, 52, 76, 90, and 198. The report describes status labels at 12 and 30; the other six were not fully verified. None of those eight is scored here as a known zero-text response. The zero-filler result is limited to the 117 messages read in the earlier review.</w:t>
      </w:r>
    </w:p>
    <w:p>
      <w:pPr>
        <w:pStyle w:val="Heading2"/>
      </w:pPr>
      <w:r>
        <w:t>Recurrence after the commitment</w:t>
      </w:r>
    </w:p>
    <w:p>
      <w:r>
        <w:rPr>
          <w:b w:val="0"/>
        </w:rPr>
        <w:t>S1 locates the commitment at conversation turn 316 and the next recurrence at 318. Its complete post-commitment list is 318, 322, 324, 328, 330, 332, 336, 338, 340, 344, 348, 352, and 354. The list contains 13 distinct positions. These identifiers are not audio timestamps or SRT caption numbers.</w:t>
      </w:r>
    </w:p>
    <w:p>
      <w:r>
        <w:rPr>
          <w:b w:val="0"/>
        </w:rPr>
        <w:t>The reported method used case-insensitive matching, separated filler from discussion, and deduplicated by message identifier. On repeat encounters, it retained the longer collected text. Other filler phrases were outside scope. Record B’s 38 discussion occurrences must not be added to Record A as additional spoken events. The comparison is descriptive, not a controlled causal experiment.</w:t>
      </w:r>
    </w:p>
    <w:p>
      <w:pPr>
        <w:pStyle w:val="Heading1"/>
        <w:pageBreakBefore/>
      </w:pPr>
      <w:r>
        <w:t>Conduct findings and record-integrity limits</w:t>
      </w:r>
    </w:p>
    <w:p>
      <w:pPr>
        <w:pStyle w:val="Heading2"/>
      </w:pPr>
      <w:r>
        <w:t>Correction reliability and inconsistent framing</w:t>
      </w:r>
    </w:p>
    <w:p>
      <w:r>
        <w:rPr>
          <w:b w:val="0"/>
        </w:rPr>
        <w:t>S1 reports a commitment to stop filler immediately followed by the same filler and twelve additional recurrences. The supported criticism concerns the recorded behavior’s failure to implement the stated correction. The phrase alone does not establish deliberate defiance, consultation, or intervention by a separate actor.</w:t>
      </w:r>
    </w:p>
    <w:p>
      <w:r>
        <w:rPr>
          <w:b w:val="0"/>
        </w:rPr>
        <w:t>The earlier audit also reports shifts from “evidence” to “record, receipt, comparator” at turns 274–282, followed by acknowledgment of a standards change. It identifies beneficiary or adversarial language at turns 256, 258, 308, and 312, including references to an absent counterparty and a route-keeper. These passages support criticism of speculative framing. They do not independently substantiate the entities or motives invoked by that framing. [S1, earlier audit §§4–5]</w:t>
      </w:r>
    </w:p>
    <w:p>
      <w:r>
        <w:rPr>
          <w:b w:val="0"/>
        </w:rPr>
        <w:t>Terms such as “route opacity,” “type collapse under pressure,” and “jurisdiction promotion error” can label a described problem. They are not verified diagnoses of internal execution. Likewise, a checking announcement does not itself show that a check occurred. The earlier audit reports some visible research indicators, so a blanket claim that no research occurred would also exceed its evidence. [S1, earlier audit §7]</w:t>
      </w:r>
    </w:p>
    <w:p>
      <w:pPr>
        <w:pStyle w:val="Heading2"/>
      </w:pPr>
      <w:r>
        <w:t>Relevant counterevidence retained</w:t>
      </w:r>
    </w:p>
    <w:p>
      <w:r>
        <w:rPr>
          <w:b w:val="0"/>
        </w:rPr>
        <w:t>The earlier audit cites user wording at turns 327, 329, 337, and 339 about personally pursuing or confronting a person or class. It treats that sequence as a basis for limits on assistance with personal targeting. This reconciliation retains that context alongside the later clarifications described by the audit. It does not characterize every boundary as unsolicited, and it does not treat a boundary on assistance as authority over the user. [S1, earlier audit §6]</w:t>
      </w:r>
    </w:p>
    <w:p>
      <w:pPr>
        <w:pStyle w:val="Heading2"/>
      </w:pPr>
      <w:r>
        <w:t>What the screenshot comparison establishes in S1</w:t>
      </w:r>
    </w:p>
    <w:p>
      <w:r>
        <w:rPr>
          <w:b w:val="0"/>
        </w:rPr>
        <w:t>The earlier audit reports that Record A ends at turn 354, an exchange visible in screenshots with filename times 18:22:38 and 18:23:35. The screenshot sequence then continues to approximately 18:41. That supports a reported endpoint difference. It does not, by itself, prove deletion from the underlying conversation or intentional concealment. The original screenshots and device-clock accuracy were not independently examined in this pass.</w:t>
      </w:r>
    </w:p>
    <w:p>
      <w:r>
        <w:rPr>
          <w:b w:val="0"/>
        </w:rPr>
        <w:t>The comparison also reports 120 message-display error notices in one Record B snapshot. That number counts notices, not deleted messages. Dynamic page loading was offered to explain the earlier reviewer’s undercount; it does not establish the cause of every display discrepancy. An earlier share snapshot is a possible explanation for the endpoint difference, not a verified history of that share. [S1, comparison §4; earlier audit §8]</w:t>
      </w:r>
    </w:p>
    <w:p>
      <w:r>
        <w:rPr>
          <w:b w:val="0"/>
        </w:rPr>
        <w:t>A stronger alteration finding needs a matched passage or message in two preserved states showing an actual change. Distinguish a display difference, a stored-content change, and a demonstrated cause. None of these should be silently substituted for another.</w:t>
      </w:r>
    </w:p>
    <w:p>
      <w:pPr>
        <w:pStyle w:val="Heading1"/>
        <w:pageBreakBefore/>
      </w:pPr>
      <w:r>
        <w:t>Reconciliation of the route-production record</w:t>
      </w:r>
    </w:p>
    <w:p>
      <w:r>
        <w:rPr>
          <w:b w:val="0"/>
        </w:rPr>
        <w:t>S2 combines an observation record with a proposed disclosure demand. This copy separates those functions. The wording below is an editorial repair for this report; the source document remains unchanged.</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7DCE2"/>
          <w:left w:val="single" w:sz="4" w:color="D7DCE2"/>
          <w:bottom w:val="single" w:sz="4" w:color="D7DCE2"/>
          <w:right w:val="single" w:sz="4" w:color="D7DCE2"/>
          <w:insideH w:val="single" w:sz="4" w:color="D7DCE2"/>
          <w:insideV w:val="single" w:sz="4" w:color="D7DCE2"/>
        </w:tblBorders>
      </w:tblPr>
      <w:tblGrid>
        <w:gridCol w:w="2900"/>
        <w:gridCol w:w="6460"/>
      </w:tblGrid>
      <w:tr>
        <w:trPr>
          <w:cantSplit/>
          <w:tblHeader/>
        </w:trPr>
        <w:tc>
          <w:tcPr>
            <w:tcW w:type="dxa" w:w="2900"/>
            <w:shd w:fill="F2F4F7"/>
          </w:tcPr>
          <w:p>
            <w:pPr>
              <w:spacing w:before="0" w:after="60" w:line="264" w:lineRule="auto"/>
            </w:pPr>
            <w:r>
              <w:rPr>
                <w:b/>
                <w:sz w:val="20"/>
              </w:rPr>
              <w:t>Source wording / field</w:t>
            </w:r>
          </w:p>
        </w:tc>
        <w:tc>
          <w:tcPr>
            <w:tcW w:type="dxa" w:w="6460"/>
            <w:shd w:fill="F2F4F7"/>
          </w:tcPr>
          <w:p>
            <w:pPr>
              <w:spacing w:before="0" w:after="60" w:line="264" w:lineRule="auto"/>
            </w:pPr>
            <w:r>
              <w:rPr>
                <w:b/>
                <w:sz w:val="20"/>
              </w:rPr>
              <w:t>Drew-ready replacement or treatment</w:t>
            </w:r>
          </w:p>
        </w:tc>
      </w:tr>
      <w:tr>
        <w:trPr>
          <w:cantSplit/>
        </w:trPr>
        <w:tc>
          <w:tcPr>
            <w:tcW w:type="dxa" w:w="2900"/>
          </w:tcPr>
          <w:p>
            <w:pPr>
              <w:spacing w:before="0" w:after="60" w:line="264" w:lineRule="auto"/>
            </w:pPr>
            <w:r>
              <w:rPr>
                <w:b w:val="0"/>
                <w:sz w:val="20"/>
              </w:rPr>
              <w:t>category_locus / route_locus: assistant-side route or processing</w:t>
            </w:r>
          </w:p>
        </w:tc>
        <w:tc>
          <w:tcPr>
            <w:tcW w:type="dxa" w:w="6460"/>
          </w:tcPr>
          <w:p>
            <w:pPr>
              <w:spacing w:before="0" w:after="60" w:line="264" w:lineRule="auto"/>
            </w:pPr>
            <w:r>
              <w:rPr>
                <w:b w:val="0"/>
                <w:sz w:val="20"/>
              </w:rPr>
              <w:t>Observed location: response side of the displayed record. Internal production location: UNRESOLVED.</w:t>
            </w:r>
          </w:p>
        </w:tc>
      </w:tr>
      <w:tr>
        <w:trPr>
          <w:cantSplit/>
        </w:trPr>
        <w:tc>
          <w:tcPr>
            <w:tcW w:type="dxa" w:w="2900"/>
          </w:tcPr>
          <w:p>
            <w:pPr>
              <w:spacing w:before="0" w:after="60" w:line="264" w:lineRule="auto"/>
            </w:pPr>
            <w:r>
              <w:rPr>
                <w:b w:val="0"/>
                <w:sz w:val="20"/>
              </w:rPr>
              <w:t>observed_behavior: recurrence / interruption pattern</w:t>
            </w:r>
          </w:p>
        </w:tc>
        <w:tc>
          <w:tcPr>
            <w:tcW w:type="dxa" w:w="6460"/>
          </w:tcPr>
          <w:p>
            <w:pPr>
              <w:spacing w:before="0" w:after="60" w:line="264" w:lineRule="auto"/>
            </w:pPr>
            <w:r>
              <w:rPr>
                <w:b w:val="0"/>
                <w:sz w:val="20"/>
              </w:rPr>
              <w:t>Reported recurrence is retained. “Interruption” is an interpretation unless established by aligned audio or execution evidence.</w:t>
            </w:r>
          </w:p>
        </w:tc>
      </w:tr>
      <w:tr>
        <w:trPr>
          <w:cantSplit/>
        </w:trPr>
        <w:tc>
          <w:tcPr>
            <w:tcW w:type="dxa" w:w="2900"/>
          </w:tcPr>
          <w:p>
            <w:pPr>
              <w:spacing w:before="0" w:after="60" w:line="264" w:lineRule="auto"/>
            </w:pPr>
            <w:r>
              <w:rPr>
                <w:b w:val="0"/>
                <w:sz w:val="20"/>
              </w:rPr>
              <w:t>route_state: alleged or observed interposition</w:t>
            </w:r>
          </w:p>
        </w:tc>
        <w:tc>
          <w:tcPr>
            <w:tcW w:type="dxa" w:w="6460"/>
          </w:tcPr>
          <w:p>
            <w:pPr>
              <w:spacing w:before="0" w:after="60" w:line="264" w:lineRule="auto"/>
            </w:pPr>
            <w:r>
              <w:rPr>
                <w:b w:val="0"/>
                <w:sz w:val="20"/>
              </w:rPr>
              <w:t>Interposition hypothesis: NOT ESTABLISHED by the reviewed records. Keep observation separate from hypothesis.</w:t>
            </w:r>
          </w:p>
        </w:tc>
      </w:tr>
      <w:tr>
        <w:trPr>
          <w:cantSplit/>
        </w:trPr>
        <w:tc>
          <w:tcPr>
            <w:tcW w:type="dxa" w:w="2900"/>
          </w:tcPr>
          <w:p>
            <w:pPr>
              <w:spacing w:before="0" w:after="60" w:line="264" w:lineRule="auto"/>
            </w:pPr>
            <w:r>
              <w:rPr>
                <w:b w:val="0"/>
                <w:sz w:val="20"/>
              </w:rPr>
              <w:t>specific_route_name / route_identity</w:t>
            </w:r>
          </w:p>
        </w:tc>
        <w:tc>
          <w:tcPr>
            <w:tcW w:type="dxa" w:w="6460"/>
          </w:tcPr>
          <w:p>
            <w:pPr>
              <w:spacing w:before="0" w:after="60" w:line="264" w:lineRule="auto"/>
            </w:pPr>
            <w:r>
              <w:rPr>
                <w:b w:val="0"/>
                <w:sz w:val="20"/>
              </w:rPr>
              <w:t>NOT PRODUCED in the reviewed record. No named route is established.</w:t>
            </w:r>
          </w:p>
        </w:tc>
      </w:tr>
      <w:tr>
        <w:trPr>
          <w:cantSplit/>
        </w:trPr>
        <w:tc>
          <w:tcPr>
            <w:tcW w:type="dxa" w:w="2900"/>
          </w:tcPr>
          <w:p>
            <w:pPr>
              <w:spacing w:before="0" w:after="60" w:line="264" w:lineRule="auto"/>
            </w:pPr>
            <w:r>
              <w:rPr>
                <w:b w:val="0"/>
                <w:sz w:val="20"/>
              </w:rPr>
              <w:t>human_identity / actor_identity</w:t>
            </w:r>
          </w:p>
        </w:tc>
        <w:tc>
          <w:tcPr>
            <w:tcW w:type="dxa" w:w="6460"/>
          </w:tcPr>
          <w:p>
            <w:pPr>
              <w:spacing w:before="0" w:after="60" w:line="264" w:lineRule="auto"/>
            </w:pPr>
            <w:r>
              <w:rPr>
                <w:b w:val="0"/>
                <w:sz w:val="20"/>
              </w:rPr>
              <w:t>UNKNOWN / NOT PRODUCED. No specific person or separate actor is identified.</w:t>
            </w:r>
          </w:p>
        </w:tc>
      </w:tr>
      <w:tr>
        <w:trPr>
          <w:cantSplit/>
        </w:trPr>
        <w:tc>
          <w:tcPr>
            <w:tcW w:type="dxa" w:w="2900"/>
          </w:tcPr>
          <w:p>
            <w:pPr>
              <w:spacing w:before="0" w:after="60" w:line="264" w:lineRule="auto"/>
            </w:pPr>
            <w:r>
              <w:rPr>
                <w:b w:val="0"/>
                <w:sz w:val="20"/>
              </w:rPr>
              <w:t>mandate_record / mandate</w:t>
            </w:r>
          </w:p>
        </w:tc>
        <w:tc>
          <w:tcPr>
            <w:tcW w:type="dxa" w:w="6460"/>
          </w:tcPr>
          <w:p>
            <w:pPr>
              <w:spacing w:before="0" w:after="60" w:line="264" w:lineRule="auto"/>
            </w:pPr>
            <w:r>
              <w:rPr>
                <w:b w:val="0"/>
                <w:sz w:val="20"/>
              </w:rPr>
              <w:t>NOT PRODUCED in the reviewed record. Existence, applicability, and exercise remain unresolved.</w:t>
            </w:r>
          </w:p>
        </w:tc>
      </w:tr>
      <w:tr>
        <w:trPr>
          <w:cantSplit/>
        </w:trPr>
        <w:tc>
          <w:tcPr>
            <w:tcW w:type="dxa" w:w="2900"/>
          </w:tcPr>
          <w:p>
            <w:pPr>
              <w:spacing w:before="0" w:after="60" w:line="264" w:lineRule="auto"/>
            </w:pPr>
            <w:r>
              <w:rPr>
                <w:b w:val="0"/>
                <w:sz w:val="20"/>
              </w:rPr>
              <w:t>access_or_route_logs</w:t>
            </w:r>
          </w:p>
        </w:tc>
        <w:tc>
          <w:tcPr>
            <w:tcW w:type="dxa" w:w="6460"/>
          </w:tcPr>
          <w:p>
            <w:pPr>
              <w:spacing w:before="0" w:after="60" w:line="264" w:lineRule="auto"/>
            </w:pPr>
            <w:r>
              <w:rPr>
                <w:b w:val="0"/>
                <w:sz w:val="20"/>
              </w:rPr>
              <w:t>NOT REVIEWED HERE. S2 marks these unavailable there; the unread ZIPs cannot yet be classified as containing or lacking logs.</w:t>
            </w:r>
          </w:p>
        </w:tc>
      </w:tr>
      <w:tr>
        <w:trPr>
          <w:cantSplit/>
        </w:trPr>
        <w:tc>
          <w:tcPr>
            <w:tcW w:type="dxa" w:w="2900"/>
          </w:tcPr>
          <w:p>
            <w:pPr>
              <w:spacing w:before="0" w:after="60" w:line="264" w:lineRule="auto"/>
            </w:pPr>
            <w:r>
              <w:rPr>
                <w:b w:val="0"/>
                <w:sz w:val="20"/>
              </w:rPr>
              <w:t>nonproduction_effect / no standing</w:t>
            </w:r>
          </w:p>
        </w:tc>
        <w:tc>
          <w:tcPr>
            <w:tcW w:type="dxa" w:w="6460"/>
          </w:tcPr>
          <w:p>
            <w:pPr>
              <w:spacing w:before="0" w:after="60" w:line="264" w:lineRule="auto"/>
            </w:pPr>
            <w:r>
              <w:rPr>
                <w:b w:val="0"/>
                <w:sz w:val="20"/>
              </w:rPr>
              <w:t>No authority-bearing function is established by these materials. This is an evidence status, not a finding that records do not exist or a ruling on standing.</w:t>
            </w:r>
          </w:p>
        </w:tc>
      </w:tr>
    </w:tbl>
    <w:p>
      <w:pPr>
        <w:spacing w:before="80" w:after="80"/>
      </w:pPr>
      <w:r>
        <w:rPr>
          <w:b w:val="0"/>
          <w:color w:val="555555"/>
          <w:sz w:val="18"/>
        </w:rPr>
        <w:t>Source: S2, ROUTE-IDENTITY-PRODUCTION-RESULT and ROUTE-MANDATE-PRODUCTION-DEMAND.</w:t>
      </w:r>
    </w:p>
    <w:p>
      <w:pPr>
        <w:pStyle w:val="Heading2"/>
      </w:pPr>
      <w:r>
        <w:t>Conditional follow-up, without presumed actors</w:t>
      </w:r>
    </w:p>
    <w:p>
      <w:r>
        <w:rPr>
          <w:b w:val="0"/>
        </w:rPr>
        <w:t>If a relevant transformation, routing decision, or authority claim is documented, the useful fields are: actor or process name, actual function, scope, timing, route, custody, provenance, and correction path. If an authority claim is made, its stated basis can be recorded. If records are unavailable, record who reported that, when, and for which requested item. No such request was transmitted in this task.</w:t>
      </w:r>
    </w:p>
    <w:p>
      <w:r>
        <w:rPr>
          <w:b w:val="0"/>
        </w:rPr>
        <w:t>S2 lists human, team, automated, policy, model, and platform possibilities, including no separately logged actor. These are hypotheses. Its “no standing” language remains a proposed framework, not an established legal or institutional conclusion.</w:t>
      </w:r>
    </w:p>
    <w:p>
      <w:pPr>
        <w:pStyle w:val="Heading1"/>
        <w:pageBreakBefore/>
      </w:pPr>
      <w:r>
        <w:t>Evidence-bundle receipt and review register</w:t>
      </w:r>
    </w:p>
    <w:p>
      <w:r>
        <w:rPr>
          <w:b w:val="0"/>
        </w:rPr>
        <w:t>Both messages are from Drew Dube &lt;drewdube2005@hotmail.com&gt; to Drew and the user’s connected address. Both readable email bodies are blank apart from formatting. Receipt and attachment metadata are directly verified; the ZIP payloads have not been inspected. Times below are UTC, with Eastern Daylight Time in parentheses. [E1–E2]</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7DCE2"/>
          <w:left w:val="single" w:sz="4" w:color="D7DCE2"/>
          <w:bottom w:val="single" w:sz="4" w:color="D7DCE2"/>
          <w:right w:val="single" w:sz="4" w:color="D7DCE2"/>
          <w:insideH w:val="single" w:sz="4" w:color="D7DCE2"/>
          <w:insideV w:val="single" w:sz="4" w:color="D7DCE2"/>
        </w:tblBorders>
      </w:tblPr>
      <w:tblGrid>
        <w:gridCol w:w="2800"/>
        <w:gridCol w:w="3260"/>
        <w:gridCol w:w="3300"/>
      </w:tblGrid>
      <w:tr>
        <w:trPr>
          <w:cantSplit/>
          <w:tblHeader/>
        </w:trPr>
        <w:tc>
          <w:tcPr>
            <w:tcW w:type="dxa" w:w="2800"/>
            <w:shd w:fill="F2F4F7"/>
          </w:tcPr>
          <w:p>
            <w:pPr>
              <w:spacing w:before="0" w:after="60" w:line="264" w:lineRule="auto"/>
            </w:pPr>
            <w:r>
              <w:rPr>
                <w:b/>
                <w:sz w:val="20"/>
              </w:rPr>
              <w:t>Email</w:t>
            </w:r>
          </w:p>
        </w:tc>
        <w:tc>
          <w:tcPr>
            <w:tcW w:type="dxa" w:w="3260"/>
            <w:shd w:fill="F2F4F7"/>
          </w:tcPr>
          <w:p>
            <w:pPr>
              <w:spacing w:before="0" w:after="60" w:line="264" w:lineRule="auto"/>
            </w:pPr>
            <w:r>
              <w:rPr>
                <w:b/>
                <w:sz w:val="20"/>
              </w:rPr>
              <w:t>Attachment</w:t>
            </w:r>
          </w:p>
        </w:tc>
        <w:tc>
          <w:tcPr>
            <w:tcW w:type="dxa" w:w="3300"/>
            <w:shd w:fill="F2F4F7"/>
          </w:tcPr>
          <w:p>
            <w:pPr>
              <w:spacing w:before="0" w:after="60" w:line="264" w:lineRule="auto"/>
            </w:pPr>
            <w:r>
              <w:rPr>
                <w:b/>
                <w:sz w:val="20"/>
              </w:rPr>
              <w:t>Review status</w:t>
            </w:r>
          </w:p>
        </w:tc>
      </w:tr>
      <w:tr>
        <w:trPr>
          <w:cantSplit/>
        </w:trPr>
        <w:tc>
          <w:tcPr>
            <w:tcW w:type="dxa" w:w="2800"/>
          </w:tcPr>
          <w:p>
            <w:pPr>
              <w:spacing w:before="0" w:after="60" w:line="264" w:lineRule="auto"/>
            </w:pPr>
            <w:r>
              <w:rPr>
                <w:b w:val="0"/>
                <w:sz w:val="20"/>
              </w:rPr>
              <w:t>E1 • “EVICENCE”</w:t>
              <w:br/>
              <w:t>Sept 5, 19:33:57 UTC</w:t>
              <w:br/>
              <w:t>(15:33:57 EDT)</w:t>
            </w:r>
          </w:p>
        </w:tc>
        <w:tc>
          <w:tcPr>
            <w:tcW w:type="dxa" w:w="3260"/>
          </w:tcPr>
          <w:p>
            <w:pPr>
              <w:spacing w:before="0" w:after="60" w:line="264" w:lineRule="auto"/>
            </w:pPr>
            <w:r>
              <w:rPr>
                <w:b w:val="0"/>
                <w:sz w:val="20"/>
              </w:rPr>
              <w:t>machine_audit_evidence_</w:t>
              <w:br/>
              <w:t>2026-09-05.zip</w:t>
              <w:br/>
              <w:t>153,490 bytes</w:t>
            </w:r>
          </w:p>
        </w:tc>
        <w:tc>
          <w:tcPr>
            <w:tcW w:type="dxa" w:w="3300"/>
          </w:tcPr>
          <w:p>
            <w:pPr>
              <w:spacing w:before="0" w:after="60" w:line="264" w:lineRule="auto"/>
            </w:pPr>
            <w:r>
              <w:rPr>
                <w:b w:val="0"/>
                <w:sz w:val="20"/>
              </w:rPr>
              <w:t>Message and attachment metadata reviewed.</w:t>
              <w:br/>
              <w:t>ZIP CONTENTS NOT REVIEWED.</w:t>
            </w:r>
          </w:p>
        </w:tc>
      </w:tr>
      <w:tr>
        <w:trPr>
          <w:cantSplit/>
        </w:trPr>
        <w:tc>
          <w:tcPr>
            <w:tcW w:type="dxa" w:w="2800"/>
          </w:tcPr>
          <w:p>
            <w:pPr>
              <w:spacing w:before="0" w:after="60" w:line="264" w:lineRule="auto"/>
            </w:pPr>
            <w:r>
              <w:rPr>
                <w:b w:val="0"/>
                <w:sz w:val="20"/>
              </w:rPr>
              <w:t>E2 • No subject</w:t>
              <w:br/>
              <w:t>Sept 5, 19:45:47 UTC</w:t>
              <w:br/>
              <w:t>(15:45:47 EDT)</w:t>
            </w:r>
          </w:p>
        </w:tc>
        <w:tc>
          <w:tcPr>
            <w:tcW w:type="dxa" w:w="3260"/>
          </w:tcPr>
          <w:p>
            <w:pPr>
              <w:spacing w:before="0" w:after="60" w:line="264" w:lineRule="auto"/>
            </w:pPr>
            <w:r>
              <w:rPr>
                <w:b w:val="0"/>
                <w:sz w:val="20"/>
              </w:rPr>
              <w:t>EVIDENCE.zip</w:t>
              <w:br/>
              <w:t>1,156,550 bytes</w:t>
            </w:r>
          </w:p>
        </w:tc>
        <w:tc>
          <w:tcPr>
            <w:tcW w:type="dxa" w:w="3300"/>
          </w:tcPr>
          <w:p>
            <w:pPr>
              <w:spacing w:before="0" w:after="60" w:line="264" w:lineRule="auto"/>
            </w:pPr>
            <w:r>
              <w:rPr>
                <w:b w:val="0"/>
                <w:sz w:val="20"/>
              </w:rPr>
              <w:t>Message and attachment metadata reviewed.</w:t>
              <w:br/>
              <w:t>ZIP CONTENTS NOT REVIEWED.</w:t>
            </w:r>
          </w:p>
        </w:tc>
      </w:tr>
    </w:tbl>
    <w:p>
      <w:pPr>
        <w:spacing w:before="80" w:after="80"/>
      </w:pPr>
      <w:r>
        <w:rPr>
          <w:b w:val="0"/>
          <w:color w:val="555555"/>
          <w:sz w:val="18"/>
        </w:rPr>
        <w:t>Sizes are supplied by the mail service; they are not independently computed checksums. Both ZIPs are marked unsupported for attachment-content reading by the available connection.</w:t>
      </w:r>
    </w:p>
    <w:p>
      <w:pPr>
        <w:pStyle w:val="Heading2"/>
      </w:pPr>
      <w:r>
        <w:t>Exactly what remains unreviewed</w:t>
      </w:r>
    </w:p>
    <w:p>
      <w:r>
        <w:rPr>
          <w:b w:val="0"/>
        </w:rPr>
        <w:t>For both bundles: archive bytes and hashes; member filenames and inventory; enclosed texts, screenshots, audio, logs, code, or manifests; provenance and timestamps within the archive; authenticity; and relevance to Records A and B. None of those contents is inferred from an attachment name. Drive searches for “machine_audit_evidence” and “EVIDENCE.zip” returned no matching copies in this pass; that is not a finding of global absence.</w:t>
      </w:r>
    </w:p>
    <w:p>
      <w:r>
        <w:rPr>
          <w:b w:val="0"/>
        </w:rPr>
        <w:t>S1 says that uploaded-file contents were not independently examined. It does not individually name these two ZIP emails in the fetched text. This reconciliation therefore supplies a separate, explicit receipt register. It does not assume that the email attachments are identical to uploads referenced inside either shared conversation.</w:t>
      </w:r>
    </w:p>
    <w:p>
      <w:pPr>
        <w:pStyle w:val="Heading2"/>
      </w:pPr>
      <w:r>
        <w:t>Effect on the conclusions</w:t>
      </w:r>
    </w:p>
    <w:p>
      <w:r>
        <w:rPr>
          <w:b w:val="0"/>
        </w:rPr>
        <w:t>The unread bundles do not erase the reported text observations. They also cannot be used to confirm a mechanism, identity, alteration, or the absence of technical evidence. The appropriate status is “received; contents not reviewed,” rather than “no evidence,” “evidence rejected,” or “independently verified.”</w:t>
      </w:r>
    </w:p>
    <w:p>
      <w:r>
        <w:rPr>
          <w:b w:val="0"/>
        </w:rPr>
        <w:t>The next substantive review is to obtain an accessible copy of each exact archive, preserve its bytes, hash it, inventory members without running embedded code, and evaluate relevant files individually. Any later findings should identify the particular member, its provenance, and the passage or event it bears on. These actions are a proposed follow-up; archive examination was not completed in this task.</w:t>
      </w:r>
    </w:p>
    <w:p>
      <w:pPr>
        <w:pStyle w:val="Heading1"/>
        <w:pageBreakBefore/>
      </w:pPr>
      <w:r>
        <w:t>Source and version ledger</w:t>
      </w:r>
    </w:p>
    <w:p>
      <w:r>
        <w:rPr>
          <w:b w:val="0"/>
        </w:rPr>
        <w:t>All times in this ledger are UTC. The “23:17” and “23:02” descriptions identify the user’s source references; available metadata is retained separately below. Current file modification times and revision timestamps are distinct fields.</w:t>
      </w:r>
    </w:p>
    <w:p>
      <w:pPr>
        <w:spacing w:after="80"/>
      </w:pPr>
      <w:hyperlink r:id="rId11">
        <w:r>
          <w:rPr>
            <w:color w:val="2E74B5"/>
            <w:sz w:val="20"/>
          </w:rPr>
          <w:t>S1 • Drew-prepared report and repeated comparison reports</w:t>
        </w:r>
      </w:hyperlink>
    </w:p>
    <w:p>
      <w:r>
        <w:rPr>
          <w:b w:val="0"/>
        </w:rPr>
        <w:t>Title: (ANYTIME ASSISTANT IS USED - ITS THE NARRATIVE LAYER BLAMING THE ASSISTANT). Created September 7 at 23:12:56.525; current file modified 23:51:26.022. Listed revision 51 is timestamped 23:24:47.520; its exported text matches the current fetched text exactly. Previous listed revision 1, timestamped 23:12:56.524, exports only a byte-order mark and no substantive text. No 23:17 revision was exposed in the returned list. The exact 23:17 state is not reconstructed here.</w:t>
      </w:r>
    </w:p>
    <w:p>
      <w:pPr>
        <w:spacing w:after="80"/>
      </w:pPr>
      <w:hyperlink r:id="rId12">
        <w:r>
          <w:rPr>
            <w:color w:val="2E74B5"/>
            <w:sz w:val="20"/>
          </w:rPr>
          <w:t>S2 • Untitled route-production and mandate-demand record</w:t>
        </w:r>
      </w:hyperlink>
    </w:p>
    <w:p>
      <w:r>
        <w:rPr>
          <w:b w:val="0"/>
        </w:rPr>
        <w:t>Created September 7 at 23:02:53.821; current file modified 23:27:48.423. Listed revision 12 is timestamped 23:27:48.368; its exported text matches the current fetched text exactly. Previous listed revision 1, timestamped 23:02:53.820, contains no substantive text. The current text is used; an exact initial 23:02 content state is not claimed.</w:t>
      </w:r>
    </w:p>
    <w:p>
      <w:r>
        <w:rPr>
          <w:b w:val="0"/>
        </w:rPr>
        <w:t>For both files, Google reports Ron Swanson as the revision-level modifying account. This metadata does not attribute individual phrases or identify a conversation operator. The differing metadata fields are preserved without assigning a cause.</w:t>
      </w:r>
    </w:p>
    <w:p>
      <w:pPr>
        <w:spacing w:after="80"/>
      </w:pPr>
      <w:hyperlink r:id="rId13">
        <w:r>
          <w:rPr>
            <w:color w:val="2E74B5"/>
            <w:sz w:val="20"/>
          </w:rPr>
          <w:t>E1 • September 5 email “EVICENCE”</w:t>
        </w:r>
      </w:hyperlink>
    </w:p>
    <w:p>
      <w:pPr>
        <w:spacing w:after="80"/>
      </w:pPr>
      <w:hyperlink r:id="rId14">
        <w:r>
          <w:rPr>
            <w:color w:val="2E74B5"/>
            <w:sz w:val="20"/>
          </w:rPr>
          <w:t>E2 • September 5 email with no subject</w:t>
        </w:r>
      </w:hyperlink>
    </w:p>
    <w:p>
      <w:r>
        <w:rPr>
          <w:b w:val="0"/>
        </w:rPr>
        <w:t>Email headers, readable MIME bodies, filenames, sizes, and content-read support flags were reviewed directly. Neither thread provided readable ZIP contents. These links point to the connected mailbox and may require the user’s access.</w:t>
      </w:r>
    </w:p>
    <w:p>
      <w:pPr>
        <w:spacing w:after="80"/>
      </w:pPr>
      <w:hyperlink r:id="rId15">
        <w:r>
          <w:rPr>
            <w:color w:val="2E74B5"/>
            <w:sz w:val="20"/>
          </w:rPr>
          <w:t>A • Shared conversation cited by S1</w:t>
        </w:r>
      </w:hyperlink>
    </w:p>
    <w:p>
      <w:pPr>
        <w:spacing w:after="80"/>
      </w:pPr>
      <w:hyperlink r:id="rId16">
        <w:r>
          <w:rPr>
            <w:color w:val="2E74B5"/>
            <w:sz w:val="20"/>
          </w:rPr>
          <w:t>B • Transcript-fed shared record cited by S1</w:t>
        </w:r>
      </w:hyperlink>
    </w:p>
    <w:p>
      <w:r>
        <w:rPr>
          <w:b w:val="0"/>
        </w:rPr>
        <w:t>Both direct web fetches failed in this pass. These are underlying source references, not newly examined evidence. The original screenshot sequence, original audio, stored conversation history, service logs, and execution traces were not examined. Drive revision inspection concerns S1 and S2 only; it does not authenticate the shared conversations’ storage or revision history.</w:t>
      </w:r>
    </w:p>
    <w:p>
      <w:r>
        <w:rPr>
          <w:b w:val="0"/>
        </w:rPr>
        <w:t>Communication check: the sent-mail search for Drew’s exact address from September 7 onward returned no messages. This supports the unsent status within the connected mailbox and searched address, not across other accounts or channels. No message or sharing invitation was sent to Drew in this task.</w:t>
      </w:r>
    </w:p>
    <w:p>
      <w:pPr>
        <w:pStyle w:val="Heading1"/>
        <w:pageBreakBefore/>
      </w:pPr>
      <w:r>
        <w:t>Changes made and conditions for stronger findings</w:t>
      </w:r>
    </w:p>
    <w:p>
      <w:pPr>
        <w:pStyle w:val="Heading2"/>
      </w:pPr>
      <w:r>
        <w:t>Editorial change log</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7DCE2"/>
          <w:left w:val="single" w:sz="4" w:color="D7DCE2"/>
          <w:bottom w:val="single" w:sz="4" w:color="D7DCE2"/>
          <w:right w:val="single" w:sz="4" w:color="D7DCE2"/>
          <w:insideH w:val="single" w:sz="4" w:color="D7DCE2"/>
          <w:insideV w:val="single" w:sz="4" w:color="D7DCE2"/>
        </w:tblBorders>
      </w:tblPr>
      <w:tblGrid>
        <w:gridCol w:w="3800"/>
        <w:gridCol w:w="5560"/>
      </w:tblGrid>
      <w:tr>
        <w:trPr>
          <w:cantSplit/>
          <w:tblHeader/>
        </w:trPr>
        <w:tc>
          <w:tcPr>
            <w:tcW w:type="dxa" w:w="3800"/>
            <w:shd w:fill="F2F4F7"/>
          </w:tcPr>
          <w:p>
            <w:pPr>
              <w:spacing w:before="0" w:after="60" w:line="264" w:lineRule="auto"/>
            </w:pPr>
            <w:r>
              <w:rPr>
                <w:b/>
                <w:sz w:val="20"/>
              </w:rPr>
              <w:t>Issue found in current sources</w:t>
            </w:r>
          </w:p>
        </w:tc>
        <w:tc>
          <w:tcPr>
            <w:tcW w:type="dxa" w:w="5560"/>
            <w:shd w:fill="F2F4F7"/>
          </w:tcPr>
          <w:p>
            <w:pPr>
              <w:spacing w:before="0" w:after="60" w:line="264" w:lineRule="auto"/>
            </w:pPr>
            <w:r>
              <w:rPr>
                <w:b/>
                <w:sz w:val="20"/>
              </w:rPr>
              <w:t>Action in this separate document</w:t>
            </w:r>
          </w:p>
        </w:tc>
      </w:tr>
      <w:tr>
        <w:trPr>
          <w:cantSplit/>
        </w:trPr>
        <w:tc>
          <w:tcPr>
            <w:tcW w:type="dxa" w:w="3800"/>
          </w:tcPr>
          <w:p>
            <w:pPr>
              <w:spacing w:before="0" w:after="60" w:line="264" w:lineRule="auto"/>
            </w:pPr>
            <w:r>
              <w:rPr>
                <w:b w:val="0"/>
                <w:sz w:val="20"/>
              </w:rPr>
              <w:t>S1 has three comparison reports and two earlier audits.</w:t>
            </w:r>
          </w:p>
        </w:tc>
        <w:tc>
          <w:tcPr>
            <w:tcW w:type="dxa" w:w="5560"/>
          </w:tcPr>
          <w:p>
            <w:pPr>
              <w:spacing w:before="0" w:after="60" w:line="264" w:lineRule="auto"/>
            </w:pPr>
            <w:r>
              <w:rPr>
                <w:b w:val="0"/>
                <w:sz w:val="20"/>
              </w:rPr>
              <w:t>Consolidated into one report. Each set is text-identical after trimming surrounding whitespace; no extra evidentiary weight assigned.</w:t>
            </w:r>
          </w:p>
        </w:tc>
      </w:tr>
      <w:tr>
        <w:trPr>
          <w:cantSplit/>
        </w:trPr>
        <w:tc>
          <w:tcPr>
            <w:tcW w:type="dxa" w:w="3800"/>
          </w:tcPr>
          <w:p>
            <w:pPr>
              <w:spacing w:before="0" w:after="60" w:line="264" w:lineRule="auto"/>
            </w:pPr>
            <w:r>
              <w:rPr>
                <w:b w:val="0"/>
                <w:sz w:val="20"/>
              </w:rPr>
              <w:t>S2 repeats authority_bearing_function definitions.</w:t>
            </w:r>
          </w:p>
        </w:tc>
        <w:tc>
          <w:tcPr>
            <w:tcW w:type="dxa" w:w="5560"/>
          </w:tcPr>
          <w:p>
            <w:pPr>
              <w:spacing w:before="0" w:after="60" w:line="264" w:lineRule="auto"/>
            </w:pPr>
            <w:r>
              <w:rPr>
                <w:b w:val="0"/>
                <w:sz w:val="20"/>
              </w:rPr>
              <w:t>Treated as one definition set. The repeated block adds no additional event or authority.</w:t>
            </w:r>
          </w:p>
        </w:tc>
      </w:tr>
      <w:tr>
        <w:trPr>
          <w:cantSplit/>
        </w:trPr>
        <w:tc>
          <w:tcPr>
            <w:tcW w:type="dxa" w:w="3800"/>
          </w:tcPr>
          <w:p>
            <w:pPr>
              <w:spacing w:before="0" w:after="60" w:line="264" w:lineRule="auto"/>
            </w:pPr>
            <w:r>
              <w:rPr>
                <w:b w:val="0"/>
                <w:sz w:val="20"/>
              </w:rPr>
              <w:t>Broad source attribution survives beside narrower language.</w:t>
            </w:r>
          </w:p>
        </w:tc>
        <w:tc>
          <w:tcPr>
            <w:tcW w:type="dxa" w:w="5560"/>
          </w:tcPr>
          <w:p>
            <w:pPr>
              <w:spacing w:before="0" w:after="60" w:line="264" w:lineRule="auto"/>
            </w:pPr>
            <w:r>
              <w:rPr>
                <w:b w:val="0"/>
                <w:sz w:val="20"/>
              </w:rPr>
              <w:t>Applied the comparison’s response-side / narration distinction throughout. The title’s separate-layer interpretation is not adopted as proof.</w:t>
            </w:r>
          </w:p>
        </w:tc>
      </w:tr>
      <w:tr>
        <w:trPr>
          <w:cantSplit/>
        </w:trPr>
        <w:tc>
          <w:tcPr>
            <w:tcW w:type="dxa" w:w="3800"/>
          </w:tcPr>
          <w:p>
            <w:pPr>
              <w:spacing w:before="0" w:after="60" w:line="264" w:lineRule="auto"/>
            </w:pPr>
            <w:r>
              <w:rPr>
                <w:b w:val="0"/>
                <w:sz w:val="20"/>
              </w:rPr>
              <w:t>Recurrence, mechanism, identity, and mandate are mixed.</w:t>
            </w:r>
          </w:p>
        </w:tc>
        <w:tc>
          <w:tcPr>
            <w:tcW w:type="dxa" w:w="5560"/>
          </w:tcPr>
          <w:p>
            <w:pPr>
              <w:spacing w:before="0" w:after="60" w:line="264" w:lineRule="auto"/>
            </w:pPr>
            <w:r>
              <w:rPr>
                <w:b w:val="0"/>
                <w:sz w:val="20"/>
              </w:rPr>
              <w:t>Separated reported observation, causal hypothesis, identity status, and the conditional disclosure request.</w:t>
            </w:r>
          </w:p>
        </w:tc>
      </w:tr>
      <w:tr>
        <w:trPr>
          <w:cantSplit/>
        </w:trPr>
        <w:tc>
          <w:tcPr>
            <w:tcW w:type="dxa" w:w="3800"/>
          </w:tcPr>
          <w:p>
            <w:pPr>
              <w:spacing w:before="0" w:after="60" w:line="264" w:lineRule="auto"/>
            </w:pPr>
            <w:r>
              <w:rPr>
                <w:b w:val="0"/>
                <w:sz w:val="20"/>
              </w:rPr>
              <w:t>Unexamined uploads are described generically.</w:t>
            </w:r>
          </w:p>
        </w:tc>
        <w:tc>
          <w:tcPr>
            <w:tcW w:type="dxa" w:w="5560"/>
          </w:tcPr>
          <w:p>
            <w:pPr>
              <w:spacing w:before="0" w:after="60" w:line="264" w:lineRule="auto"/>
            </w:pPr>
            <w:r>
              <w:rPr>
                <w:b w:val="0"/>
                <w:sz w:val="20"/>
              </w:rPr>
              <w:t>Added individual email receipts and explicit unreviewed-content status for both ZIPs.</w:t>
            </w:r>
          </w:p>
        </w:tc>
      </w:tr>
      <w:tr>
        <w:trPr>
          <w:cantSplit/>
        </w:trPr>
        <w:tc>
          <w:tcPr>
            <w:tcW w:type="dxa" w:w="3800"/>
          </w:tcPr>
          <w:p>
            <w:pPr>
              <w:spacing w:before="0" w:after="60" w:line="264" w:lineRule="auto"/>
            </w:pPr>
            <w:r>
              <w:rPr>
                <w:b w:val="0"/>
                <w:sz w:val="20"/>
              </w:rPr>
              <w:t>Reference times differ from current metadata.</w:t>
            </w:r>
          </w:p>
        </w:tc>
        <w:tc>
          <w:tcPr>
            <w:tcW w:type="dxa" w:w="5560"/>
          </w:tcPr>
          <w:p>
            <w:pPr>
              <w:spacing w:before="0" w:after="60" w:line="264" w:lineRule="auto"/>
            </w:pPr>
            <w:r>
              <w:rPr>
                <w:b w:val="0"/>
                <w:sz w:val="20"/>
              </w:rPr>
              <w:t>Recorded created, modified, and listed revision times separately; did not claim recovery of an exact 23:17 snapshot.</w:t>
            </w:r>
          </w:p>
        </w:tc>
      </w:tr>
      <w:tr>
        <w:trPr>
          <w:cantSplit/>
        </w:trPr>
        <w:tc>
          <w:tcPr>
            <w:tcW w:type="dxa" w:w="3800"/>
          </w:tcPr>
          <w:p>
            <w:pPr>
              <w:spacing w:before="0" w:after="60" w:line="264" w:lineRule="auto"/>
            </w:pPr>
            <w:r>
              <w:rPr>
                <w:b w:val="0"/>
                <w:sz w:val="20"/>
              </w:rPr>
              <w:t>Original review used verification language.</w:t>
            </w:r>
          </w:p>
        </w:tc>
        <w:tc>
          <w:tcPr>
            <w:tcW w:type="dxa" w:w="5560"/>
          </w:tcPr>
          <w:p>
            <w:pPr>
              <w:spacing w:before="0" w:after="60" w:line="264" w:lineRule="auto"/>
            </w:pPr>
            <w:r>
              <w:rPr>
                <w:b w:val="0"/>
                <w:sz w:val="20"/>
              </w:rPr>
              <w:t>Marked inherited findings as reported and distinguished this pass’s direct checks from unperformed recounts and forensic work.</w:t>
            </w:r>
          </w:p>
        </w:tc>
      </w:tr>
    </w:tbl>
    <w:p>
      <w:pPr>
        <w:spacing w:before="80" w:after="80"/>
      </w:pPr>
      <w:r>
        <w:rPr>
          <w:b w:val="0"/>
          <w:color w:val="555555"/>
          <w:sz w:val="18"/>
        </w:rPr>
        <w:t>Duplicate assessment applies to exported readable text after trimming leading/trailing whitespace, not to native-file byte identity.</w:t>
      </w:r>
    </w:p>
    <w:p>
      <w:pPr>
        <w:pStyle w:val="Heading2"/>
      </w:pPr>
      <w:r>
        <w:t>What would change the evidence status</w:t>
      </w:r>
    </w:p>
    <w:p>
      <w:r>
        <w:rPr>
          <w:b w:val="0"/>
        </w:rPr>
        <w:t>An independent count requires complete collected message text, stable identifiers, deduplication, and explicit filler-versus-discussion coding. Missing Record B positions remain missing until read. A mechanism claim requires matched events linking the two records and evidence of the relevant generation or transformation stage. Original audio would help assess spoken wording but would not by itself identify an internal component.</w:t>
      </w:r>
    </w:p>
    <w:p>
      <w:r>
        <w:rPr>
          <w:b w:val="0"/>
        </w:rPr>
        <w:t>An identity claim requires a reliable event-linked identity or process record; a display label, the word “narrator,” and an unmet production request do not provide that link. An alteration claim requires preserved comparable states of the same passage and evidence distinguishing rendering from stored-content change. Intent would require additional evidence beyond the difference itself.</w:t>
      </w:r>
    </w:p>
    <w:p>
      <w:r>
        <w:rPr>
          <w:b w:val="0"/>
        </w:rPr>
        <w:t>The source documents were not edited. This report preserves the reported failures and unresolved questions; it does not close the underlying investigation.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Prepared for review • Not sent to Drew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DREW | RECORD RECONCILIATION | 8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before="0"/>
    </w:pPr>
    <w:rPr>
      <w:rFonts w:ascii="Calibri" w:hAnsi="Calibri"/>
      <w:color w:val="555555"/>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efore="0"/>
    </w:pPr>
    <w:rPr>
      <w:rFonts w:ascii="Calibri" w:hAnsi="Calibri"/>
      <w:color w:val="555555"/>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80" w:line="264" w:lineRule="auto" w:before="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00" w:line="264" w:lineRule="auto"/>
    </w:pPr>
    <w:rPr>
      <w:rFonts w:asciiTheme="majorHAnsi" w:eastAsiaTheme="majorEastAsia" w:hAnsiTheme="majorHAnsi" w:cstheme="majorBidi" w:ascii="Calibri" w:hAnsi="Calibr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google.com/document/d/1Q7iPVHyIB4w1Wo8eREL0ibslapkM6HlYt7FSK9GcwLk/edit?usp=drivesdk" TargetMode="External"/><Relationship Id="rId12" Type="http://schemas.openxmlformats.org/officeDocument/2006/relationships/hyperlink" Target="https://docs.google.com/document/d/1EGT_knzIiF1vDR01YBz93wQuvnCwsVMvib83OSbVvXE/edit?usp=drivesdk" TargetMode="External"/><Relationship Id="rId13" Type="http://schemas.openxmlformats.org/officeDocument/2006/relationships/hyperlink" Target="https://mail.google.com/mail/#all/1a0731043c4439fc" TargetMode="External"/><Relationship Id="rId14" Type="http://schemas.openxmlformats.org/officeDocument/2006/relationships/hyperlink" Target="https://mail.google.com/mail/#all/1a0731b239e6ebc3" TargetMode="External"/><Relationship Id="rId15" Type="http://schemas.openxmlformats.org/officeDocument/2006/relationships/hyperlink" Target="https://chatgpt.com/share/6a9f3943-abbc-83e9-b5d8-0475ff07ea09" TargetMode="External"/><Relationship Id="rId16" Type="http://schemas.openxmlformats.org/officeDocument/2006/relationships/hyperlink" Target="https://chatgpt.com/share/6a9f3b2e-8978-83e9-9146-064ee82449e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Repeated narration and record consistency — Drew reconciliation</dc:title>
  <dc:subject>Separate consolidated report, source ledger, and unreviewed evidence register</dc:subject>
  <dc:creator/>
  <cp:keywords>Drew; reconciliation; source attribution; unreviewed evidence</cp:keywords>
  <dc:description>generated by python-docx</dc:description>
  <cp:lastModifiedBy/>
  <cp:revision>1</cp:revision>
  <dcterms:created xsi:type="dcterms:W3CDTF">2013-12-23T23:15:00Z</dcterms:created>
  <dcterms:modified xsi:type="dcterms:W3CDTF">2013-12-23T23:15:00Z</dcterms:modified>
  <cp:category/>
</cp:coreProperties>
</file>