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Bdr>
          <w:bottom w:val="single" w:sz="18" w:space="4" w:color="0B6B68"/>
        </w:pBdr>
      </w:pPr>
      <w:r>
        <w:rPr>
          <w:rFonts w:ascii="Aptos Display" w:hAnsi="Aptos Display"/>
          <w:b/>
          <w:color w:val="17324D"/>
          <w:sz w:val="44"/>
        </w:rPr>
        <w:t>GQG Core Card · v0.2</w:t>
      </w:r>
    </w:p>
    <w:p>
      <w:pPr>
        <w:pStyle w:val="CardSubtitle"/>
      </w:pPr>
      <w:r>
        <w:rPr>
          <w:b w:val="0"/>
        </w:rPr>
        <w:t>Geometric Quotient Grammar</w:t>
      </w:r>
    </w:p>
    <w:p>
      <w:r>
        <w:rPr>
          <w:b/>
          <w:color w:val="17324D"/>
        </w:rPr>
        <w:t>Status:</w:t>
      </w:r>
      <w:r>
        <w:rPr>
          <w:b w:val="0"/>
        </w:rPr>
        <w:t xml:space="preserve"> experimental language specification</w:t>
      </w:r>
    </w:p>
    <w:p>
      <w:r>
        <w:rPr>
          <w:b/>
          <w:color w:val="17324D"/>
        </w:rPr>
        <w:t>Profile:</w:t>
      </w:r>
      <w:r>
        <w:rPr>
          <w:b w:val="0"/>
        </w:rPr>
        <w:t xml:space="preserve"> </w:t>
      </w:r>
      <w:r>
        <w:rPr>
          <w:rFonts w:ascii="Aptos Mono" w:hAnsi="Aptos Mono" w:eastAsia="Aptos Mono"/>
          <w:color w:val="0E6663"/>
          <w:sz w:val="17"/>
        </w:rPr>
        <w:t>Set</w:t>
      </w:r>
      <w:r>
        <w:rPr>
          <w:b w:val="0"/>
        </w:rPr>
        <w:t xml:space="preserve"> (normative core)</w:t>
      </w:r>
    </w:p>
    <w:p>
      <w:r>
        <w:rPr>
          <w:b/>
          <w:color w:val="17324D"/>
        </w:rPr>
        <w:t>Date:</w:t>
      </w:r>
      <w:r>
        <w:rPr>
          <w:b w:val="0"/>
        </w:rPr>
        <w:t xml:space="preserve"> 2026-08-20</w:t>
      </w:r>
    </w:p>
    <w:p>
      <w:r>
        <w:rPr>
          <w:b/>
          <w:color w:val="17324D"/>
        </w:rPr>
        <w:t>Attribution:</w:t>
      </w:r>
      <w:r>
        <w:rPr>
          <w:b w:val="0"/>
        </w:rPr>
        <w:t xml:space="preserve"> not specified in the supplied GQG source</w:t>
      </w:r>
    </w:p>
    <w:p>
      <w:r>
        <w:rPr>
          <w:b/>
          <w:color w:val="17324D"/>
        </w:rPr>
        <w:t>License:</w:t>
      </w:r>
      <w:r>
        <w:rPr>
          <w:b w:val="0"/>
        </w:rPr>
        <w:t xml:space="preserve"> not specified in the supplied GQG source</w:t>
      </w:r>
    </w:p>
    <w:p>
      <w:r>
        <w:rPr>
          <w:b/>
          <w:color w:val="17324D"/>
        </w:rPr>
        <w:t>Continuity:</w:t>
      </w:r>
      <w:r>
        <w:rPr>
          <w:b w:val="0"/>
        </w:rPr>
        <w:t xml:space="preserve"> v0.2 distillation of the supplied GQG working material</w:t>
      </w:r>
    </w:p>
    <w:p>
      <w:r>
        <w:rPr>
          <w:b/>
          <w:color w:val="17324D"/>
        </w:rPr>
        <w:t>Purpose:</w:t>
      </w:r>
      <w:r>
        <w:rPr>
          <w:b w:val="0"/>
        </w:rPr>
        <w:t xml:space="preserve"> a typed visual and textual language for witness-relative quotient constructions</w:t>
      </w:r>
    </w:p>
    <w:tbl>
      <w:tblPr>
        <w:tblW w:type="auto" w:w="0"/>
        <w:jc w:val="center"/>
        <w:tblLayout w:type="autofit"/>
        <w:tblLook w:firstColumn="1" w:firstRow="1" w:lastColumn="0" w:lastRow="0" w:noHBand="0" w:noVBand="1" w:val="04A0"/>
        <w:tblBorders>
          <w:top w:val="single" w:sz="8" w:space="0" w:color="E1BA52"/>
          <w:left w:val="single" w:sz="8" w:space="0" w:color="E1BA52"/>
          <w:bottom w:val="single" w:sz="8" w:space="0" w:color="E1BA52"/>
          <w:right w:val="single" w:sz="8" w:space="0" w:color="E1BA52"/>
          <w:insideH w:val="single" w:sz="8" w:space="0" w:color="E1BA52"/>
          <w:insideV w:val="single" w:sz="8" w:space="0" w:color="E1BA52"/>
        </w:tblBorders>
      </w:tblPr>
      <w:tblGrid>
        <w:gridCol w:w="14342"/>
      </w:tblGrid>
      <w:tr>
        <w:tc>
          <w:tcPr>
            <w:tcW w:type="dxa" w:w="14342"/>
            <w:shd w:fill="FFF5D9"/>
            <w:tcMar>
              <w:top w:w="90" w:type="dxa"/>
              <w:start w:w="130" w:type="dxa"/>
              <w:bottom w:w="90" w:type="dxa"/>
              <w:end w:w="130" w:type="dxa"/>
            </w:tcMar>
          </w:tcPr>
          <w:p>
            <w:pPr>
              <w:pStyle w:val="CardCallout"/>
            </w:pPr>
            <w:r>
              <w:rPr>
                <w:b/>
                <w:color w:val="17324D"/>
              </w:rPr>
              <w:t>Claim boundary.</w:t>
            </w:r>
            <w:r>
              <w:rPr>
                <w:b w:val="0"/>
              </w:rPr>
              <w:t xml:space="preserve"> GQG records observations, the equivalence they induce, the quotient they justify, and the proof obligations required for later operations. It does not claim that different application domains are isomorphic, that measurement is quotienting, or that a shared Hamiltonian governs those domains.</w:t>
            </w:r>
          </w:p>
        </w:tc>
      </w:tr>
    </w:tbl>
    <w:p>
      <w:pPr>
        <w:pStyle w:val="Heading2"/>
      </w:pPr>
      <w:r>
        <w:rPr>
          <w:b w:val="0"/>
        </w:rPr>
        <w:t>Semantic ownership</w:t>
      </w:r>
    </w:p>
    <w:p>
      <w:r>
        <w:rPr>
          <w:b/>
          <w:color w:val="17324D"/>
        </w:rPr>
        <w:t>Text source → canonical AST → type checker → formal outputs</w:t>
      </w:r>
    </w:p>
    <w:p>
      <w:r>
        <w:rPr>
          <w:b/>
          <w:color w:val="17324D"/>
        </w:rPr>
        <w:t>Canonical AST → glyph and diagram renderings</w:t>
      </w:r>
    </w:p>
    <w:p>
      <w:r>
        <w:rPr>
          <w:b w:val="0"/>
        </w:rPr>
        <w:t>The abstract syntax tree owns the semantics. A rune, commutative diagram, accessible monochrome view, terminal view, and canonical JSON may all render the same accepted tree. Diagram-to-AST parsing is a future feature and must pass semantic round-trip tests before the arrow becomes bidirectional.</w:t>
      </w:r>
    </w:p>
    <w:p>
      <w:pPr>
        <w:pStyle w:val="Heading2"/>
      </w:pPr>
      <w:r>
        <w:rPr>
          <w:b w:val="0"/>
        </w:rPr>
        <w:t>Canonical construction</w:t>
      </w:r>
    </w:p>
    <w:p>
      <w:r>
        <w:rPr>
          <w:rFonts w:ascii="Aptos Mono" w:hAnsi="Aptos Mono" w:eastAsia="Aptos Mono"/>
          <w:color w:val="0E6663"/>
          <w:sz w:val="17"/>
        </w:rPr>
        <w:t>CAT → SRC → WIT → OBS → EQV → QUO → (IMG) → {DSC, REF, (CPL)}</w:t>
      </w:r>
    </w:p>
    <w:p>
      <w:r>
        <w:rPr>
          <w:b w:val="0"/>
        </w:rPr>
        <w:t xml:space="preserve">In the normative </w:t>
      </w:r>
      <w:r>
        <w:rPr>
          <w:rFonts w:ascii="Aptos Mono" w:hAnsi="Aptos Mono" w:eastAsia="Aptos Mono"/>
          <w:color w:val="0E6663"/>
          <w:sz w:val="17"/>
        </w:rPr>
        <w:t>Set</w:t>
      </w:r>
      <w:r>
        <w:rPr>
          <w:b w:val="0"/>
        </w:rPr>
        <w:t xml:space="preserve"> profile:</w:t>
      </w:r>
    </w:p>
    <w:p>
      <w:r>
        <w:rPr>
          <w:rFonts w:ascii="Aptos Mono" w:hAnsi="Aptos Mono" w:eastAsia="Aptos Mono"/>
          <w:color w:val="0E6663"/>
          <w:sz w:val="17"/>
        </w:rPr>
        <w:t>P ↠ Q_W ≅ im(Ω_W) ↪ ∏_{w∈W} O_w</w:t>
      </w:r>
    </w:p>
    <w:p>
      <w:r>
        <w:rPr>
          <w:b w:val="0"/>
        </w:rPr>
        <w:t xml:space="preserve">Define </w:t>
      </w:r>
      <w:r>
        <w:rPr>
          <w:rFonts w:ascii="Aptos Mono" w:hAnsi="Aptos Mono" w:eastAsia="Aptos Mono"/>
          <w:color w:val="0E6663"/>
          <w:sz w:val="17"/>
        </w:rPr>
        <w:t>O_W := ∏_{w∈W} O_w</w:t>
      </w:r>
      <w:r>
        <w:rPr>
          <w:b w:val="0"/>
        </w:rPr>
        <w:t xml:space="preserve"> and </w:t>
      </w:r>
      <w:r>
        <w:rPr>
          <w:rFonts w:ascii="Aptos Mono" w:hAnsi="Aptos Mono" w:eastAsia="Aptos Mono"/>
          <w:color w:val="0E6663"/>
          <w:sz w:val="17"/>
        </w:rPr>
        <w:t>Ω_W(x) := (w(x))_{w∈W}</w:t>
      </w:r>
      <w:r>
        <w:rPr>
          <w:b w:val="0"/>
        </w:rPr>
        <w:t xml:space="preserve">. Then </w:t>
      </w:r>
      <w:r>
        <w:rPr>
          <w:rFonts w:ascii="Aptos Mono" w:hAnsi="Aptos Mono" w:eastAsia="Aptos Mono"/>
          <w:color w:val="0E6663"/>
          <w:sz w:val="17"/>
        </w:rPr>
        <w:t>x ~_W y</w:t>
      </w:r>
      <w:r>
        <w:rPr>
          <w:b w:val="0"/>
        </w:rPr>
        <w:t xml:space="preserve"> exactly when </w:t>
      </w:r>
      <w:r>
        <w:rPr>
          <w:rFonts w:ascii="Aptos Mono" w:hAnsi="Aptos Mono" w:eastAsia="Aptos Mono"/>
          <w:color w:val="0E6663"/>
          <w:sz w:val="17"/>
        </w:rPr>
        <w:t>Ω_W(x) = Ω_W(y)</w:t>
      </w:r>
      <w:r>
        <w:rPr>
          <w:b w:val="0"/>
        </w:rPr>
        <w:t>. The image comparison is conditional in other backends: the profile must declare the needed products, kernel pairs, coequalizers, images, and exactness assumptions.</w:t>
      </w:r>
    </w:p>
    <w:p>
      <w:pPr>
        <w:pStyle w:val="Heading2"/>
      </w:pPr>
      <w:r>
        <w:rPr>
          <w:b w:val="0"/>
        </w:rPr>
        <w:t>Token alphabet</w:t>
      </w:r>
    </w:p>
    <w:tbl>
      <w:tblPr>
        <w:tblW w:type="auto" w:w="0"/>
        <w:jc w:val="center"/>
        <w:tblLayout w:type="autofit"/>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7171"/>
        <w:gridCol w:w="7171"/>
      </w:tblGrid>
      <w:tr>
        <w:trPr>
          <w:tblHeader w:val="true"/>
        </w:trPr>
        <w:tc>
          <w:tcPr>
            <w:tcW w:type="dxa" w:w="7171"/>
            <w:shd w:fill="17324D"/>
            <w:tcMar>
              <w:top w:w="45" w:type="dxa"/>
              <w:start w:w="65" w:type="dxa"/>
              <w:bottom w:w="45" w:type="dxa"/>
              <w:end w:w="65" w:type="dxa"/>
            </w:tcMar>
            <w:vAlign w:val="center"/>
          </w:tcPr>
          <w:p>
            <w:pPr>
              <w:jc w:val="left"/>
            </w:pPr>
            <w:r>
              <w:rPr>
                <w:b/>
                <w:color w:val="FFFFFF"/>
                <w:sz w:val="18"/>
              </w:rPr>
              <w:t>Token</w:t>
            </w:r>
          </w:p>
        </w:tc>
        <w:tc>
          <w:tcPr>
            <w:tcW w:type="dxa" w:w="7171"/>
            <w:shd w:fill="17324D"/>
            <w:tcMar>
              <w:top w:w="45" w:type="dxa"/>
              <w:start w:w="65" w:type="dxa"/>
              <w:bottom w:w="45" w:type="dxa"/>
              <w:end w:w="65" w:type="dxa"/>
            </w:tcMar>
            <w:vAlign w:val="center"/>
          </w:tcPr>
          <w:p>
            <w:pPr>
              <w:jc w:val="left"/>
            </w:pPr>
            <w:r>
              <w:rPr>
                <w:b/>
                <w:color w:val="FFFFFF"/>
                <w:sz w:val="18"/>
              </w:rPr>
              <w:t>Typed role</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CAT</w:t>
            </w:r>
          </w:p>
        </w:tc>
        <w:tc>
          <w:tcPr>
            <w:tcW w:type="dxa" w:w="7171"/>
            <w:tcMar>
              <w:top w:w="45" w:type="dxa"/>
              <w:start w:w="65" w:type="dxa"/>
              <w:bottom w:w="45" w:type="dxa"/>
              <w:end w:w="65" w:type="dxa"/>
            </w:tcMar>
            <w:vAlign w:val="center"/>
          </w:tcPr>
          <w:p>
            <w:r>
              <w:rPr>
                <w:b w:val="0"/>
                <w:sz w:val="18"/>
              </w:rPr>
              <w:t>Ambient category or structural profile</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SRC</w:t>
            </w:r>
          </w:p>
        </w:tc>
        <w:tc>
          <w:tcPr>
            <w:tcW w:type="dxa" w:w="7171"/>
            <w:tcMar>
              <w:top w:w="45" w:type="dxa"/>
              <w:start w:w="65" w:type="dxa"/>
              <w:bottom w:w="45" w:type="dxa"/>
              <w:end w:w="65" w:type="dxa"/>
            </w:tcMar>
            <w:vAlign w:val="center"/>
            <w:shd w:fill="EEF3F7"/>
          </w:tcPr>
          <w:p>
            <w:r>
              <w:rPr>
                <w:b w:val="0"/>
                <w:sz w:val="18"/>
              </w:rPr>
              <w:t xml:space="preserve">Presented source object </w:t>
            </w:r>
            <w:r>
              <w:rPr>
                <w:rFonts w:ascii="Aptos Mono" w:hAnsi="Aptos Mono" w:eastAsia="Aptos Mono"/>
                <w:color w:val="0E6663"/>
                <w:sz w:val="17"/>
              </w:rPr>
              <w:t>P</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WIT</w:t>
            </w:r>
          </w:p>
        </w:tc>
        <w:tc>
          <w:tcPr>
            <w:tcW w:type="dxa" w:w="7171"/>
            <w:tcMar>
              <w:top w:w="45" w:type="dxa"/>
              <w:start w:w="65" w:type="dxa"/>
              <w:bottom w:w="45" w:type="dxa"/>
              <w:end w:w="65" w:type="dxa"/>
            </w:tcMar>
            <w:vAlign w:val="center"/>
          </w:tcPr>
          <w:p>
            <w:r>
              <w:rPr>
                <w:b w:val="0"/>
                <w:sz w:val="18"/>
              </w:rPr>
              <w:t xml:space="preserve">Witness family </w:t>
            </w:r>
            <w:r>
              <w:rPr>
                <w:rFonts w:ascii="Aptos Mono" w:hAnsi="Aptos Mono" w:eastAsia="Aptos Mono"/>
                <w:color w:val="0E6663"/>
                <w:sz w:val="17"/>
              </w:rPr>
              <w:t>W</w:t>
            </w:r>
            <w:r>
              <w:rPr>
                <w:b w:val="0"/>
                <w:sz w:val="18"/>
              </w:rPr>
              <w:t xml:space="preserve"> on </w:t>
            </w:r>
            <w:r>
              <w:rPr>
                <w:rFonts w:ascii="Aptos Mono" w:hAnsi="Aptos Mono" w:eastAsia="Aptos Mono"/>
                <w:color w:val="0E6663"/>
                <w:sz w:val="17"/>
              </w:rPr>
              <w:t>P</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OBS</w:t>
            </w:r>
          </w:p>
        </w:tc>
        <w:tc>
          <w:tcPr>
            <w:tcW w:type="dxa" w:w="7171"/>
            <w:tcMar>
              <w:top w:w="45" w:type="dxa"/>
              <w:start w:w="65" w:type="dxa"/>
              <w:bottom w:w="45" w:type="dxa"/>
              <w:end w:w="65" w:type="dxa"/>
            </w:tcMar>
            <w:vAlign w:val="center"/>
            <w:shd w:fill="EEF3F7"/>
          </w:tcPr>
          <w:p>
            <w:r>
              <w:rPr>
                <w:b w:val="0"/>
                <w:sz w:val="18"/>
              </w:rPr>
              <w:t xml:space="preserve">Aggregate observation </w:t>
            </w:r>
            <w:r>
              <w:rPr>
                <w:rFonts w:ascii="Aptos Mono" w:hAnsi="Aptos Mono" w:eastAsia="Aptos Mono"/>
                <w:color w:val="0E6663"/>
                <w:sz w:val="17"/>
              </w:rPr>
              <w:t>Ω_W : P → O_W</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EQV</w:t>
            </w:r>
          </w:p>
        </w:tc>
        <w:tc>
          <w:tcPr>
            <w:tcW w:type="dxa" w:w="7171"/>
            <w:tcMar>
              <w:top w:w="45" w:type="dxa"/>
              <w:start w:w="65" w:type="dxa"/>
              <w:bottom w:w="45" w:type="dxa"/>
              <w:end w:w="65" w:type="dxa"/>
            </w:tcMar>
            <w:vAlign w:val="center"/>
          </w:tcPr>
          <w:p>
            <w:r>
              <w:rPr>
                <w:b w:val="0"/>
                <w:sz w:val="18"/>
              </w:rPr>
              <w:t xml:space="preserve">Kernel pair / induced equivalence </w:t>
            </w:r>
            <w:r>
              <w:rPr>
                <w:rFonts w:ascii="Aptos Mono" w:hAnsi="Aptos Mono" w:eastAsia="Aptos Mono"/>
                <w:color w:val="0E6663"/>
                <w:sz w:val="17"/>
              </w:rPr>
              <w:t>~_W</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QUO</w:t>
            </w:r>
          </w:p>
        </w:tc>
        <w:tc>
          <w:tcPr>
            <w:tcW w:type="dxa" w:w="7171"/>
            <w:tcMar>
              <w:top w:w="45" w:type="dxa"/>
              <w:start w:w="65" w:type="dxa"/>
              <w:bottom w:w="45" w:type="dxa"/>
              <w:end w:w="65" w:type="dxa"/>
            </w:tcMar>
            <w:vAlign w:val="center"/>
            <w:shd w:fill="EEF3F7"/>
          </w:tcPr>
          <w:p>
            <w:r>
              <w:rPr>
                <w:b w:val="0"/>
                <w:sz w:val="18"/>
              </w:rPr>
              <w:t xml:space="preserve">Quotient object and map </w:t>
            </w:r>
            <w:r>
              <w:rPr>
                <w:rFonts w:ascii="Aptos Mono" w:hAnsi="Aptos Mono" w:eastAsia="Aptos Mono"/>
                <w:color w:val="0E6663"/>
                <w:sz w:val="17"/>
              </w:rPr>
              <w:t>q_W : P ↠ Q_W</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IMG</w:t>
            </w:r>
          </w:p>
        </w:tc>
        <w:tc>
          <w:tcPr>
            <w:tcW w:type="dxa" w:w="7171"/>
            <w:tcMar>
              <w:top w:w="45" w:type="dxa"/>
              <w:start w:w="65" w:type="dxa"/>
              <w:bottom w:w="45" w:type="dxa"/>
              <w:end w:w="65" w:type="dxa"/>
            </w:tcMar>
            <w:vAlign w:val="center"/>
          </w:tcPr>
          <w:p>
            <w:r>
              <w:rPr>
                <w:b w:val="0"/>
                <w:sz w:val="18"/>
              </w:rPr>
              <w:t>Backend-supported image factorization</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DSC</w:t>
            </w:r>
          </w:p>
        </w:tc>
        <w:tc>
          <w:tcPr>
            <w:tcW w:type="dxa" w:w="7171"/>
            <w:tcMar>
              <w:top w:w="45" w:type="dxa"/>
              <w:start w:w="65" w:type="dxa"/>
              <w:bottom w:w="45" w:type="dxa"/>
              <w:end w:w="65" w:type="dxa"/>
            </w:tcMar>
            <w:vAlign w:val="center"/>
            <w:shd w:fill="EEF3F7"/>
          </w:tcPr>
          <w:p>
            <w:r>
              <w:rPr>
                <w:b w:val="0"/>
                <w:sz w:val="18"/>
              </w:rPr>
              <w:t>Certificate that an operation descends</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REF</w:t>
            </w:r>
          </w:p>
        </w:tc>
        <w:tc>
          <w:tcPr>
            <w:tcW w:type="dxa" w:w="7171"/>
            <w:tcMar>
              <w:top w:w="45" w:type="dxa"/>
              <w:start w:w="65" w:type="dxa"/>
              <w:bottom w:w="45" w:type="dxa"/>
              <w:end w:w="65" w:type="dxa"/>
            </w:tcMar>
            <w:vAlign w:val="center"/>
          </w:tcPr>
          <w:p>
            <w:r>
              <w:rPr>
                <w:b w:val="0"/>
                <w:sz w:val="18"/>
              </w:rPr>
              <w:t>Witness refinement and quotient comparison</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CPL</w:t>
            </w:r>
          </w:p>
        </w:tc>
        <w:tc>
          <w:tcPr>
            <w:tcW w:type="dxa" w:w="7171"/>
            <w:tcMar>
              <w:top w:w="45" w:type="dxa"/>
              <w:start w:w="65" w:type="dxa"/>
              <w:bottom w:w="45" w:type="dxa"/>
              <w:end w:w="65" w:type="dxa"/>
            </w:tcMar>
            <w:vAlign w:val="center"/>
            <w:shd w:fill="EEF3F7"/>
          </w:tcPr>
          <w:p>
            <w:r>
              <w:rPr>
                <w:b w:val="0"/>
                <w:sz w:val="18"/>
              </w:rPr>
              <w:t>Separately typed completion specification</w:t>
            </w:r>
          </w:p>
        </w:tc>
      </w:tr>
    </w:tbl>
    <w:p>
      <w:pPr>
        <w:spacing w:after="0"/>
      </w:pPr>
    </w:p>
    <w:p>
      <w:pPr>
        <w:pStyle w:val="Heading2"/>
      </w:pPr>
      <w:r>
        <w:rPr>
          <w:b w:val="0"/>
        </w:rPr>
        <w:t>Equality lanes</w:t>
      </w:r>
    </w:p>
    <w:tbl>
      <w:tblPr>
        <w:tblW w:type="auto" w:w="0"/>
        <w:jc w:val="center"/>
        <w:tblLayout w:type="autofit"/>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781"/>
        <w:gridCol w:w="4781"/>
        <w:gridCol w:w="4781"/>
      </w:tblGrid>
      <w:tr>
        <w:trPr>
          <w:tblHeader w:val="true"/>
        </w:trPr>
        <w:tc>
          <w:tcPr>
            <w:tcW w:type="dxa" w:w="4781"/>
            <w:shd w:fill="17324D"/>
            <w:tcMar>
              <w:top w:w="45" w:type="dxa"/>
              <w:start w:w="65" w:type="dxa"/>
              <w:bottom w:w="45" w:type="dxa"/>
              <w:end w:w="65" w:type="dxa"/>
            </w:tcMar>
            <w:vAlign w:val="center"/>
          </w:tcPr>
          <w:p>
            <w:pPr>
              <w:jc w:val="left"/>
            </w:pPr>
            <w:r>
              <w:rPr>
                <w:b/>
                <w:color w:val="FFFFFF"/>
                <w:sz w:val="18"/>
              </w:rPr>
              <w:t>Lane</w:t>
            </w:r>
          </w:p>
        </w:tc>
        <w:tc>
          <w:tcPr>
            <w:tcW w:type="dxa" w:w="4781"/>
            <w:shd w:fill="17324D"/>
            <w:tcMar>
              <w:top w:w="45" w:type="dxa"/>
              <w:start w:w="65" w:type="dxa"/>
              <w:bottom w:w="45" w:type="dxa"/>
              <w:end w:w="65" w:type="dxa"/>
            </w:tcMar>
            <w:vAlign w:val="center"/>
          </w:tcPr>
          <w:p>
            <w:pPr>
              <w:jc w:val="left"/>
            </w:pPr>
            <w:r>
              <w:rPr>
                <w:b/>
                <w:color w:val="FFFFFF"/>
                <w:sz w:val="18"/>
              </w:rPr>
              <w:t>Form</w:t>
            </w:r>
          </w:p>
        </w:tc>
        <w:tc>
          <w:tcPr>
            <w:tcW w:type="dxa" w:w="4781"/>
            <w:shd w:fill="17324D"/>
            <w:tcMar>
              <w:top w:w="45" w:type="dxa"/>
              <w:start w:w="65" w:type="dxa"/>
              <w:bottom w:w="45" w:type="dxa"/>
              <w:end w:w="65" w:type="dxa"/>
            </w:tcMar>
            <w:vAlign w:val="center"/>
          </w:tcPr>
          <w:p>
            <w:pPr>
              <w:jc w:val="left"/>
            </w:pPr>
            <w:r>
              <w:rPr>
                <w:b/>
                <w:color w:val="FFFFFF"/>
                <w:sz w:val="18"/>
              </w:rPr>
              <w:t>Meaning</w:t>
            </w:r>
          </w:p>
        </w:tc>
      </w:tr>
      <w:tr>
        <w:tc>
          <w:tcPr>
            <w:tcW w:type="dxa" w:w="4781"/>
            <w:tcMar>
              <w:top w:w="45" w:type="dxa"/>
              <w:start w:w="65" w:type="dxa"/>
              <w:bottom w:w="45" w:type="dxa"/>
              <w:end w:w="65" w:type="dxa"/>
            </w:tcMar>
            <w:vAlign w:val="center"/>
          </w:tcPr>
          <w:p>
            <w:r>
              <w:rPr>
                <w:b w:val="0"/>
                <w:sz w:val="18"/>
              </w:rPr>
              <w:t>Source</w:t>
            </w:r>
          </w:p>
        </w:tc>
        <w:tc>
          <w:tcPr>
            <w:tcW w:type="dxa" w:w="4781"/>
            <w:tcMar>
              <w:top w:w="45" w:type="dxa"/>
              <w:start w:w="65" w:type="dxa"/>
              <w:bottom w:w="45" w:type="dxa"/>
              <w:end w:w="65" w:type="dxa"/>
            </w:tcMar>
            <w:vAlign w:val="center"/>
          </w:tcPr>
          <w:p>
            <w:r>
              <w:rPr>
                <w:rFonts w:ascii="Aptos Mono" w:hAnsi="Aptos Mono" w:eastAsia="Aptos Mono"/>
                <w:color w:val="0E6663"/>
                <w:sz w:val="17"/>
              </w:rPr>
              <w:t>x = y</w:t>
            </w:r>
          </w:p>
        </w:tc>
        <w:tc>
          <w:tcPr>
            <w:tcW w:type="dxa" w:w="4781"/>
            <w:tcMar>
              <w:top w:w="45" w:type="dxa"/>
              <w:start w:w="65" w:type="dxa"/>
              <w:bottom w:w="45" w:type="dxa"/>
              <w:end w:w="65" w:type="dxa"/>
            </w:tcMar>
            <w:vAlign w:val="center"/>
          </w:tcPr>
          <w:p>
            <w:r>
              <w:rPr>
                <w:b w:val="0"/>
                <w:sz w:val="18"/>
              </w:rPr>
              <w:t>The presented elements are equal.</w:t>
            </w:r>
          </w:p>
        </w:tc>
      </w:tr>
      <w:tr>
        <w:tc>
          <w:tcPr>
            <w:tcW w:type="dxa" w:w="4781"/>
            <w:tcMar>
              <w:top w:w="45" w:type="dxa"/>
              <w:start w:w="65" w:type="dxa"/>
              <w:bottom w:w="45" w:type="dxa"/>
              <w:end w:w="65" w:type="dxa"/>
            </w:tcMar>
            <w:vAlign w:val="center"/>
            <w:shd w:fill="EEF3F7"/>
          </w:tcPr>
          <w:p>
            <w:r>
              <w:rPr>
                <w:b w:val="0"/>
                <w:sz w:val="18"/>
              </w:rPr>
              <w:t>Observation</w:t>
            </w:r>
          </w:p>
        </w:tc>
        <w:tc>
          <w:tcPr>
            <w:tcW w:type="dxa" w:w="4781"/>
            <w:tcMar>
              <w:top w:w="45" w:type="dxa"/>
              <w:start w:w="65" w:type="dxa"/>
              <w:bottom w:w="45" w:type="dxa"/>
              <w:end w:w="65" w:type="dxa"/>
            </w:tcMar>
            <w:vAlign w:val="center"/>
            <w:shd w:fill="EEF3F7"/>
          </w:tcPr>
          <w:p>
            <w:r>
              <w:rPr>
                <w:rFonts w:ascii="Aptos Mono" w:hAnsi="Aptos Mono" w:eastAsia="Aptos Mono"/>
                <w:color w:val="0E6663"/>
                <w:sz w:val="17"/>
              </w:rPr>
              <w:t>x ~_W y</w:t>
            </w:r>
          </w:p>
        </w:tc>
        <w:tc>
          <w:tcPr>
            <w:tcW w:type="dxa" w:w="4781"/>
            <w:tcMar>
              <w:top w:w="45" w:type="dxa"/>
              <w:start w:w="65" w:type="dxa"/>
              <w:bottom w:w="45" w:type="dxa"/>
              <w:end w:w="65" w:type="dxa"/>
            </w:tcMar>
            <w:vAlign w:val="center"/>
            <w:shd w:fill="EEF3F7"/>
          </w:tcPr>
          <w:p>
            <w:r>
              <w:rPr>
                <w:b w:val="0"/>
                <w:sz w:val="18"/>
              </w:rPr>
              <w:t>The declared witnesses cannot distinguish them.</w:t>
            </w:r>
          </w:p>
        </w:tc>
      </w:tr>
      <w:tr>
        <w:tc>
          <w:tcPr>
            <w:tcW w:type="dxa" w:w="4781"/>
            <w:tcMar>
              <w:top w:w="45" w:type="dxa"/>
              <w:start w:w="65" w:type="dxa"/>
              <w:bottom w:w="45" w:type="dxa"/>
              <w:end w:w="65" w:type="dxa"/>
            </w:tcMar>
            <w:vAlign w:val="center"/>
          </w:tcPr>
          <w:p>
            <w:r>
              <w:rPr>
                <w:b w:val="0"/>
                <w:sz w:val="18"/>
              </w:rPr>
              <w:t>Quotient</w:t>
            </w:r>
          </w:p>
        </w:tc>
        <w:tc>
          <w:tcPr>
            <w:tcW w:type="dxa" w:w="4781"/>
            <w:tcMar>
              <w:top w:w="45" w:type="dxa"/>
              <w:start w:w="65" w:type="dxa"/>
              <w:bottom w:w="45" w:type="dxa"/>
              <w:end w:w="65" w:type="dxa"/>
            </w:tcMar>
            <w:vAlign w:val="center"/>
          </w:tcPr>
          <w:p>
            <w:r>
              <w:rPr>
                <w:rFonts w:ascii="Aptos Mono" w:hAnsi="Aptos Mono" w:eastAsia="Aptos Mono"/>
                <w:color w:val="0E6663"/>
                <w:sz w:val="17"/>
              </w:rPr>
              <w:t>[x]_W = [y]_W</w:t>
            </w:r>
          </w:p>
        </w:tc>
        <w:tc>
          <w:tcPr>
            <w:tcW w:type="dxa" w:w="4781"/>
            <w:tcMar>
              <w:top w:w="45" w:type="dxa"/>
              <w:start w:w="65" w:type="dxa"/>
              <w:bottom w:w="45" w:type="dxa"/>
              <w:end w:w="65" w:type="dxa"/>
            </w:tcMar>
            <w:vAlign w:val="center"/>
          </w:tcPr>
          <w:p>
            <w:r>
              <w:rPr>
                <w:b w:val="0"/>
                <w:sz w:val="18"/>
              </w:rPr>
              <w:t>They name the same quotient class.</w:t>
            </w:r>
          </w:p>
        </w:tc>
      </w:tr>
      <w:tr>
        <w:tc>
          <w:tcPr>
            <w:tcW w:type="dxa" w:w="4781"/>
            <w:tcMar>
              <w:top w:w="45" w:type="dxa"/>
              <w:start w:w="65" w:type="dxa"/>
              <w:bottom w:w="45" w:type="dxa"/>
              <w:end w:w="65" w:type="dxa"/>
            </w:tcMar>
            <w:vAlign w:val="center"/>
            <w:shd w:fill="EEF3F7"/>
          </w:tcPr>
          <w:p>
            <w:r>
              <w:rPr>
                <w:b w:val="0"/>
                <w:sz w:val="18"/>
              </w:rPr>
              <w:t>Completion</w:t>
            </w:r>
          </w:p>
        </w:tc>
        <w:tc>
          <w:tcPr>
            <w:tcW w:type="dxa" w:w="4781"/>
            <w:tcMar>
              <w:top w:w="45" w:type="dxa"/>
              <w:start w:w="65" w:type="dxa"/>
              <w:bottom w:w="45" w:type="dxa"/>
              <w:end w:w="65" w:type="dxa"/>
            </w:tcMar>
            <w:vAlign w:val="center"/>
            <w:shd w:fill="EEF3F7"/>
          </w:tcPr>
          <w:p>
            <w:r>
              <w:rPr>
                <w:rFonts w:ascii="Aptos Mono" w:hAnsi="Aptos Mono" w:eastAsia="Aptos Mono"/>
                <w:color w:val="0E6663"/>
                <w:sz w:val="17"/>
              </w:rPr>
              <w:t>u = v</w:t>
            </w:r>
            <w:r>
              <w:rPr>
                <w:b w:val="0"/>
                <w:sz w:val="18"/>
              </w:rPr>
              <w:t xml:space="preserve"> in </w:t>
            </w:r>
            <w:r>
              <w:rPr>
                <w:rFonts w:ascii="Aptos Mono" w:hAnsi="Aptos Mono" w:eastAsia="Aptos Mono"/>
                <w:color w:val="0E6663"/>
                <w:sz w:val="17"/>
              </w:rPr>
              <w:t>Q̂_W</w:t>
            </w:r>
          </w:p>
        </w:tc>
        <w:tc>
          <w:tcPr>
            <w:tcW w:type="dxa" w:w="4781"/>
            <w:tcMar>
              <w:top w:w="45" w:type="dxa"/>
              <w:start w:w="65" w:type="dxa"/>
              <w:bottom w:w="45" w:type="dxa"/>
              <w:end w:w="65" w:type="dxa"/>
            </w:tcMar>
            <w:vAlign w:val="center"/>
            <w:shd w:fill="EEF3F7"/>
          </w:tcPr>
          <w:p>
            <w:r>
              <w:rPr>
                <w:b w:val="0"/>
                <w:sz w:val="18"/>
              </w:rPr>
              <w:t>Equality may involve new completion elements; the declared embedding must state what it preserves and reflects.</w:t>
            </w:r>
          </w:p>
        </w:tc>
      </w:tr>
    </w:tbl>
    <w:p>
      <w:pPr>
        <w:spacing w:after="0"/>
      </w:pPr>
    </w:p>
    <w:p>
      <w:r>
        <w:rPr>
          <w:b w:val="0"/>
        </w:rPr>
        <w:t>Never move a claim between lanes without an explicit constructor or proof.</w:t>
      </w:r>
    </w:p>
    <w:p>
      <w:pPr>
        <w:pStyle w:val="Heading2"/>
      </w:pPr>
      <w:r>
        <w:rPr>
          <w:b w:val="0"/>
        </w:rPr>
        <w:t>Formation rules</w:t>
      </w:r>
    </w:p>
    <w:p>
      <w:pPr>
        <w:pStyle w:val="ListNumber"/>
      </w:pPr>
      <w:r>
        <w:rPr>
          <w:b w:val="0"/>
        </w:rPr>
        <w:t xml:space="preserve">Declare </w:t>
      </w:r>
      <w:r>
        <w:rPr>
          <w:rFonts w:ascii="Aptos Mono" w:hAnsi="Aptos Mono" w:eastAsia="Aptos Mono"/>
          <w:color w:val="0E6663"/>
          <w:sz w:val="17"/>
        </w:rPr>
        <w:t>CAT</w:t>
      </w:r>
      <w:r>
        <w:rPr>
          <w:b w:val="0"/>
        </w:rPr>
        <w:t xml:space="preserve"> before </w:t>
      </w:r>
      <w:r>
        <w:rPr>
          <w:rFonts w:ascii="Aptos Mono" w:hAnsi="Aptos Mono" w:eastAsia="Aptos Mono"/>
          <w:color w:val="0E6663"/>
          <w:sz w:val="17"/>
        </w:rPr>
        <w:t>SRC</w:t>
      </w:r>
      <w:r>
        <w:rPr>
          <w:b w:val="0"/>
        </w:rPr>
        <w:t xml:space="preserve">; v0.2 accepts only the explicit declaration </w:t>
      </w:r>
      <w:r>
        <w:rPr>
          <w:rFonts w:ascii="Aptos Mono" w:hAnsi="Aptos Mono" w:eastAsia="Aptos Mono"/>
          <w:color w:val="0E6663"/>
          <w:sz w:val="17"/>
        </w:rPr>
        <w:t>category Set</w:t>
      </w:r>
      <w:r>
        <w:rPr>
          <w:b w:val="0"/>
        </w:rPr>
        <w:t>.</w:t>
      </w:r>
    </w:p>
    <w:p>
      <w:pPr>
        <w:pStyle w:val="ListNumber"/>
      </w:pPr>
      <w:r>
        <w:rPr>
          <w:b w:val="0"/>
        </w:rPr>
        <w:t xml:space="preserve">Every </w:t>
      </w:r>
      <w:r>
        <w:rPr>
          <w:rFonts w:ascii="Aptos Mono" w:hAnsi="Aptos Mono" w:eastAsia="Aptos Mono"/>
          <w:color w:val="0E6663"/>
          <w:sz w:val="17"/>
        </w:rPr>
        <w:t>WIT</w:t>
      </w:r>
      <w:r>
        <w:rPr>
          <w:b w:val="0"/>
        </w:rPr>
        <w:t xml:space="preserve"> names its source and every </w:t>
      </w:r>
      <w:r>
        <w:rPr>
          <w:rFonts w:ascii="Aptos Mono" w:hAnsi="Aptos Mono" w:eastAsia="Aptos Mono"/>
          <w:color w:val="0E6663"/>
          <w:sz w:val="17"/>
        </w:rPr>
        <w:t>OBS</w:t>
      </w:r>
      <w:r>
        <w:rPr>
          <w:b w:val="0"/>
        </w:rPr>
        <w:t xml:space="preserve"> has a complete domain and codomain.</w:t>
      </w:r>
    </w:p>
    <w:p>
      <w:pPr>
        <w:pStyle w:val="ListNumber"/>
      </w:pPr>
      <w:r>
        <w:rPr>
          <w:b w:val="0"/>
        </w:rPr>
        <w:t xml:space="preserve">For an arbitrary map, </w:t>
      </w:r>
      <w:r>
        <w:rPr>
          <w:rFonts w:ascii="Aptos Mono" w:hAnsi="Aptos Mono" w:eastAsia="Aptos Mono"/>
          <w:color w:val="0E6663"/>
          <w:sz w:val="17"/>
        </w:rPr>
        <w:t>EQV</w:t>
      </w:r>
      <w:r>
        <w:rPr>
          <w:b w:val="0"/>
        </w:rPr>
        <w:t xml:space="preserve"> means the kernel pair—not an algebraic kernel.</w:t>
      </w:r>
    </w:p>
    <w:p>
      <w:pPr>
        <w:pStyle w:val="ListNumber"/>
      </w:pPr>
      <w:r>
        <w:rPr>
          <w:b w:val="0"/>
        </w:rPr>
        <w:t xml:space="preserve">Form </w:t>
      </w:r>
      <w:r>
        <w:rPr>
          <w:rFonts w:ascii="Aptos Mono" w:hAnsi="Aptos Mono" w:eastAsia="Aptos Mono"/>
          <w:color w:val="0E6663"/>
          <w:sz w:val="17"/>
        </w:rPr>
        <w:t>QUO</w:t>
      </w:r>
      <w:r>
        <w:rPr>
          <w:b w:val="0"/>
        </w:rPr>
        <w:t xml:space="preserve"> only when the active profile supports the required quotient.</w:t>
      </w:r>
    </w:p>
    <w:p>
      <w:pPr>
        <w:pStyle w:val="ListNumber"/>
      </w:pPr>
      <w:r>
        <w:rPr>
          <w:b w:val="0"/>
        </w:rPr>
        <w:t xml:space="preserve">Emit </w:t>
      </w:r>
      <w:r>
        <w:rPr>
          <w:rFonts w:ascii="Aptos Mono" w:hAnsi="Aptos Mono" w:eastAsia="Aptos Mono"/>
          <w:color w:val="0E6663"/>
          <w:sz w:val="17"/>
        </w:rPr>
        <w:t>IMG</w:t>
      </w:r>
      <w:r>
        <w:rPr>
          <w:b w:val="0"/>
        </w:rPr>
        <w:t xml:space="preserve"> and </w:t>
      </w:r>
      <w:r>
        <w:rPr>
          <w:rFonts w:ascii="Aptos Mono" w:hAnsi="Aptos Mono" w:eastAsia="Aptos Mono"/>
          <w:color w:val="0E6663"/>
          <w:sz w:val="17"/>
        </w:rPr>
        <w:t>Q_W ≅ im(Ω_W)</w:t>
      </w:r>
      <w:r>
        <w:rPr>
          <w:b w:val="0"/>
        </w:rPr>
        <w:t xml:space="preserve"> only when the backend justifies that factorization.</w:t>
      </w:r>
    </w:p>
    <w:p>
      <w:pPr>
        <w:pStyle w:val="ListNumber"/>
      </w:pPr>
      <w:r>
        <w:rPr>
          <w:b w:val="0"/>
        </w:rPr>
        <w:t xml:space="preserve">Defining an operation on </w:t>
      </w:r>
      <w:r>
        <w:rPr>
          <w:rFonts w:ascii="Aptos Mono" w:hAnsi="Aptos Mono" w:eastAsia="Aptos Mono"/>
          <w:color w:val="0E6663"/>
          <w:sz w:val="17"/>
        </w:rPr>
        <w:t>Q_W</w:t>
      </w:r>
      <w:r>
        <w:rPr>
          <w:b w:val="0"/>
        </w:rPr>
        <w:t xml:space="preserve"> induced by a source operation requires </w:t>
      </w:r>
      <w:r>
        <w:rPr>
          <w:rFonts w:ascii="Aptos Mono" w:hAnsi="Aptos Mono" w:eastAsia="Aptos Mono"/>
          <w:color w:val="0E6663"/>
          <w:sz w:val="17"/>
        </w:rPr>
        <w:t>DSC</w:t>
      </w:r>
      <w:r>
        <w:rPr>
          <w:b w:val="0"/>
        </w:rPr>
        <w:t xml:space="preserve">: if each </w:t>
      </w:r>
      <w:r>
        <w:rPr>
          <w:rFonts w:ascii="Aptos Mono" w:hAnsi="Aptos Mono" w:eastAsia="Aptos Mono"/>
          <w:color w:val="0E6663"/>
          <w:sz w:val="17"/>
        </w:rPr>
        <w:t>x_i ~_W y_i</w:t>
      </w:r>
      <w:r>
        <w:rPr>
          <w:b w:val="0"/>
        </w:rPr>
        <w:t xml:space="preserve">, then </w:t>
      </w:r>
      <w:r>
        <w:rPr>
          <w:rFonts w:ascii="Aptos Mono" w:hAnsi="Aptos Mono" w:eastAsia="Aptos Mono"/>
          <w:color w:val="0E6663"/>
          <w:sz w:val="17"/>
        </w:rPr>
        <w:t>f(x_1,…,x_n) ~_W f(y_1,…,y_n)</w:t>
      </w:r>
      <w:r>
        <w:rPr>
          <w:b w:val="0"/>
        </w:rPr>
        <w:t>. The certificate must reference a checked proof term or an externally verified obligation.</w:t>
      </w:r>
    </w:p>
    <w:p>
      <w:pPr>
        <w:pStyle w:val="ListNumber"/>
      </w:pPr>
      <w:r>
        <w:rPr>
          <w:b w:val="0"/>
        </w:rPr>
        <w:t>A finer witness system induces a finer quotient, and that finer quotient maps canonically onto the coarser quotient; the quotient arrow points fine → coarse.</w:t>
      </w:r>
    </w:p>
    <w:p>
      <w:pPr>
        <w:pStyle w:val="ListNumber"/>
      </w:pPr>
      <w:r>
        <w:rPr>
          <w:rFonts w:ascii="Aptos Mono" w:hAnsi="Aptos Mono" w:eastAsia="Aptos Mono"/>
          <w:color w:val="0E6663"/>
          <w:sz w:val="17"/>
        </w:rPr>
        <w:t>CPL</w:t>
      </w:r>
      <w:r>
        <w:rPr>
          <w:b w:val="0"/>
        </w:rPr>
        <w:t xml:space="preserve"> must name its added structure (for example, metric, order, topology, or norm). </w:t>
      </w:r>
      <w:r>
        <w:rPr>
          <w:rFonts w:ascii="Aptos Mono" w:hAnsi="Aptos Mono" w:eastAsia="Aptos Mono"/>
          <w:color w:val="0E6663"/>
          <w:sz w:val="17"/>
        </w:rPr>
        <w:t>Set</w:t>
      </w:r>
      <w:r>
        <w:rPr>
          <w:b w:val="0"/>
        </w:rPr>
        <w:t xml:space="preserve"> alone cannot justify a Dedekind completion.</w:t>
      </w:r>
    </w:p>
    <w:p>
      <w:pPr>
        <w:spacing w:before="40" w:after="60"/>
        <w:jc w:val="center"/>
      </w:pPr>
      <w:r>
        <w:drawing>
          <wp:inline xmlns:a="http://schemas.openxmlformats.org/drawingml/2006/main" xmlns:pic="http://schemas.openxmlformats.org/drawingml/2006/picture">
            <wp:extent cx="8549640" cy="2279904"/>
            <wp:docPr id="1" name="Picture 1" title="GQG typed pipeline" descr="Typed GQG pipeline from Set through quotient, with conditional image, checked descent, refinement, and completion branches."/>
            <wp:cNvGraphicFramePr>
              <a:graphicFrameLocks noChangeAspect="1"/>
            </wp:cNvGraphicFramePr>
            <a:graphic>
              <a:graphicData uri="http://schemas.openxmlformats.org/drawingml/2006/picture">
                <pic:pic>
                  <pic:nvPicPr>
                    <pic:cNvPr id="0" name="GQG_Pipeline_v0.2.png"/>
                    <pic:cNvPicPr/>
                  </pic:nvPicPr>
                  <pic:blipFill>
                    <a:blip r:embed="rId11"/>
                    <a:stretch>
                      <a:fillRect/>
                    </a:stretch>
                  </pic:blipFill>
                  <pic:spPr>
                    <a:xfrm>
                      <a:off x="0" y="0"/>
                      <a:ext cx="8549640" cy="2279904"/>
                    </a:xfrm>
                    <a:prstGeom prst="rect"/>
                  </pic:spPr>
                </pic:pic>
              </a:graphicData>
            </a:graphic>
          </wp:inline>
        </w:drawing>
      </w:r>
    </w:p>
    <w:p>
      <w:r>
        <w:br w:type="page"/>
      </w:r>
    </w:p>
    <w:p>
      <w:pPr>
        <w:pStyle w:val="Heading1"/>
      </w:pPr>
      <w:r>
        <w:rPr>
          <w:b w:val="0"/>
        </w:rPr>
        <w:t>Worked card</w:t>
      </w:r>
    </w:p>
    <w:p>
      <w:pPr>
        <w:pStyle w:val="Heading2"/>
      </w:pPr>
      <w:r>
        <w:rPr>
          <w:b w:val="0"/>
        </w:rPr>
        <w:t>Minimal source form</w:t>
      </w:r>
    </w:p>
    <w:tbl>
      <w:tblPr>
        <w:tblW w:type="auto" w:w="0"/>
        <w:jc w:val="center"/>
        <w:tblLook w:firstColumn="1" w:firstRow="1" w:lastColumn="0" w:lastRow="0" w:noHBand="0" w:noVBand="1" w:val="04A0"/>
        <w:tblBorders>
          <w:top w:val="single" w:sz="6" w:space="0" w:color="AFC3D0"/>
          <w:left w:val="single" w:sz="6" w:space="0" w:color="AFC3D0"/>
          <w:bottom w:val="single" w:sz="6" w:space="0" w:color="AFC3D0"/>
          <w:right w:val="single" w:sz="6" w:space="0" w:color="AFC3D0"/>
          <w:insideH w:val="single" w:sz="6" w:space="0" w:color="AFC3D0"/>
          <w:insideV w:val="single" w:sz="6" w:space="0" w:color="AFC3D0"/>
        </w:tblBorders>
      </w:tblPr>
      <w:tblGrid>
        <w:gridCol w:w="14342"/>
      </w:tblGrid>
      <w:tr>
        <w:tc>
          <w:tcPr>
            <w:tcW w:type="dxa" w:w="14342"/>
            <w:shd w:fill="EEF3F7"/>
            <w:tcMar>
              <w:top w:w="70" w:type="dxa"/>
              <w:start w:w="100" w:type="dxa"/>
              <w:bottom w:w="70" w:type="dxa"/>
              <w:end w:w="100" w:type="dxa"/>
            </w:tcMar>
          </w:tcPr>
          <w:p>
            <w:pPr>
              <w:pStyle w:val="CardCode"/>
            </w:pPr>
            <w:r>
              <w:t>category Set</w:t>
            </w:r>
            <w:r>
              <w:br/>
            </w:r>
            <w:r>
              <w:t>source P = Integers</w:t>
            </w:r>
            <w:r>
              <w:br/>
            </w:r>
            <w:r>
              <w:t>codomain ParityBits = Z/2Z</w:t>
            </w:r>
            <w:r>
              <w:br/>
            </w:r>
            <w:r>
              <w:t>witness Parity on P {</w:t>
            </w:r>
            <w:r>
              <w:br/>
            </w:r>
            <w:r>
              <w:t xml:space="preserve">  observation omega : P -&gt; ParityBits</w:t>
            </w:r>
            <w:r>
              <w:br/>
            </w:r>
            <w:r>
              <w:t xml:space="preserve">  definition omega(n) = n mod 2</w:t>
            </w:r>
            <w:r>
              <w:br/>
            </w:r>
            <w:r>
              <w:t>}</w:t>
            </w:r>
            <w:r>
              <w:br/>
            </w:r>
            <w:r>
              <w:t>equivalence same_parity := kernel_pair(omega)</w:t>
            </w:r>
            <w:r>
              <w:br/>
            </w:r>
            <w:r>
              <w:t>quotient Q2 := P / same_parity</w:t>
            </w:r>
            <w:r>
              <w:br/>
            </w:r>
            <w:r>
              <w:t>operation add : P × P -&gt; P</w:t>
            </w:r>
            <w:r>
              <w:br/>
            </w:r>
            <w:r>
              <w:t>certificate add_respects_parity {</w:t>
            </w:r>
            <w:r>
              <w:br/>
            </w:r>
            <w:r>
              <w:t xml:space="preserve">  require n ~2 n' and m ~2 m'</w:t>
            </w:r>
            <w:r>
              <w:br/>
            </w:r>
            <w:r>
              <w:t xml:space="preserve">  prove n + m ~2 n' + m'</w:t>
            </w:r>
            <w:r>
              <w:br/>
            </w:r>
            <w:r>
              <w:t>}</w:t>
            </w:r>
            <w:r>
              <w:br/>
            </w:r>
            <w:r>
              <w:t>descend add through Q2 using add_respects_parity</w:t>
            </w:r>
          </w:p>
        </w:tc>
      </w:tr>
    </w:tbl>
    <w:p>
      <w:pPr>
        <w:pStyle w:val="Heading2"/>
      </w:pPr>
      <w:r>
        <w:rPr>
          <w:b w:val="0"/>
        </w:rPr>
        <w:t>Parity example</w:t>
      </w:r>
    </w:p>
    <w:p>
      <w:r>
        <w:rPr>
          <w:b w:val="0"/>
        </w:rPr>
        <w:t xml:space="preserve">Let </w:t>
      </w:r>
      <w:r>
        <w:rPr>
          <w:rFonts w:ascii="Aptos Mono" w:hAnsi="Aptos Mono" w:eastAsia="Aptos Mono"/>
          <w:color w:val="0E6663"/>
          <w:sz w:val="17"/>
        </w:rPr>
        <w:t>P = Z</w:t>
      </w:r>
      <w:r>
        <w:rPr>
          <w:b w:val="0"/>
        </w:rPr>
        <w:t xml:space="preserve"> and </w:t>
      </w:r>
      <w:r>
        <w:rPr>
          <w:rFonts w:ascii="Aptos Mono" w:hAnsi="Aptos Mono" w:eastAsia="Aptos Mono"/>
          <w:color w:val="0E6663"/>
          <w:sz w:val="17"/>
        </w:rPr>
        <w:t>Ω₂(n) = n mod 2</w:t>
      </w:r>
      <w:r>
        <w:rPr>
          <w:b w:val="0"/>
        </w:rPr>
        <w:t>. Then</w:t>
      </w:r>
    </w:p>
    <w:p>
      <w:r>
        <w:rPr>
          <w:rFonts w:ascii="Aptos Mono" w:hAnsi="Aptos Mono" w:eastAsia="Aptos Mono"/>
          <w:color w:val="0E6663"/>
          <w:sz w:val="17"/>
        </w:rPr>
        <w:t>n ~₂ m ⇔ Ω₂(n) = Ω₂(m) ⇔ n − m ∈ 2Z</w:t>
      </w:r>
      <w:r>
        <w:rPr>
          <w:b w:val="0"/>
        </w:rPr>
        <w:t xml:space="preserve">, so </w:t>
      </w:r>
      <w:r>
        <w:rPr>
          <w:rFonts w:ascii="Aptos Mono" w:hAnsi="Aptos Mono" w:eastAsia="Aptos Mono"/>
          <w:color w:val="0E6663"/>
          <w:sz w:val="17"/>
        </w:rPr>
        <w:t>Q₂ ≅ Z/2Z</w:t>
      </w:r>
      <w:r>
        <w:rPr>
          <w:b w:val="0"/>
        </w:rPr>
        <w:t>.</w:t>
      </w:r>
    </w:p>
    <w:p>
      <w:r>
        <w:rPr>
          <w:b w:val="0"/>
        </w:rPr>
        <w:t>Addition passes descent:</w:t>
      </w:r>
    </w:p>
    <w:p>
      <w:r>
        <w:rPr>
          <w:rFonts w:ascii="Aptos Mono" w:hAnsi="Aptos Mono" w:eastAsia="Aptos Mono"/>
          <w:color w:val="0E6663"/>
          <w:sz w:val="17"/>
        </w:rPr>
        <w:t>n ~₂ n′ and m ~₂ m′ ⇒ n + m ~₂ n′ + m′</w:t>
      </w:r>
      <w:r>
        <w:rPr>
          <w:b w:val="0"/>
        </w:rPr>
        <w:t>.</w:t>
      </w:r>
    </w:p>
    <w:p>
      <w:r>
        <w:rPr>
          <w:b w:val="0"/>
        </w:rPr>
        <w:t xml:space="preserve">The operation </w:t>
      </w:r>
      <w:r>
        <w:rPr>
          <w:rFonts w:ascii="Aptos Mono" w:hAnsi="Aptos Mono" w:eastAsia="Aptos Mono"/>
          <w:color w:val="0E6663"/>
          <w:sz w:val="17"/>
        </w:rPr>
        <w:t>h(n) = floor(n/2)</w:t>
      </w:r>
      <w:r>
        <w:rPr>
          <w:b w:val="0"/>
        </w:rPr>
        <w:t xml:space="preserve"> fails. Although </w:t>
      </w:r>
      <w:r>
        <w:rPr>
          <w:rFonts w:ascii="Aptos Mono" w:hAnsi="Aptos Mono" w:eastAsia="Aptos Mono"/>
          <w:color w:val="0E6663"/>
          <w:sz w:val="17"/>
        </w:rPr>
        <w:t>0 ~₂ 2</w:t>
      </w:r>
      <w:r>
        <w:rPr>
          <w:b w:val="0"/>
        </w:rPr>
        <w:t>, its proposed quotient outputs differ:</w:t>
      </w:r>
    </w:p>
    <w:p>
      <w:r>
        <w:rPr>
          <w:rFonts w:ascii="Aptos Mono" w:hAnsi="Aptos Mono" w:eastAsia="Aptos Mono"/>
          <w:color w:val="0E6663"/>
          <w:sz w:val="17"/>
        </w:rPr>
        <w:t>[h(0)]₂ = [0]₂ ≠ [1]₂ = [h(2)]₂</w:t>
      </w:r>
      <w:r>
        <w:rPr>
          <w:b w:val="0"/>
        </w:rPr>
        <w:t>.</w:t>
      </w:r>
    </w:p>
    <w:p>
      <w:r>
        <w:rPr>
          <w:b w:val="0"/>
        </w:rPr>
        <w:t xml:space="preserve">The checker therefore accepts </w:t>
      </w:r>
      <w:r>
        <w:rPr>
          <w:rFonts w:ascii="Aptos Mono" w:hAnsi="Aptos Mono" w:eastAsia="Aptos Mono"/>
          <w:color w:val="0E6663"/>
          <w:sz w:val="17"/>
        </w:rPr>
        <w:t>DSC[add, add_respects_parity]</w:t>
      </w:r>
      <w:r>
        <w:rPr>
          <w:b w:val="0"/>
        </w:rPr>
        <w:t xml:space="preserve"> after checking its certificate and rejects </w:t>
      </w:r>
      <w:r>
        <w:rPr>
          <w:rFonts w:ascii="Aptos Mono" w:hAnsi="Aptos Mono" w:eastAsia="Aptos Mono"/>
          <w:color w:val="0E6663"/>
          <w:sz w:val="17"/>
        </w:rPr>
        <w:t>DSC[h]</w:t>
      </w:r>
      <w:r>
        <w:rPr>
          <w:b w:val="0"/>
        </w:rPr>
        <w:t>.</w:t>
      </w:r>
    </w:p>
    <w:p>
      <w:pPr>
        <w:pStyle w:val="Heading2"/>
      </w:pPr>
      <w:r>
        <w:rPr>
          <w:b w:val="0"/>
        </w:rPr>
        <w:t>Witness refinement</w:t>
      </w:r>
    </w:p>
    <w:p>
      <w:r>
        <w:rPr>
          <w:b w:val="0"/>
        </w:rPr>
        <w:t xml:space="preserve">For </w:t>
      </w:r>
      <w:r>
        <w:rPr>
          <w:rFonts w:ascii="Aptos Mono" w:hAnsi="Aptos Mono" w:eastAsia="Aptos Mono"/>
          <w:color w:val="0E6663"/>
          <w:sz w:val="17"/>
        </w:rPr>
        <w:t>Ω₄(n) = n mod 4</w:t>
      </w:r>
      <w:r>
        <w:rPr>
          <w:b w:val="0"/>
        </w:rPr>
        <w:t xml:space="preserve"> and </w:t>
      </w:r>
      <w:r>
        <w:rPr>
          <w:rFonts w:ascii="Aptos Mono" w:hAnsi="Aptos Mono" w:eastAsia="Aptos Mono"/>
          <w:color w:val="0E6663"/>
          <w:sz w:val="17"/>
        </w:rPr>
        <w:t>Ω₂(n) = n mod 2</w:t>
      </w:r>
      <w:r>
        <w:rPr>
          <w:b w:val="0"/>
        </w:rPr>
        <w:t>, the mod-4 witness is finer:</w:t>
      </w:r>
    </w:p>
    <w:p>
      <w:r>
        <w:rPr>
          <w:rFonts w:ascii="Aptos Mono" w:hAnsi="Aptos Mono" w:eastAsia="Aptos Mono"/>
          <w:color w:val="0E6663"/>
          <w:sz w:val="17"/>
        </w:rPr>
        <w:t>~₄ ⊆ ~₂</w:t>
      </w:r>
      <w:r>
        <w:rPr>
          <w:b w:val="0"/>
        </w:rPr>
        <w:t xml:space="preserve">, hence </w:t>
      </w:r>
      <w:r>
        <w:rPr>
          <w:rFonts w:ascii="Aptos Mono" w:hAnsi="Aptos Mono" w:eastAsia="Aptos Mono"/>
          <w:color w:val="0E6663"/>
          <w:sz w:val="17"/>
        </w:rPr>
        <w:t>Q₄ ↠ Q₂</w:t>
      </w:r>
      <w:r>
        <w:rPr>
          <w:b w:val="0"/>
        </w:rPr>
        <w:t>.</w:t>
      </w:r>
    </w:p>
    <w:p>
      <w:r>
        <w:rPr>
          <w:b w:val="0"/>
        </w:rPr>
        <w:t xml:space="preserve">Combining witness families intersects their induced equivalence relations and produces a common refinement in the </w:t>
      </w:r>
      <w:r>
        <w:rPr>
          <w:rFonts w:ascii="Aptos Mono" w:hAnsi="Aptos Mono" w:eastAsia="Aptos Mono"/>
          <w:color w:val="0E6663"/>
          <w:sz w:val="17"/>
        </w:rPr>
        <w:t>Set</w:t>
      </w:r>
      <w:r>
        <w:rPr>
          <w:b w:val="0"/>
        </w:rPr>
        <w:t xml:space="preserve"> profile.</w:t>
      </w:r>
    </w:p>
    <w:p>
      <w:pPr>
        <w:pStyle w:val="Heading2"/>
      </w:pPr>
      <w:r>
        <w:rPr>
          <w:b w:val="0"/>
        </w:rPr>
        <w:t>Diagnostic catalogue</w:t>
      </w:r>
    </w:p>
    <w:tbl>
      <w:tblPr>
        <w:tblW w:type="auto" w:w="0"/>
        <w:jc w:val="center"/>
        <w:tblLayout w:type="autofit"/>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7171"/>
        <w:gridCol w:w="7171"/>
      </w:tblGrid>
      <w:tr>
        <w:trPr>
          <w:tblHeader w:val="true"/>
        </w:trPr>
        <w:tc>
          <w:tcPr>
            <w:tcW w:type="dxa" w:w="7171"/>
            <w:shd w:fill="17324D"/>
            <w:tcMar>
              <w:top w:w="45" w:type="dxa"/>
              <w:start w:w="65" w:type="dxa"/>
              <w:bottom w:w="45" w:type="dxa"/>
              <w:end w:w="65" w:type="dxa"/>
            </w:tcMar>
            <w:vAlign w:val="center"/>
          </w:tcPr>
          <w:p>
            <w:pPr>
              <w:jc w:val="left"/>
            </w:pPr>
            <w:r>
              <w:rPr>
                <w:b/>
                <w:color w:val="FFFFFF"/>
                <w:sz w:val="18"/>
              </w:rPr>
              <w:t>Code</w:t>
            </w:r>
          </w:p>
        </w:tc>
        <w:tc>
          <w:tcPr>
            <w:tcW w:type="dxa" w:w="7171"/>
            <w:shd w:fill="17324D"/>
            <w:tcMar>
              <w:top w:w="45" w:type="dxa"/>
              <w:start w:w="65" w:type="dxa"/>
              <w:bottom w:w="45" w:type="dxa"/>
              <w:end w:w="65" w:type="dxa"/>
            </w:tcMar>
            <w:vAlign w:val="center"/>
          </w:tcPr>
          <w:p>
            <w:pPr>
              <w:jc w:val="left"/>
            </w:pPr>
            <w:r>
              <w:rPr>
                <w:b/>
                <w:color w:val="FFFFFF"/>
                <w:sz w:val="18"/>
              </w:rPr>
              <w:t>Rejection</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E101</w:t>
            </w:r>
          </w:p>
        </w:tc>
        <w:tc>
          <w:tcPr>
            <w:tcW w:type="dxa" w:w="7171"/>
            <w:tcMar>
              <w:top w:w="45" w:type="dxa"/>
              <w:start w:w="65" w:type="dxa"/>
              <w:bottom w:w="45" w:type="dxa"/>
              <w:end w:w="65" w:type="dxa"/>
            </w:tcMar>
            <w:vAlign w:val="center"/>
          </w:tcPr>
          <w:p>
            <w:r>
              <w:rPr>
                <w:rFonts w:ascii="Aptos Mono" w:hAnsi="Aptos Mono" w:eastAsia="Aptos Mono"/>
                <w:color w:val="0E6663"/>
                <w:sz w:val="17"/>
              </w:rPr>
              <w:t>QUO</w:t>
            </w:r>
            <w:r>
              <w:rPr>
                <w:b w:val="0"/>
                <w:sz w:val="18"/>
              </w:rPr>
              <w:t xml:space="preserve"> has no declared </w:t>
            </w:r>
            <w:r>
              <w:rPr>
                <w:rFonts w:ascii="Aptos Mono" w:hAnsi="Aptos Mono" w:eastAsia="Aptos Mono"/>
                <w:color w:val="0E6663"/>
                <w:sz w:val="17"/>
              </w:rPr>
              <w:t>EQV</w:t>
            </w:r>
            <w:r>
              <w:rPr>
                <w:b w:val="0"/>
                <w:sz w:val="18"/>
              </w:rPr>
              <w:t>.</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E204</w:t>
            </w:r>
          </w:p>
        </w:tc>
        <w:tc>
          <w:tcPr>
            <w:tcW w:type="dxa" w:w="7171"/>
            <w:tcMar>
              <w:top w:w="45" w:type="dxa"/>
              <w:start w:w="65" w:type="dxa"/>
              <w:bottom w:w="45" w:type="dxa"/>
              <w:end w:w="65" w:type="dxa"/>
            </w:tcMar>
            <w:vAlign w:val="center"/>
            <w:shd w:fill="EEF3F7"/>
          </w:tcPr>
          <w:p>
            <w:r>
              <w:rPr>
                <w:b w:val="0"/>
                <w:sz w:val="18"/>
              </w:rPr>
              <w:t xml:space="preserve">An induced quotient operation has no valid </w:t>
            </w:r>
            <w:r>
              <w:rPr>
                <w:rFonts w:ascii="Aptos Mono" w:hAnsi="Aptos Mono" w:eastAsia="Aptos Mono"/>
                <w:color w:val="0E6663"/>
                <w:sz w:val="17"/>
              </w:rPr>
              <w:t>DSC</w:t>
            </w:r>
            <w:r>
              <w:rPr>
                <w:b w:val="0"/>
                <w:sz w:val="18"/>
              </w:rPr>
              <w:t xml:space="preserve"> certificate.</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E301</w:t>
            </w:r>
          </w:p>
        </w:tc>
        <w:tc>
          <w:tcPr>
            <w:tcW w:type="dxa" w:w="7171"/>
            <w:tcMar>
              <w:top w:w="45" w:type="dxa"/>
              <w:start w:w="65" w:type="dxa"/>
              <w:bottom w:w="45" w:type="dxa"/>
              <w:end w:w="65" w:type="dxa"/>
            </w:tcMar>
            <w:vAlign w:val="center"/>
          </w:tcPr>
          <w:p>
            <w:r>
              <w:rPr>
                <w:rFonts w:ascii="Aptos Mono" w:hAnsi="Aptos Mono" w:eastAsia="Aptos Mono"/>
                <w:color w:val="0E6663"/>
                <w:sz w:val="17"/>
              </w:rPr>
              <w:t>CPL</w:t>
            </w:r>
            <w:r>
              <w:rPr>
                <w:b w:val="0"/>
                <w:sz w:val="18"/>
              </w:rPr>
              <w:t xml:space="preserve"> omits the structure and universal property being added.</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E407</w:t>
            </w:r>
          </w:p>
        </w:tc>
        <w:tc>
          <w:tcPr>
            <w:tcW w:type="dxa" w:w="7171"/>
            <w:tcMar>
              <w:top w:w="45" w:type="dxa"/>
              <w:start w:w="65" w:type="dxa"/>
              <w:bottom w:w="45" w:type="dxa"/>
              <w:end w:w="65" w:type="dxa"/>
            </w:tcMar>
            <w:vAlign w:val="center"/>
            <w:shd w:fill="EEF3F7"/>
          </w:tcPr>
          <w:p>
            <w:r>
              <w:rPr>
                <w:b w:val="0"/>
                <w:sz w:val="18"/>
              </w:rPr>
              <w:t>A refinement arrow points coarse → fine.</w:t>
            </w:r>
          </w:p>
        </w:tc>
      </w:tr>
      <w:tr>
        <w:tc>
          <w:tcPr>
            <w:tcW w:type="dxa" w:w="7171"/>
            <w:tcMar>
              <w:top w:w="45" w:type="dxa"/>
              <w:start w:w="65" w:type="dxa"/>
              <w:bottom w:w="45" w:type="dxa"/>
              <w:end w:w="65" w:type="dxa"/>
            </w:tcMar>
            <w:vAlign w:val="center"/>
          </w:tcPr>
          <w:p>
            <w:r>
              <w:rPr>
                <w:rFonts w:ascii="Aptos Mono" w:hAnsi="Aptos Mono" w:eastAsia="Aptos Mono"/>
                <w:color w:val="0E6663"/>
                <w:sz w:val="17"/>
              </w:rPr>
              <w:t>E512</w:t>
            </w:r>
          </w:p>
        </w:tc>
        <w:tc>
          <w:tcPr>
            <w:tcW w:type="dxa" w:w="7171"/>
            <w:tcMar>
              <w:top w:w="45" w:type="dxa"/>
              <w:start w:w="65" w:type="dxa"/>
              <w:bottom w:w="45" w:type="dxa"/>
              <w:end w:w="65" w:type="dxa"/>
            </w:tcMar>
            <w:vAlign w:val="center"/>
          </w:tcPr>
          <w:p>
            <w:r>
              <w:rPr>
                <w:b w:val="0"/>
                <w:sz w:val="18"/>
              </w:rPr>
              <w:t>The requested quotient–image comparison is unsupported by the active profile.</w:t>
            </w:r>
          </w:p>
        </w:tc>
      </w:tr>
      <w:tr>
        <w:tc>
          <w:tcPr>
            <w:tcW w:type="dxa" w:w="7171"/>
            <w:tcMar>
              <w:top w:w="45" w:type="dxa"/>
              <w:start w:w="65" w:type="dxa"/>
              <w:bottom w:w="45" w:type="dxa"/>
              <w:end w:w="65" w:type="dxa"/>
            </w:tcMar>
            <w:vAlign w:val="center"/>
            <w:shd w:fill="EEF3F7"/>
          </w:tcPr>
          <w:p>
            <w:r>
              <w:rPr>
                <w:rFonts w:ascii="Aptos Mono" w:hAnsi="Aptos Mono" w:eastAsia="Aptos Mono"/>
                <w:color w:val="0E6663"/>
                <w:sz w:val="17"/>
              </w:rPr>
              <w:t>E610</w:t>
            </w:r>
          </w:p>
        </w:tc>
        <w:tc>
          <w:tcPr>
            <w:tcW w:type="dxa" w:w="7171"/>
            <w:tcMar>
              <w:top w:w="45" w:type="dxa"/>
              <w:start w:w="65" w:type="dxa"/>
              <w:bottom w:w="45" w:type="dxa"/>
              <w:end w:w="65" w:type="dxa"/>
            </w:tcMar>
            <w:vAlign w:val="center"/>
            <w:shd w:fill="EEF3F7"/>
          </w:tcPr>
          <w:p>
            <w:r>
              <w:rPr>
                <w:b w:val="0"/>
                <w:sz w:val="18"/>
              </w:rPr>
              <w:t>A statement crosses equality lanes without a constructor or proof.</w:t>
            </w:r>
          </w:p>
        </w:tc>
      </w:tr>
    </w:tbl>
    <w:p>
      <w:pPr>
        <w:spacing w:after="0"/>
      </w:pPr>
    </w:p>
    <w:p>
      <w:pPr>
        <w:pStyle w:val="Heading2"/>
      </w:pPr>
      <w:r>
        <w:rPr>
          <w:b w:val="0"/>
        </w:rPr>
        <w:t>Illustrative typed machine record</w:t>
      </w:r>
    </w:p>
    <w:tbl>
      <w:tblPr>
        <w:tblW w:type="auto" w:w="0"/>
        <w:jc w:val="center"/>
        <w:tblLook w:firstColumn="1" w:firstRow="1" w:lastColumn="0" w:lastRow="0" w:noHBand="0" w:noVBand="1" w:val="04A0"/>
        <w:tblBorders>
          <w:top w:val="single" w:sz="6" w:space="0" w:color="AFC3D0"/>
          <w:left w:val="single" w:sz="6" w:space="0" w:color="AFC3D0"/>
          <w:bottom w:val="single" w:sz="6" w:space="0" w:color="AFC3D0"/>
          <w:right w:val="single" w:sz="6" w:space="0" w:color="AFC3D0"/>
          <w:insideH w:val="single" w:sz="6" w:space="0" w:color="AFC3D0"/>
          <w:insideV w:val="single" w:sz="6" w:space="0" w:color="AFC3D0"/>
        </w:tblBorders>
      </w:tblPr>
      <w:tblGrid>
        <w:gridCol w:w="14342"/>
      </w:tblGrid>
      <w:tr>
        <w:tc>
          <w:tcPr>
            <w:tcW w:type="dxa" w:w="14342"/>
            <w:shd w:fill="EEF3F7"/>
            <w:tcMar>
              <w:top w:w="70" w:type="dxa"/>
              <w:start w:w="100" w:type="dxa"/>
              <w:bottom w:w="70" w:type="dxa"/>
              <w:end w:w="100" w:type="dxa"/>
            </w:tcMar>
          </w:tcPr>
          <w:p>
            <w:pPr>
              <w:pStyle w:val="CardCode"/>
            </w:pPr>
            <w:r>
              <w:t>{</w:t>
            </w:r>
            <w:r>
              <w:br/>
            </w:r>
            <w:r>
              <w:t xml:space="preserve">  "schema": "gqg-set-0.2",</w:t>
            </w:r>
            <w:r>
              <w:br/>
            </w:r>
            <w:r>
              <w:t xml:space="preserve">  "profile": "Set",</w:t>
            </w:r>
            <w:r>
              <w:br/>
            </w:r>
            <w:r>
              <w:t xml:space="preserve">  "objects": {</w:t>
            </w:r>
            <w:r>
              <w:br/>
            </w:r>
            <w:r>
              <w:t xml:space="preserve">    "P": {"kind": "Set", "presentation": "Integers"},</w:t>
            </w:r>
            <w:r>
              <w:br/>
            </w:r>
            <w:r>
              <w:t xml:space="preserve">    "ParityBits": {"kind": "Set", "presentation": "Z/2Z"},</w:t>
            </w:r>
            <w:r>
              <w:br/>
            </w:r>
            <w:r>
              <w:t xml:space="preserve">    "Q2": {"kind": "QuotientSet"}</w:t>
            </w:r>
            <w:r>
              <w:br/>
            </w:r>
            <w:r>
              <w:t xml:space="preserve">  },</w:t>
            </w:r>
            <w:r>
              <w:br/>
            </w:r>
            <w:r>
              <w:t xml:space="preserve">  "witness": "Parity",</w:t>
            </w:r>
            <w:r>
              <w:br/>
            </w:r>
            <w:r>
              <w:t xml:space="preserve">  "observation": {</w:t>
            </w:r>
            <w:r>
              <w:br/>
            </w:r>
            <w:r>
              <w:t xml:space="preserve">    "name": "omega",</w:t>
            </w:r>
            <w:r>
              <w:br/>
            </w:r>
            <w:r>
              <w:t xml:space="preserve">    "domain": "P",</w:t>
            </w:r>
            <w:r>
              <w:br/>
            </w:r>
            <w:r>
              <w:t xml:space="preserve">    "codomain": "ParityBits",</w:t>
            </w:r>
            <w:r>
              <w:br/>
            </w:r>
            <w:r>
              <w:t xml:space="preserve">    "definition": "n mod 2"</w:t>
            </w:r>
            <w:r>
              <w:br/>
            </w:r>
            <w:r>
              <w:t xml:space="preserve">  },</w:t>
            </w:r>
            <w:r>
              <w:br/>
            </w:r>
            <w:r>
              <w:t xml:space="preserve">  "equivalence": "kernel_pair(observation)",</w:t>
            </w:r>
            <w:r>
              <w:br/>
            </w:r>
            <w:r>
              <w:t xml:space="preserve">  "quotient": {</w:t>
            </w:r>
            <w:r>
              <w:br/>
            </w:r>
            <w:r>
              <w:t xml:space="preserve">    "id": "Q2",</w:t>
            </w:r>
            <w:r>
              <w:br/>
            </w:r>
            <w:r>
              <w:t xml:space="preserve">    "map": {"name": "q2", "domain": "P", "codomain": "Q2"}</w:t>
            </w:r>
            <w:r>
              <w:br/>
            </w:r>
            <w:r>
              <w:t xml:space="preserve">  },</w:t>
            </w:r>
            <w:r>
              <w:br/>
            </w:r>
            <w:r>
              <w:t xml:space="preserve">  "descent": {</w:t>
            </w:r>
            <w:r>
              <w:br/>
            </w:r>
            <w:r>
              <w:t xml:space="preserve">    "operation": "add",</w:t>
            </w:r>
            <w:r>
              <w:br/>
            </w:r>
            <w:r>
              <w:t xml:space="preserve">    "certificate": "add_respects_parity",</w:t>
            </w:r>
            <w:r>
              <w:br/>
            </w:r>
            <w:r>
              <w:t xml:space="preserve">    "status": "checked"</w:t>
            </w:r>
            <w:r>
              <w:br/>
            </w:r>
            <w:r>
              <w:t xml:space="preserve">  }</w:t>
            </w:r>
            <w:r>
              <w:br/>
            </w:r>
            <w:r>
              <w:t>}</w:t>
            </w:r>
          </w:p>
        </w:tc>
      </w:tr>
    </w:tbl>
    <w:p>
      <w:r>
        <w:rPr>
          <w:b w:val="0"/>
        </w:rPr>
        <w:t>This compact record is illustrative: a production schema must replace free-form expressions with expression AST nodes, define stable identifiers, and specify a JSON canonicalization algorithm. Only then should canonical identity be a digest of canonical JSON for the AST. Prime products may remain an unordered feature signature—useful for indexing which token types occur—but they are not syntax because they lose order, direction, scope, and binding.</w:t>
      </w:r>
    </w:p>
    <w:p>
      <w:pPr>
        <w:pStyle w:val="Heading2"/>
      </w:pPr>
      <w:r>
        <w:rPr>
          <w:b w:val="0"/>
        </w:rPr>
        <w:t>v0.2 acceptance target</w:t>
      </w:r>
    </w:p>
    <w:p>
      <w:pPr>
        <w:pStyle w:val="ListBullet"/>
      </w:pPr>
      <w:r>
        <w:rPr>
          <w:b/>
          <w:color w:val="17324D"/>
        </w:rPr>
        <w:t>Parseability:</w:t>
      </w:r>
      <w:r>
        <w:rPr>
          <w:b w:val="0"/>
        </w:rPr>
        <w:t xml:space="preserve"> one valid sentence produces one unambiguous AST.</w:t>
      </w:r>
    </w:p>
    <w:p>
      <w:pPr>
        <w:pStyle w:val="ListBullet"/>
      </w:pPr>
      <w:r>
        <w:rPr>
          <w:b/>
          <w:color w:val="17324D"/>
        </w:rPr>
        <w:t>Soundness:</w:t>
      </w:r>
      <w:r>
        <w:rPr>
          <w:b w:val="0"/>
        </w:rPr>
        <w:t xml:space="preserve"> accepted trees satisfy the declared formation rules.</w:t>
      </w:r>
    </w:p>
    <w:p>
      <w:pPr>
        <w:pStyle w:val="ListBullet"/>
      </w:pPr>
      <w:r>
        <w:rPr>
          <w:b/>
          <w:color w:val="17324D"/>
        </w:rPr>
        <w:t>Rendering stability:</w:t>
      </w:r>
      <w:r>
        <w:rPr>
          <w:b w:val="0"/>
        </w:rPr>
        <w:t xml:space="preserve"> text and diagrams emitted from one accepted AST preserve the same semantic structure. Any future diagram parser must pass round-trip tests before use.</w:t>
      </w:r>
    </w:p>
    <w:p>
      <w:pPr>
        <w:pStyle w:val="ListBullet"/>
      </w:pPr>
      <w:r>
        <w:rPr>
          <w:b/>
          <w:color w:val="17324D"/>
        </w:rPr>
        <w:t>Diagnostic value:</w:t>
      </w:r>
      <w:r>
        <w:rPr>
          <w:b w:val="0"/>
        </w:rPr>
        <w:t xml:space="preserve"> rejected trees receive local, actionable errors.</w:t>
      </w:r>
    </w:p>
    <w:p>
      <w:pPr>
        <w:pStyle w:val="ListBullet"/>
      </w:pPr>
      <w:r>
        <w:rPr>
          <w:b/>
          <w:color w:val="17324D"/>
        </w:rPr>
        <w:t>Accessible rendering:</w:t>
      </w:r>
      <w:r>
        <w:rPr>
          <w:b w:val="0"/>
        </w:rPr>
        <w:t xml:space="preserve"> meaning survives without color or decorative glyphs.</w:t>
      </w:r>
    </w:p>
    <w:p>
      <w:r>
        <w:rPr>
          <w:b/>
          <w:color w:val="17324D"/>
        </w:rPr>
        <w:t>Implementation milestone:</w:t>
      </w:r>
      <w:r>
        <w:rPr>
          <w:b w:val="0"/>
        </w:rPr>
        <w:t xml:space="preserve"> parse the </w:t>
      </w:r>
      <w:r>
        <w:rPr>
          <w:rFonts w:ascii="Aptos Mono" w:hAnsi="Aptos Mono" w:eastAsia="Aptos Mono"/>
          <w:color w:val="0E6663"/>
          <w:sz w:val="17"/>
        </w:rPr>
        <w:t>Set</w:t>
      </w:r>
      <w:r>
        <w:rPr>
          <w:b w:val="0"/>
        </w:rPr>
        <w:t xml:space="preserve"> profile, validate the parity example, emit canonical JSON, and render both a labelled diagram and an accessibility-first text view from the same AST.</w:t>
      </w:r>
    </w:p>
    <w:sectPr w:rsidR="00FC693F" w:rsidRPr="0006063C" w:rsidSect="00034616">
      <w:headerReference w:type="default" r:id="rId9"/>
      <w:footerReference w:type="default" r:id="rId10"/>
      <w:pgSz w:w="15840" w:h="12240" w:orient="landscape"/>
      <w:pgMar w:top="605" w:right="749" w:bottom="662" w:left="749"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46570"/>
        <w:sz w:val="14"/>
      </w:rPr>
      <w:t xml:space="preserve">GQG Core Card v0.2   •   design specification   •   </w:t>
    </w:r>
    <w:r>
      <w:rPr>
        <w:color w:val="546570"/>
        <w:sz w:val="14"/>
      </w:rPr>
      <w:fldChar w:fldCharType="begin"/>
      <w:instrText xml:space="preserve">PAGE</w:instrText>
      <w:fldChar w:fldCharType="separate"/>
      <w:fldChar w:fldCharType="end"/>
    </w:r>
    <w:r>
      <w:rPr>
        <w:color w:val="546570"/>
        <w:sz w:val="14"/>
      </w:rPr>
      <w:t xml:space="preserve"> / </w:t>
    </w:r>
    <w:r>
      <w:rPr>
        <w:color w:val="546570"/>
        <w:sz w:val="14"/>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B68"/>
        <w:sz w:val="14"/>
      </w:rPr>
      <w:t>GEOMETRIC QUOTIENT GRAMMAR  ·  CORE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eastAsia="Nirmala UI"/>
      <w:color w:val="1F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eastAsia="Nirmala U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Aptos Display" w:hAnsi="Aptos Display" w:eastAsia="Nirmala UI"/>
      <w:b/>
      <w:bCs/>
      <w:color w:val="0B6B68"/>
      <w:sz w:val="20"/>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Aptos Display" w:hAnsi="Aptos Display" w:eastAsia="Nirmala UI"/>
      <w:b/>
      <w:bCs/>
      <w:color w:val="0B6B6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eastAsia="Nirmala U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ind w:left="317"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4"/>
      <w:ind w:left="317" w:hanging="202"/>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Subtitle">
    <w:name w:val="Card Subtitle"/>
    <w:pPr>
      <w:spacing w:after="80"/>
    </w:pPr>
    <w:rPr>
      <w:rFonts w:ascii="Aptos Display" w:hAnsi="Aptos Display"/>
      <w:i/>
      <w:color w:val="546570"/>
      <w:sz w:val="22"/>
    </w:rPr>
  </w:style>
  <w:style w:type="paragraph" w:customStyle="1" w:styleId="CardCallout">
    <w:name w:val="Card Callout"/>
    <w:pPr>
      <w:spacing w:after="0" w:line="247" w:lineRule="auto"/>
    </w:pPr>
    <w:rPr>
      <w:rFonts w:ascii="Aptos" w:hAnsi="Aptos"/>
      <w:color w:val="1F2A33"/>
      <w:sz w:val="18"/>
    </w:rPr>
  </w:style>
  <w:style w:type="paragraph" w:customStyle="1" w:styleId="CardCode">
    <w:name w:val="Card Code"/>
    <w:pPr>
      <w:spacing w:after="0" w:line="240" w:lineRule="auto"/>
      <w:ind w:left="187" w:right="187"/>
    </w:pPr>
    <w:rPr>
      <w:rFonts w:ascii="Aptos Mono" w:hAnsi="Aptos Mono" w:eastAsia="Aptos Mon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2</Pages>
  <Words>1031</Words>
  <Characters>5528</Characters>
  <Application>Microsoft Macintosh Word</Application>
  <DocSecurity>0</DocSecurity>
  <Lines>0</Lines>
  <Paragraphs>59</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CharactersWithSpaces>7232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v0.2</dc:title>
  <dc:subject>Typed visual calculus for witness-relative quotient constructions</dc:subject>
  <dc:creator>Not specified in supplied GQG source</dc:creator>
  <cp:keywords>GQG, quotient, kernel pair, DSL, typed visual language</cp:keywords>
  <dc:description>Distilled from supplied source material; author and license were not specified in that source.</dc:description>
  <cp:lastModifiedBy>v0.2 editorial preparation</cp:lastModifiedBy>
  <cp:revision>1</cp:revision>
  <dcterms:created xsi:type="dcterms:W3CDTF">2026-08-20T00:00:00Z</dcterms:created>
  <dcterms:modified xsi:type="dcterms:W3CDTF">2026-08-20T00:00:00Z</dcterms:modified>
  <cp:category/>
</cp:coreProperties>
</file>