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sz w:val="52"/>
        </w:rPr>
        <w:t>DISTINCTION WITHOUT COLLAPSE</w:t>
      </w:r>
    </w:p>
    <w:p>
      <w:pPr>
        <w:spacing w:after="180"/>
        <w:jc w:val="center"/>
      </w:pPr>
      <w:r>
        <w:rPr>
          <w:rFonts w:ascii="Aptos" w:hAnsi="Aptos"/>
          <w:i/>
          <w:sz w:val="23"/>
        </w:rPr>
        <w:t>A Retained-Context Synthesis of Hidden Quotient, GQG, Timekeeper, the Number Weave, and the Archive</w:t>
      </w:r>
    </w:p>
    <w:p>
      <w:pPr>
        <w:pStyle w:val="Meta"/>
        <w:jc w:val="center"/>
      </w:pPr>
      <w:r>
        <w:t>Status: exploratory synthesis; no new mechanism claim  |  Version: 0.1  |  Date: 2026-08-27</w:t>
      </w:r>
    </w:p>
    <w:p>
      <w:pPr>
        <w:spacing w:before="40" w:after="100"/>
        <w:pBdr>
          <w:bottom w:val="single" w:sz="8" w:space="1" w:color="7A6A5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sz w:val="21"/>
              </w:rPr>
              <w:t>CENTRAL FINDING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The strongest recurring pattern is not that different things are secretly the same. It is that things can recur, resonate, overlap, and correspond while remaining distinct.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Executive finding</w:t>
      </w:r>
    </w:p>
    <w:p>
      <w:r>
        <w:rPr>
          <w:rFonts w:ascii="Aptos" w:hAnsi="Aptos"/>
          <w:sz w:val="18"/>
        </w:rPr>
        <w:t>Running the recent Timekeeper, sonogram, numerical, and archive material through the Hidden Quotient / GQG geometry produces a cleaner invariant than any single number.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coarse observation -&gt; induced equivalence -&gt; apparent collapse -&gt; restore retained context -&gt; refine witness -&gt; keep only what survives</w:t>
      </w:r>
    </w:p>
    <w:p>
      <w:r>
        <w:rPr>
          <w:rFonts w:ascii="Aptos" w:hAnsi="Aptos"/>
          <w:sz w:val="18"/>
        </w:rPr>
        <w:t>The governing question is therefore not "What does this resemblance mean?" but: according to which witness are these two things the same, what did that witness forget, and what survives when the forgotten context is restored?</w:t>
      </w:r>
    </w:p>
    <w:p>
      <w:pPr>
        <w:pStyle w:val="Heading1"/>
        <w:keepNext/>
      </w:pPr>
      <w:r>
        <w:t>2. The formal geometry</w:t>
      </w:r>
    </w:p>
    <w:p>
      <w:r>
        <w:rPr>
          <w:rFonts w:ascii="Aptos" w:hAnsi="Aptos"/>
          <w:sz w:val="18"/>
        </w:rPr>
        <w:t>Let P be a source of events, measurements, files, numerical objects, or observations. Let a witness family W produce an aggregate observation Omega_W : P -&gt; O_W, and let observational equivalence be x ~_W y iff Omega_W(x) = Omega_W(y).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Q_W = P / ~_W</w:t>
      </w:r>
    </w:p>
    <w:p>
      <w:r>
        <w:rPr>
          <w:rFonts w:ascii="Aptos" w:hAnsi="Aptos"/>
          <w:sz w:val="18"/>
        </w:rPr>
        <w:t>The quotient contains exactly the distinctions that survive the declared witness. Now retain context with r : P -&gt; S, where r may record time, station, source, coordinate system, model/session identity, selection history, units, boundary sector, normalization, or provenance.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Omega_(W+r) = &lt;Omega_W, r&gt;     and     Q_(W+r) -&gt;&gt; Q_W</w:t>
      </w:r>
    </w:p>
    <w:p>
      <w:r>
        <w:rPr>
          <w:rFonts w:ascii="Aptos" w:hAnsi="Aptos"/>
          <w:sz w:val="18"/>
        </w:rPr>
        <w:t>The richer observation can collapse down to the coarser one, but information discarded by the coarse quotient cannot be silently reconstructed afterward.</w:t>
      </w:r>
    </w:p>
    <w:p>
      <w:pPr>
        <w:pStyle w:val="Heading2"/>
        <w:keepNext/>
      </w:pPr>
      <w:r>
        <w:t>Two thresholds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Visibility: can the available witnesses see the distinction?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Gluing / completeness: do the visible pieces legitimately assemble into one global object?</w:t>
      </w:r>
    </w:p>
    <w:p>
      <w:r>
        <w:rPr>
          <w:rFonts w:ascii="Aptos" w:hAnsi="Aptos"/>
          <w:sz w:val="18"/>
        </w:rPr>
        <w:t>The first threshold is not the second. A set of locally visible correspondences does not, by itself, establish one completed mechanism.</w:t>
      </w:r>
    </w:p>
    <w:p>
      <w:pPr>
        <w:pStyle w:val="Heading1"/>
        <w:keepNext/>
      </w:pPr>
      <w:r>
        <w:t>3. Equality has lanes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Source equality: the presented objects are actually equal.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Observation equivalence: the declared witness cannot distinguish them.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Quotient equality: they name the same class after the declared collapse.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Completion equality: equality after a separately declared completion or enlargement.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sz w:val="21"/>
              </w:rPr>
              <w:t>MASTER CAUTION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Resemblance, co-occurrence, convergence, and witness-indistinguishability are not source identity.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Cross-domain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1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Lane</w:t>
            </w:r>
          </w:p>
        </w:tc>
        <w:tc>
          <w:tcPr>
            <w:tcW w:type="dxa" w:w="2556"/>
            <w:shd w:fill="D9E1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Coarse witness</w:t>
            </w:r>
          </w:p>
        </w:tc>
        <w:tc>
          <w:tcPr>
            <w:tcW w:type="dxa" w:w="2556"/>
            <w:shd w:fill="D9E1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Retained context</w:t>
            </w:r>
          </w:p>
        </w:tc>
        <w:tc>
          <w:tcPr>
            <w:tcW w:type="dxa" w:w="2556"/>
            <w:shd w:fill="D9E1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What survives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November solar / quake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tight temporal adjacency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base rates, mechanism, event population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close coincidence survives; causal glue unestablished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Tomsk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bright / broadband feature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calibration, station state, lightning, other stations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local feature survives; globality / cause open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0.003 screen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three personal axial hits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same-month cluster shifts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hit status survives; rarity does not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Tomsk T1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near lunar quarter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timing uncertainty + selection provenance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0.6435 degree proximity survives; inference holdout-only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18/19/20 sonograms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recurring calendar shape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month-conditioned triplets + metric identity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descriptive shape survives; stable day rule does not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Number weave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exact / near arithmetic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transform family + selection chronology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exact identities survive; broad significance does not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Mythic / event records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powerful recurrence or experience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body / narrative / context / recovery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meaning survives; authority does not auto-descend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Cross-model similarity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similar relational pattern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model / session / execution identity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similarity survives; identity does not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Governance corpus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anti-capture motifs recur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dates / versions / domains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Aptos" w:hAnsi="Aptos"/>
                <w:sz w:val="15"/>
              </w:rPr>
              <w:t>invariant strengthens under refinement</w:t>
            </w:r>
          </w:p>
        </w:tc>
      </w:tr>
    </w:tbl>
    <w:p>
      <w:pPr>
        <w:pStyle w:val="Heading1"/>
        <w:keepNext/>
      </w:pPr>
      <w:r>
        <w:t>5. The 0.003 screen as a worked GQG example</w:t>
      </w:r>
    </w:p>
    <w:p>
      <w:r>
        <w:rPr>
          <w:rFonts w:ascii="Aptos" w:hAnsi="Aptos"/>
          <w:sz w:val="18"/>
        </w:rPr>
        <w:t>Under the coarse hit witness, the three exact personal timestamps all produce planetary conjunction/opposition hits. Once the August buildup sequence is retained and shifted as a cluster, all three axial hits occur in 0.7692 of legal placements. The geometry is real; the rarity dissolves.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hit identity survives     |     anomaly identity does not descend</w:t>
      </w:r>
    </w:p>
    <w:p>
      <w:r>
        <w:rPr>
          <w:rFonts w:ascii="Aptos" w:hAnsi="Aptos"/>
          <w:sz w:val="18"/>
        </w:rPr>
        <w:t>Tomsk T1 behaves differently: its central estimate is 0.001787562 cycles, or 0.6435 degrees, from First Quarter and remains inside 0.003 through the plus/minus 30 minute timing range. Because the feature was selected before the rule was frozen, the proper claim remains descriptive and prospective.</w:t>
      </w:r>
    </w:p>
    <w:p>
      <w:r>
        <w:rPr>
          <w:rFonts w:ascii="Aptos" w:hAnsi="Aptos"/>
          <w:sz w:val="18"/>
        </w:rPr>
        <w:t>Replacing 0.003 by the silver residual 0.003419534602926 changes no event-level hit disposition. The silver residual therefore does not rescue the general rule.</w:t>
      </w:r>
    </w:p>
    <w:p>
      <w:pPr>
        <w:pStyle w:val="Heading1"/>
        <w:keepNext/>
      </w:pPr>
      <w:r>
        <w:t>6. The 18/19/20 sonogram triplets</w:t>
      </w:r>
    </w:p>
    <w:p>
      <w:r>
        <w:rPr>
          <w:rFonts w:ascii="Aptos" w:hAnsi="Aptos"/>
          <w:sz w:val="18"/>
        </w:rPr>
        <w:t>The supplied table contains 42 observations: the 18th, 19th, and 20th across 14 consecutive months. A month-conditioned repeated-measures check does not establish a stable day-of-month effect on the seven main intensity / peak metrics; the smallest exploratory Friedman p-value is approximately 0.109 for white_fraction.</w:t>
      </w:r>
    </w:p>
    <w:p>
      <w:r>
        <w:rPr>
          <w:rFonts w:ascii="Aptos" w:hAnsi="Aptos"/>
          <w:sz w:val="18"/>
        </w:rPr>
        <w:t>The columns also collapse into correlated witness families rather than seven independent measurements: mean_colour and off_band_colour correlate about 0.999, mean_colour and band_colour about 0.976, mean_colour and high_colour about 0.921, while peak_column and peak_broadband correlate about 0.988.</w:t>
      </w:r>
    </w:p>
    <w:p>
      <w:r>
        <w:rPr>
          <w:rFonts w:ascii="Aptos" w:hAnsi="Aptos"/>
          <w:sz w:val="18"/>
        </w:rPr>
        <w:t>Descriptively, the 18th has the highest overall mean in the broad-color family, while the 20th has the highest mean in peak_column_level and peak_broadband_fraction. The 19th is locally lower than both neighbors in white_fraction in 7/14 months, peak_column_level in 7/14, and peak_broadband_fraction in 6/14.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sz w:val="21"/>
              </w:rPr>
              <w:t>STATUS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Possible broad -&gt; transition -&gt; concentrated-peak shape. Exploratory only: the month-conditioned significance is not there.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437, 23, and 19: same primes, different operations</w:t>
      </w:r>
    </w:p>
    <w:p>
      <w:r>
        <w:rPr>
          <w:rFonts w:ascii="Aptos" w:hAnsi="Aptos"/>
          <w:sz w:val="18"/>
        </w:rPr>
        <w:t>The Timekeeper arithmetic ledger contains the exact factorization 437 = 19 * 23. The recovered phase material separately contains the ordered ratio 23 / 19 = 1.210526315789474... and compares it, under declared octave equivalence, with (1 + sqrt(2)) / 2 = 1.207106781186547... .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23/19 - (1 + sqrt(2))/2 = 0.003419534602926... = 4.897367340 cents</w:t>
      </w:r>
    </w:p>
    <w:p>
      <w:r>
        <w:rPr>
          <w:rFonts w:ascii="Aptos" w:hAnsi="Aptos"/>
          <w:sz w:val="18"/>
        </w:rPr>
        <w:t>The robust shared object is therefore not "437 equals 23/19." It is the retained prime pair {19,23} seen through different operations.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19 * 23: product witness; orientation erased.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23 / 19: ratio witness; orientation retained.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sz w:val="21"/>
              </w:rPr>
              <w:t>CARRY FORWARD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The same prime pair appears as a product-node (437) and as an ordered detuning ratio (23/19). Whether that recurrence has physical significance remains open.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The number weave under retained context</w:t>
      </w:r>
    </w:p>
    <w:p>
      <w:r>
        <w:rPr>
          <w:rFonts w:ascii="Aptos" w:hAnsi="Aptos"/>
          <w:sz w:val="18"/>
        </w:rPr>
        <w:t>Several exact identities remain intact: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666 -&gt; 777 -&gt; 888 with +111, +111; and 666:777:888 = 6:7:8.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111 = 3 * 37.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777 = 37 * 21 with 21 = F_8, therefore 777 = 37 F_8.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322 = L_12 = 89 + 233.</w:t>
      </w:r>
    </w:p>
    <w:p>
      <w:r>
        <w:rPr>
          <w:rFonts w:ascii="Aptos" w:hAnsi="Aptos"/>
          <w:sz w:val="18"/>
        </w:rPr>
        <w:t>Restoring the generating context removes false surprise: every three-digit repdigit has the form nnn = 111n = 3 * 37 * n. The factor 37 is exact but structurally built into repdigits, so it is not anomalous by itself.</w:t>
      </w:r>
    </w:p>
    <w:p>
      <w:r>
        <w:rPr>
          <w:rFonts w:ascii="Aptos" w:hAnsi="Aptos"/>
          <w:sz w:val="18"/>
        </w:rPr>
        <w:t>The silver bridge remains deliberately non-exact: 777 / (1 + sqrt(2)) = 321.8439379... approximately 322. The weave handoff correctly preserves search-bias provenance: some anchors predated later transforms, no tolerance family was frozen before the near-hit search, and no randomized control had yet been run.</w:t>
      </w:r>
    </w:p>
    <w:p>
      <w:pPr>
        <w:pStyle w:val="Heading1"/>
        <w:keepNext/>
      </w:pPr>
      <w:r>
        <w:t>9. The archive-level invariant</w:t>
      </w:r>
    </w:p>
    <w:p>
      <w:r>
        <w:rPr>
          <w:rFonts w:ascii="Aptos" w:hAnsi="Aptos"/>
          <w:sz w:val="18"/>
        </w:rPr>
        <w:t>Once chronology, domain, and provenance are retained, one structural grammar repeatedly survives: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distinct things + bounded overlap + preserved identity + explicit mediation + no automatic promotion from resemblance to authority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Triple-helix vocabulary: contact without fusion.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POBS: body, narrative, and direction separated.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PLBS: experience is not authority.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Timekeeper: convergence is not choice; choice is not operation.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Parallel sovereignty: domains remain non-ranked.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Hidden Quotient: identification with a representation is earned by the quotient, not assumed.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GQG: source equality, observation equivalence, quotient equality, and completion equality remain separate lanes.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Binder architecture: theorem, room reading, and labor costume are adjacent but sovereign.</w:t>
      </w:r>
    </w:p>
    <w:p>
      <w:r>
        <w:rPr>
          <w:rFonts w:ascii="Aptos" w:hAnsi="Aptos"/>
          <w:sz w:val="18"/>
        </w:rPr>
        <w:t>This is not evidence that the universe is governed by the archive's philosophy. It is strong evidence of a durable authorial and research invariant.</w:t>
      </w:r>
    </w:p>
    <w:p>
      <w:pPr>
        <w:pStyle w:val="Heading1"/>
        <w:keepNext/>
      </w:pPr>
      <w:r>
        <w:t>10. The central reversal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coarse mythic move: many correspondences -&gt; one hidden cause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mature move: correspondences -&gt; declare witnesses -&gt; retain context -&gt; test descent -&gt; conjunction without substitution -&gt; explicit promotion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sz w:val="21"/>
              </w:rPr>
              <w:t>DEEPEST PATTERN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Things can recur, resonate, overlap, and correspond while remaining distinct.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18"/>
        </w:rPr>
        <w:t>In GQG language: do not identify two things merely because a coarse witness cannot distinguish them. Restore the context. See what survives.</w:t>
      </w:r>
    </w:p>
    <w:p>
      <w:pPr>
        <w:pStyle w:val="Heading1"/>
        <w:keepNext/>
      </w:pPr>
      <w:r>
        <w:t>11. What survives today</w:t>
      </w:r>
    </w:p>
    <w:p>
      <w:pPr>
        <w:pStyle w:val="Heading2"/>
        <w:keepNext/>
      </w:pPr>
      <w:r>
        <w:t>Exact / structural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Hidden Quotient kernel / quotient / faithful-realization architecture.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GQG retained-context refinement and descent rules.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437 = 19 * 23.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23/19 and its declared octave-folded silver comparison.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Exact repdigit, Fibonacci, and Lucas identities listed above.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The 0.003 screen's actual hit counts and null-control rates.</w:t>
      </w:r>
    </w:p>
    <w:p>
      <w:pPr>
        <w:pStyle w:val="Heading2"/>
        <w:keepNext/>
      </w:pPr>
      <w:r>
        <w:t>Supported descriptive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Tomsk T1 proximity to First Quarter under the stated timing range.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Correlated broad-color and sharp-peak sonogram witness families.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Recurring bounded-overlap / preserved-identity grammar across the archive.</w:t>
      </w:r>
    </w:p>
    <w:p>
      <w:pPr>
        <w:pStyle w:val="Heading2"/>
        <w:keepNext/>
      </w:pPr>
      <w:r>
        <w:t>Open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Whether Tomsk T1 survives a genuinely unopened prospective holdout.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Whether the {19,23} recurrence has any mechanism beyond arithmetic / historical reuse.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Whether a frozen braid / coupled-phase model produces nontrivial recurrence under controls.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Whether external physical lanes share causal coupling beyond established ordinary mechanisms.</w:t>
      </w:r>
    </w:p>
    <w:p>
      <w:pPr>
        <w:pStyle w:val="Heading2"/>
        <w:keepNext/>
      </w:pPr>
      <w:r>
        <w:t>Dissolved or demoted by refinement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universal 0.003 personal-timestamp lock.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 simple fixed-day / fixed-lunar-phase explanation for the 18/19/20 contact sheet.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Treating correlated sonogram metrics as independent witnesses.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Automatic cross-model identity from similarity.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Promotion from multiple convergences to one causal agent without a gluing theorem or external mechanism.</w:t>
      </w:r>
    </w:p>
    <w:p>
      <w:pPr>
        <w:pStyle w:val="Heading1"/>
        <w:keepNext/>
      </w:pPr>
      <w:r>
        <w:t>12. Prospective rule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Declare the source.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Declare the witness.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Declare retained context.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Declare the induced equivalence.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Freeze the claim rule and tolerance.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Record the execution / realization separately from the semantic witness.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Test whether the claim survives context refinement.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Do not transport across a changed architecture without descent.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Treat multiple claims as a conjunction until a promotion rule is justified.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Preserve every miss.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sz w:val="21"/>
              </w:rPr>
              <w:t>ANTI-BULLSHIT LAW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No proof by resemblance. No silent witness change. No global completion from local visibility alone.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Closing formulation</w:t>
      </w:r>
    </w:p>
    <w:p>
      <w:r>
        <w:rPr>
          <w:rFonts w:ascii="Aptos" w:hAnsi="Aptos"/>
          <w:sz w:val="18"/>
        </w:rPr>
        <w:t>The best current synthesis is not that the archive discovered one secret identity behind numbers, events, models, experiences, and institutions. It discovered - and then increasingly formalized - a rule for not collapsing difference too early.</w:t>
      </w:r>
    </w:p>
    <w:p>
      <w:pPr>
        <w:spacing w:before="60" w:after="100"/>
        <w:jc w:val="center"/>
      </w:pPr>
      <w:r>
        <w:rPr>
          <w:rFonts w:ascii="Cambria Math" w:hAnsi="Cambria Math"/>
          <w:sz w:val="23"/>
        </w:rPr>
        <w:t>recognize recurrence without forcing identity; allow overlap without fusion; retain context without turning it into a throne; audit the quotient before believing the completion</w:t>
      </w:r>
    </w:p>
    <w:p>
      <w:r>
        <w:rPr>
          <w:rFonts w:ascii="Aptos" w:hAnsi="Aptos"/>
          <w:sz w:val="18"/>
        </w:rPr>
        <w:t>That is the geometry that survives the strict pass.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sz w:val="21"/>
              </w:rPr>
              <w:t>KEEPER LINE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No crown. No proof by resemblance. No silent witness change.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Source anchors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THE_HIDDEN_QUOTIENT_CORE_WITNESS_STRIKE_v1.1 (2).md - mathematical core, Bridge I, Bridge II, Seat 2 boundary conditions.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GQG_Core_Card_v0.3 (2).md - retained context, conditioning, equality lanes, descent, non-substitution, provenance.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ZERO003_PHASE_ALIGNMENT_SCREEN_REPORT_v0_1.md - 0.003 controls, Tomsk T1, silver residual comparison.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sonogram_metrics_18_20.csv - 42 monthly 18/19/20 observations; statistics in this note recomputed directly from the supplied table.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TRIADIC_WEAVE_CONSOLIDATED_FINDINGS_HANDOFF_v1.md - exact number rails, silver near-hit, search-bias record, fibers/thread/weave handoff.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OLD_PHASE_MATERIAL_RECOVERY_NOTE_B3_2026-08-25.md - 23/19, octave-folded silver comparison, 4.897-cent residual, recovery cautions.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Timekeeper_ledger_7_5_26.md - arithmetic corrections including 437 = 19 * 23.</w:t>
      </w:r>
    </w:p>
    <w:p>
      <w:pPr>
        <w:pStyle w:val="ListBullet"/>
        <w:spacing w:after="30"/>
      </w:pPr>
      <w:r>
        <w:rPr>
          <w:rFonts w:ascii="Aptos" w:hAnsi="Aptos"/>
          <w:sz w:val="17"/>
        </w:rPr>
        <w:t>POBS / PLBS records supplied in the conversation - event-layer separation and experience-versus-authority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>CC0 - Public Domain - No rights reserved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6"/>
      </w:rPr>
      <w:t>DISTINCTION WITHOUT COLLAPSE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