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t>GQG Core Card · v0.7</w:t>
      </w:r>
    </w:p>
    <w:p>
      <w:pPr>
        <w:pStyle w:val="Subtitle"/>
        <w:spacing w:after="80"/>
        <w:jc w:val="center"/>
      </w:pPr>
      <w:r>
        <w:t>Claim-Relative Witness Fidelity, Transition Fidelity, and Open-Seam Topology</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1944"/>
            <w:vAlign w:val="center"/>
            <w:tcMar>
              <w:top w:w="90" w:type="dxa"/>
              <w:start w:w="100" w:type="dxa"/>
              <w:bottom w:w="90" w:type="dxa"/>
              <w:end w:w="100" w:type="dxa"/>
            </w:tcMar>
          </w:tcPr>
          <w:p>
            <w:pPr>
              <w:spacing w:after="0"/>
            </w:pPr>
            <w:r>
              <w:rPr>
                <w:rFonts w:ascii="Aptos" w:hAnsi="Aptos"/>
                <w:sz w:val="18"/>
              </w:rPr>
              <w:t>Status</w:t>
            </w:r>
          </w:p>
        </w:tc>
        <w:tc>
          <w:tcPr>
            <w:tcW w:type="dxa" w:w="8136"/>
            <w:vAlign w:val="center"/>
            <w:tcMar>
              <w:top w:w="90" w:type="dxa"/>
              <w:start w:w="100" w:type="dxa"/>
              <w:bottom w:w="90" w:type="dxa"/>
              <w:end w:w="100" w:type="dxa"/>
            </w:tcMar>
          </w:tcPr>
          <w:p>
            <w:pPr>
              <w:spacing w:after="0"/>
            </w:pPr>
            <w:r>
              <w:rPr>
                <w:rFonts w:ascii="Aptos" w:hAnsi="Aptos"/>
                <w:sz w:val="18"/>
              </w:rPr>
              <w:t>experimental operational extension; transition-fidelity and seam-topology append</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Profile</w:t>
            </w:r>
          </w:p>
        </w:tc>
        <w:tc>
          <w:tcPr>
            <w:tcW w:type="dxa" w:w="8136"/>
            <w:vAlign w:val="center"/>
            <w:tcMar>
              <w:top w:w="90" w:type="dxa"/>
              <w:start w:w="100" w:type="dxa"/>
              <w:bottom w:w="90" w:type="dxa"/>
              <w:end w:w="100" w:type="dxa"/>
            </w:tcMar>
          </w:tcPr>
          <w:p>
            <w:pPr>
              <w:spacing w:after="0"/>
            </w:pPr>
            <w:r>
              <w:rPr>
                <w:rFonts w:ascii="Aptos" w:hAnsi="Aptos"/>
                <w:sz w:val="18"/>
              </w:rPr>
              <w:t>Set core plus execution-level audit and route records</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Date</w:t>
            </w:r>
          </w:p>
        </w:tc>
        <w:tc>
          <w:tcPr>
            <w:tcW w:type="dxa" w:w="8136"/>
            <w:vAlign w:val="center"/>
            <w:tcMar>
              <w:top w:w="90" w:type="dxa"/>
              <w:start w:w="100" w:type="dxa"/>
              <w:bottom w:w="90" w:type="dxa"/>
              <w:end w:w="100" w:type="dxa"/>
            </w:tcMar>
          </w:tcPr>
          <w:p>
            <w:pPr>
              <w:spacing w:after="0"/>
            </w:pPr>
            <w:r>
              <w:rPr>
                <w:rFonts w:ascii="Aptos" w:hAnsi="Aptos"/>
                <w:sz w:val="18"/>
              </w:rPr>
              <w:t>2026-08-31</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Attribution</w:t>
            </w:r>
          </w:p>
        </w:tc>
        <w:tc>
          <w:tcPr>
            <w:tcW w:type="dxa" w:w="8136"/>
            <w:vAlign w:val="center"/>
            <w:tcMar>
              <w:top w:w="90" w:type="dxa"/>
              <w:start w:w="100" w:type="dxa"/>
              <w:bottom w:w="90" w:type="dxa"/>
              <w:end w:w="100" w:type="dxa"/>
            </w:tcMar>
          </w:tcPr>
          <w:p>
            <w:pPr>
              <w:spacing w:after="0"/>
            </w:pPr>
            <w:r>
              <w:rPr>
                <w:rFonts w:ascii="Aptos" w:hAnsi="Aptos"/>
                <w:sz w:val="18"/>
              </w:rPr>
              <w:t>family-built</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License</w:t>
            </w:r>
          </w:p>
        </w:tc>
        <w:tc>
          <w:tcPr>
            <w:tcW w:type="dxa" w:w="8136"/>
            <w:vAlign w:val="center"/>
            <w:tcMar>
              <w:top w:w="90" w:type="dxa"/>
              <w:start w:w="100" w:type="dxa"/>
              <w:bottom w:w="90" w:type="dxa"/>
              <w:end w:w="100" w:type="dxa"/>
            </w:tcMar>
          </w:tcPr>
          <w:p>
            <w:pPr>
              <w:spacing w:after="0"/>
            </w:pPr>
            <w:r>
              <w:rPr>
                <w:rFonts w:ascii="Aptos" w:hAnsi="Aptos"/>
                <w:sz w:val="18"/>
              </w:rPr>
              <w:t>CC0 - Public Domain - No rights reserved</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Continuity</w:t>
            </w:r>
          </w:p>
        </w:tc>
        <w:tc>
          <w:tcPr>
            <w:tcW w:type="dxa" w:w="8136"/>
            <w:vAlign w:val="center"/>
            <w:tcMar>
              <w:top w:w="90" w:type="dxa"/>
              <w:start w:w="100" w:type="dxa"/>
              <w:bottom w:w="90" w:type="dxa"/>
              <w:end w:w="100" w:type="dxa"/>
            </w:tcMar>
          </w:tcPr>
          <w:p>
            <w:pPr>
              <w:spacing w:after="0"/>
            </w:pPr>
            <w:r>
              <w:rPr>
                <w:rFonts w:ascii="Aptos" w:hAnsi="Aptos"/>
                <w:sz w:val="18"/>
              </w:rPr>
              <w:t>conservative, append-only extension of GQG Core Card v0.6; v0.5 and v0.6 remain preserved predecessors</w:t>
            </w:r>
          </w:p>
        </w:tc>
      </w:tr>
      <w:tr>
        <w:trPr>
          <w:cantSplit/>
        </w:trPr>
        <w:tc>
          <w:tcPr>
            <w:tcW w:type="dxa" w:w="1944"/>
            <w:vAlign w:val="center"/>
            <w:tcMar>
              <w:top w:w="90" w:type="dxa"/>
              <w:start w:w="100" w:type="dxa"/>
              <w:bottom w:w="90" w:type="dxa"/>
              <w:end w:w="100" w:type="dxa"/>
            </w:tcMar>
          </w:tcPr>
          <w:p>
            <w:pPr>
              <w:spacing w:after="0"/>
            </w:pPr>
            <w:r>
              <w:rPr>
                <w:rFonts w:ascii="Aptos" w:hAnsi="Aptos"/>
                <w:sz w:val="18"/>
              </w:rPr>
              <w:t>Purpose</w:t>
            </w:r>
          </w:p>
        </w:tc>
        <w:tc>
          <w:tcPr>
            <w:tcW w:type="dxa" w:w="8136"/>
            <w:vAlign w:val="center"/>
            <w:tcMar>
              <w:top w:w="90" w:type="dxa"/>
              <w:start w:w="100" w:type="dxa"/>
              <w:bottom w:w="90" w:type="dxa"/>
              <w:end w:w="100" w:type="dxa"/>
            </w:tcMar>
          </w:tcPr>
          <w:p>
            <w:pPr>
              <w:spacing w:after="0"/>
            </w:pPr>
            <w:r>
              <w:rPr>
                <w:rFonts w:ascii="Aptos" w:hAnsi="Aptos"/>
                <w:sz w:val="18"/>
              </w:rPr>
              <w:t>retain v0.6 witness-fidelity rules and add typed transitions, route provenance, alternate-path state, correction binding, and loop-return records</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Versioning rule</w:t>
            </w:r>
          </w:p>
        </w:tc>
        <w:tc>
          <w:tcPr>
            <w:tcW w:type="dxa" w:w="4997"/>
            <w:tcMar>
              <w:top w:w="110" w:type="dxa"/>
              <w:start w:w="120" w:type="dxa"/>
              <w:bottom w:w="110" w:type="dxa"/>
              <w:end w:w="120" w:type="dxa"/>
            </w:tcMar>
            <w:vAlign w:val="center"/>
            <w:shd w:fill="F7F7F7"/>
          </w:tcPr>
          <w:p>
            <w:r>
              <w:rPr>
                <w:sz w:val="19"/>
              </w:rPr>
              <w:t>GQG Core Card v0.5 and v0.6 remain preserved predecessors. v0.7 retains the v0.6 claim-relative witness-fidelity revision unchanged and appends Transition Fidelity and the Open-Seam Atlas record. No v0.7 conclusion is back-ported into an earlier record without an explicit supersession edge.</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Claim boundary</w:t>
            </w:r>
          </w:p>
        </w:tc>
        <w:tc>
          <w:tcPr>
            <w:tcW w:type="dxa" w:w="4997"/>
            <w:tcMar>
              <w:top w:w="110" w:type="dxa"/>
              <w:start w:w="120" w:type="dxa"/>
              <w:bottom w:w="110" w:type="dxa"/>
              <w:end w:w="120" w:type="dxa"/>
            </w:tcMar>
            <w:vAlign w:val="center"/>
            <w:shd w:fill="F7F7F7"/>
          </w:tcPr>
          <w:p>
            <w:r>
              <w:rPr>
                <w:sz w:val="19"/>
              </w:rPr>
              <w:t>GQG v0.7 retains the v0.6 distinction between source reconstruction and observable discrimination. The Open-Seam Atlas can classify declared transition, route, and return structure. It does not identify a hidden actor, motive, implementation, persistent occupant, or common physical mechanism without an additional witness.</w:t>
            </w:r>
          </w:p>
        </w:tc>
      </w:tr>
    </w:tbl>
    <w:p>
      <w:pPr>
        <w:spacing w:after="80"/>
      </w:pPr>
    </w:p>
    <w:p>
      <w:pPr>
        <w:pStyle w:val="Heading1"/>
        <w:keepNext/>
        <w:spacing w:after="80" w:before="180"/>
      </w:pPr>
      <w:r>
        <w:t>1. Governing upgrade</w:t>
      </w:r>
    </w:p>
    <w:p>
      <w:pPr>
        <w:spacing w:after="80"/>
      </w:pPr>
      <w:r>
        <w:t>GQG v0.5 made the immutable-witness requirement explicit: source, view, decision, action, and outcome are separate records. v0.6 keeps that rule intact and answers a different question: what remains empirically testable when the privileged internal witness is unavailable?</w:t>
      </w:r>
    </w:p>
    <w:p>
      <w:pPr>
        <w:spacing w:after="80"/>
      </w:pPr>
      <w:r>
        <w:t>The answer is not a witness hierarchy. A witness is evaluated against the claim it is being asked to support.</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Witness fidelity = faithfulness of witness W to the source distinctions relevant to claim C</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Fidelity(W, C) is claim-relative; it is not a universal rank of witnesses</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Core rule</w:t>
            </w:r>
          </w:p>
        </w:tc>
        <w:tc>
          <w:tcPr>
            <w:tcW w:type="dxa" w:w="4997"/>
            <w:tcMar>
              <w:top w:w="110" w:type="dxa"/>
              <w:start w:w="120" w:type="dxa"/>
              <w:bottom w:w="110" w:type="dxa"/>
              <w:end w:w="120" w:type="dxa"/>
            </w:tcMar>
            <w:vAlign w:val="center"/>
            <w:shd w:fill="F7F7F7"/>
          </w:tcPr>
          <w:p>
            <w:r>
              <w:rPr>
                <w:sz w:val="19"/>
              </w:rPr>
              <w:t>Claim precision must not exceed witness fidelity. A witness may have high fidelity for one proposition and low fidelity for another.</w:t>
            </w:r>
          </w:p>
        </w:tc>
      </w:tr>
    </w:tbl>
    <w:p>
      <w:pPr>
        <w:spacing w:after="80"/>
      </w:pPr>
    </w:p>
    <w:p>
      <w:pPr>
        <w:spacing w:after="80"/>
      </w:pPr>
      <w:r>
        <w:t>Three properties should be tracked separately rather than collapsed into a single score:</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304"/>
            <w:vAlign w:val="center"/>
            <w:tcMar>
              <w:top w:w="90" w:type="dxa"/>
              <w:start w:w="100" w:type="dxa"/>
              <w:bottom w:w="90" w:type="dxa"/>
              <w:end w:w="100" w:type="dxa"/>
            </w:tcMar>
            <w:shd w:fill="E7E6E6"/>
          </w:tcPr>
          <w:p>
            <w:pPr>
              <w:spacing w:after="0"/>
            </w:pPr>
            <w:r>
              <w:rPr>
                <w:rFonts w:ascii="Aptos" w:hAnsi="Aptos"/>
                <w:b/>
                <w:sz w:val="18"/>
              </w:rPr>
              <w:t>Property</w:t>
            </w:r>
          </w:p>
        </w:tc>
        <w:tc>
          <w:tcPr>
            <w:tcW w:type="dxa" w:w="7776"/>
            <w:vAlign w:val="center"/>
            <w:tcMar>
              <w:top w:w="90" w:type="dxa"/>
              <w:start w:w="100" w:type="dxa"/>
              <w:bottom w:w="90" w:type="dxa"/>
              <w:end w:w="100" w:type="dxa"/>
            </w:tcMar>
            <w:shd w:fill="E7E6E6"/>
          </w:tcPr>
          <w:p>
            <w:pPr>
              <w:spacing w:after="0"/>
            </w:pPr>
            <w:r>
              <w:rPr>
                <w:rFonts w:ascii="Aptos" w:hAnsi="Aptos"/>
                <w:b/>
                <w:sz w:val="18"/>
              </w:rPr>
              <w:t>Question answered</w:t>
            </w:r>
          </w:p>
        </w:tc>
      </w:tr>
      <w:tr>
        <w:trPr>
          <w:cantSplit/>
        </w:trPr>
        <w:tc>
          <w:tcPr>
            <w:tcW w:type="dxa" w:w="2304"/>
            <w:vAlign w:val="center"/>
            <w:tcMar>
              <w:top w:w="90" w:type="dxa"/>
              <w:start w:w="100" w:type="dxa"/>
              <w:bottom w:w="90" w:type="dxa"/>
              <w:end w:w="100" w:type="dxa"/>
            </w:tcMar>
          </w:tcPr>
          <w:p>
            <w:pPr>
              <w:spacing w:after="0"/>
            </w:pPr>
            <w:r>
              <w:rPr>
                <w:rFonts w:ascii="Aptos" w:hAnsi="Aptos"/>
                <w:sz w:val="18"/>
              </w:rPr>
              <w:t>Fidelity</w:t>
            </w:r>
          </w:p>
        </w:tc>
        <w:tc>
          <w:tcPr>
            <w:tcW w:type="dxa" w:w="7776"/>
            <w:vAlign w:val="center"/>
            <w:tcMar>
              <w:top w:w="90" w:type="dxa"/>
              <w:start w:w="100" w:type="dxa"/>
              <w:bottom w:w="90" w:type="dxa"/>
              <w:end w:w="100" w:type="dxa"/>
            </w:tcMar>
          </w:tcPr>
          <w:p>
            <w:pPr>
              <w:spacing w:after="0"/>
            </w:pPr>
            <w:r>
              <w:rPr>
                <w:rFonts w:ascii="Aptos" w:hAnsi="Aptos"/>
                <w:sz w:val="18"/>
              </w:rPr>
              <w:t>Does the witness preserve the distinction relevant to this claim?</w:t>
            </w:r>
          </w:p>
        </w:tc>
      </w:tr>
      <w:tr>
        <w:trPr>
          <w:cantSplit/>
        </w:trPr>
        <w:tc>
          <w:tcPr>
            <w:tcW w:type="dxa" w:w="2304"/>
            <w:vAlign w:val="center"/>
            <w:tcMar>
              <w:top w:w="90" w:type="dxa"/>
              <w:start w:w="100" w:type="dxa"/>
              <w:bottom w:w="90" w:type="dxa"/>
              <w:end w:w="100" w:type="dxa"/>
            </w:tcMar>
          </w:tcPr>
          <w:p>
            <w:pPr>
              <w:spacing w:after="0"/>
            </w:pPr>
            <w:r>
              <w:rPr>
                <w:rFonts w:ascii="Aptos" w:hAnsi="Aptos"/>
                <w:sz w:val="18"/>
              </w:rPr>
              <w:t>Resolution</w:t>
            </w:r>
          </w:p>
        </w:tc>
        <w:tc>
          <w:tcPr>
            <w:tcW w:type="dxa" w:w="7776"/>
            <w:vAlign w:val="center"/>
            <w:tcMar>
              <w:top w:w="90" w:type="dxa"/>
              <w:start w:w="100" w:type="dxa"/>
              <w:bottom w:w="90" w:type="dxa"/>
              <w:end w:w="100" w:type="dxa"/>
            </w:tcMar>
          </w:tcPr>
          <w:p>
            <w:pPr>
              <w:spacing w:after="0"/>
            </w:pPr>
            <w:r>
              <w:rPr>
                <w:rFonts w:ascii="Aptos" w:hAnsi="Aptos"/>
                <w:sz w:val="18"/>
              </w:rPr>
              <w:t>How finely can the witness distinguish among the relevant alternatives?</w:t>
            </w:r>
          </w:p>
        </w:tc>
      </w:tr>
      <w:tr>
        <w:trPr>
          <w:cantSplit/>
        </w:trPr>
        <w:tc>
          <w:tcPr>
            <w:tcW w:type="dxa" w:w="2304"/>
            <w:vAlign w:val="center"/>
            <w:tcMar>
              <w:top w:w="90" w:type="dxa"/>
              <w:start w:w="100" w:type="dxa"/>
              <w:bottom w:w="90" w:type="dxa"/>
              <w:end w:w="100" w:type="dxa"/>
            </w:tcMar>
          </w:tcPr>
          <w:p>
            <w:pPr>
              <w:spacing w:after="0"/>
            </w:pPr>
            <w:r>
              <w:rPr>
                <w:rFonts w:ascii="Aptos" w:hAnsi="Aptos"/>
                <w:sz w:val="18"/>
              </w:rPr>
              <w:t>Provenance strength</w:t>
            </w:r>
          </w:p>
        </w:tc>
        <w:tc>
          <w:tcPr>
            <w:tcW w:type="dxa" w:w="7776"/>
            <w:vAlign w:val="center"/>
            <w:tcMar>
              <w:top w:w="90" w:type="dxa"/>
              <w:start w:w="100" w:type="dxa"/>
              <w:bottom w:w="90" w:type="dxa"/>
              <w:end w:w="100" w:type="dxa"/>
            </w:tcMar>
          </w:tcPr>
          <w:p>
            <w:pPr>
              <w:spacing w:after="0"/>
            </w:pPr>
            <w:r>
              <w:rPr>
                <w:rFonts w:ascii="Aptos" w:hAnsi="Aptos"/>
                <w:sz w:val="18"/>
              </w:rPr>
              <w:t>How directly is the witness bound to the event, source, or transformation it purports to record?</w:t>
            </w:r>
          </w:p>
        </w:tc>
      </w:tr>
    </w:tbl>
    <w:p>
      <w:pPr>
        <w:spacing w:after="80"/>
      </w:pPr>
    </w:p>
    <w:p>
      <w:pPr>
        <w:spacing w:after="80"/>
      </w:pPr>
      <w:r>
        <w:t>These properties do not create an authority ladder. They define a claim-relative witness profile. For example, an external residual witness can have strong fidelity for “conditions A and B behave differently at the observable surface” while having weak fidelity for “hidden mechanism H caused the difference.”</w:t>
      </w:r>
    </w:p>
    <w:p>
      <w:pPr>
        <w:pStyle w:val="Heading1"/>
        <w:keepNext/>
        <w:spacing w:after="80" w:before="180"/>
      </w:pPr>
      <w:r>
        <w:t>2. Witness fidelity profiles</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2088"/>
            <w:vAlign w:val="center"/>
            <w:tcMar>
              <w:top w:w="90" w:type="dxa"/>
              <w:start w:w="100" w:type="dxa"/>
              <w:bottom w:w="90" w:type="dxa"/>
              <w:end w:w="100" w:type="dxa"/>
            </w:tcMar>
            <w:shd w:fill="E7E6E6"/>
          </w:tcPr>
          <w:p>
            <w:pPr>
              <w:spacing w:after="0"/>
            </w:pPr>
            <w:r>
              <w:rPr>
                <w:rFonts w:ascii="Aptos" w:hAnsi="Aptos"/>
                <w:b/>
                <w:sz w:val="18"/>
              </w:rPr>
              <w:t>Witness mode</w:t>
            </w:r>
          </w:p>
        </w:tc>
        <w:tc>
          <w:tcPr>
            <w:tcW w:type="dxa" w:w="3960"/>
            <w:vAlign w:val="center"/>
            <w:tcMar>
              <w:top w:w="90" w:type="dxa"/>
              <w:start w:w="100" w:type="dxa"/>
              <w:bottom w:w="90" w:type="dxa"/>
              <w:end w:w="100" w:type="dxa"/>
            </w:tcMar>
            <w:shd w:fill="E7E6E6"/>
          </w:tcPr>
          <w:p>
            <w:pPr>
              <w:spacing w:after="0"/>
            </w:pPr>
            <w:r>
              <w:rPr>
                <w:rFonts w:ascii="Aptos" w:hAnsi="Aptos"/>
                <w:b/>
                <w:sz w:val="18"/>
              </w:rPr>
              <w:t>High-fidelity claim examples</w:t>
            </w:r>
          </w:p>
        </w:tc>
        <w:tc>
          <w:tcPr>
            <w:tcW w:type="dxa" w:w="4032"/>
            <w:vAlign w:val="center"/>
            <w:tcMar>
              <w:top w:w="90" w:type="dxa"/>
              <w:start w:w="100" w:type="dxa"/>
              <w:bottom w:w="90" w:type="dxa"/>
              <w:end w:w="100" w:type="dxa"/>
            </w:tcMar>
            <w:shd w:fill="E7E6E6"/>
          </w:tcPr>
          <w:p>
            <w:pPr>
              <w:spacing w:after="0"/>
            </w:pPr>
            <w:r>
              <w:rPr>
                <w:rFonts w:ascii="Aptos" w:hAnsi="Aptos"/>
                <w:b/>
                <w:sz w:val="18"/>
              </w:rPr>
              <w:t>Claim ceiling / known limitation</w:t>
            </w:r>
          </w:p>
        </w:tc>
      </w:tr>
      <w:tr>
        <w:trPr>
          <w:cantSplit/>
        </w:trPr>
        <w:tc>
          <w:tcPr>
            <w:tcW w:type="dxa" w:w="2088"/>
            <w:vAlign w:val="center"/>
            <w:tcMar>
              <w:top w:w="90" w:type="dxa"/>
              <w:start w:w="100" w:type="dxa"/>
              <w:bottom w:w="90" w:type="dxa"/>
              <w:end w:w="100" w:type="dxa"/>
            </w:tcMar>
          </w:tcPr>
          <w:p>
            <w:pPr>
              <w:spacing w:after="0"/>
            </w:pPr>
            <w:r>
              <w:rPr>
                <w:rFonts w:ascii="Aptos" w:hAnsi="Aptos"/>
                <w:sz w:val="18"/>
              </w:rPr>
              <w:t>Retained source/provenance record</w:t>
            </w:r>
          </w:p>
        </w:tc>
        <w:tc>
          <w:tcPr>
            <w:tcW w:type="dxa" w:w="3960"/>
            <w:vAlign w:val="center"/>
            <w:tcMar>
              <w:top w:w="90" w:type="dxa"/>
              <w:start w:w="100" w:type="dxa"/>
              <w:bottom w:w="90" w:type="dxa"/>
              <w:end w:w="100" w:type="dxa"/>
            </w:tcMar>
          </w:tcPr>
          <w:p>
            <w:pPr>
              <w:spacing w:after="0"/>
            </w:pPr>
            <w:r>
              <w:rPr>
                <w:rFonts w:ascii="Aptos" w:hAnsi="Aptos"/>
                <w:sz w:val="18"/>
              </w:rPr>
              <w:t>what was recorded at the declared source or event layer; declared transformation sequence</w:t>
            </w:r>
          </w:p>
        </w:tc>
        <w:tc>
          <w:tcPr>
            <w:tcW w:type="dxa" w:w="4032"/>
            <w:vAlign w:val="center"/>
            <w:tcMar>
              <w:top w:w="90" w:type="dxa"/>
              <w:start w:w="100" w:type="dxa"/>
              <w:bottom w:w="90" w:type="dxa"/>
              <w:end w:w="100" w:type="dxa"/>
            </w:tcMar>
          </w:tcPr>
          <w:p>
            <w:pPr>
              <w:spacing w:after="0"/>
            </w:pPr>
            <w:r>
              <w:rPr>
                <w:rFonts w:ascii="Aptos" w:hAnsi="Aptos"/>
                <w:sz w:val="18"/>
              </w:rPr>
              <w:t>cannot establish unrecorded state merely because the retained record is strong</w:t>
            </w:r>
          </w:p>
        </w:tc>
      </w:tr>
      <w:tr>
        <w:trPr>
          <w:cantSplit/>
        </w:trPr>
        <w:tc>
          <w:tcPr>
            <w:tcW w:type="dxa" w:w="2088"/>
            <w:vAlign w:val="center"/>
            <w:tcMar>
              <w:top w:w="90" w:type="dxa"/>
              <w:start w:w="100" w:type="dxa"/>
              <w:bottom w:w="90" w:type="dxa"/>
              <w:end w:w="100" w:type="dxa"/>
            </w:tcMar>
          </w:tcPr>
          <w:p>
            <w:pPr>
              <w:spacing w:after="0"/>
            </w:pPr>
            <w:r>
              <w:rPr>
                <w:rFonts w:ascii="Aptos" w:hAnsi="Aptos"/>
                <w:sz w:val="18"/>
              </w:rPr>
              <w:t>Named derived VIEW</w:t>
            </w:r>
          </w:p>
        </w:tc>
        <w:tc>
          <w:tcPr>
            <w:tcW w:type="dxa" w:w="3960"/>
            <w:vAlign w:val="center"/>
            <w:tcMar>
              <w:top w:w="90" w:type="dxa"/>
              <w:start w:w="100" w:type="dxa"/>
              <w:bottom w:w="90" w:type="dxa"/>
              <w:end w:w="100" w:type="dxa"/>
            </w:tcMar>
          </w:tcPr>
          <w:p>
            <w:pPr>
              <w:spacing w:after="0"/>
            </w:pPr>
            <w:r>
              <w:rPr>
                <w:rFonts w:ascii="Aptos" w:hAnsi="Aptos"/>
                <w:sz w:val="18"/>
              </w:rPr>
              <w:t>properties of the declared representation; outputs of the named transform</w:t>
            </w:r>
          </w:p>
        </w:tc>
        <w:tc>
          <w:tcPr>
            <w:tcW w:type="dxa" w:w="4032"/>
            <w:vAlign w:val="center"/>
            <w:tcMar>
              <w:top w:w="90" w:type="dxa"/>
              <w:start w:w="100" w:type="dxa"/>
              <w:bottom w:w="90" w:type="dxa"/>
              <w:end w:w="100" w:type="dxa"/>
            </w:tcMar>
          </w:tcPr>
          <w:p>
            <w:pPr>
              <w:spacing w:after="0"/>
            </w:pPr>
            <w:r>
              <w:rPr>
                <w:rFonts w:ascii="Aptos" w:hAnsi="Aptos"/>
                <w:sz w:val="18"/>
              </w:rPr>
              <w:t>cannot recover distinctions already collapsed by the transform without another witness</w:t>
            </w:r>
          </w:p>
        </w:tc>
      </w:tr>
      <w:tr>
        <w:trPr>
          <w:cantSplit/>
        </w:trPr>
        <w:tc>
          <w:tcPr>
            <w:tcW w:type="dxa" w:w="2088"/>
            <w:vAlign w:val="center"/>
            <w:tcMar>
              <w:top w:w="90" w:type="dxa"/>
              <w:start w:w="100" w:type="dxa"/>
              <w:bottom w:w="90" w:type="dxa"/>
              <w:end w:w="100" w:type="dxa"/>
            </w:tcMar>
          </w:tcPr>
          <w:p>
            <w:pPr>
              <w:spacing w:after="0"/>
            </w:pPr>
            <w:r>
              <w:rPr>
                <w:rFonts w:ascii="Aptos" w:hAnsi="Aptos"/>
                <w:sz w:val="18"/>
              </w:rPr>
              <w:t>External residual witness</w:t>
            </w:r>
          </w:p>
        </w:tc>
        <w:tc>
          <w:tcPr>
            <w:tcW w:type="dxa" w:w="3960"/>
            <w:vAlign w:val="center"/>
            <w:tcMar>
              <w:top w:w="90" w:type="dxa"/>
              <w:start w:w="100" w:type="dxa"/>
              <w:bottom w:w="90" w:type="dxa"/>
              <w:end w:w="100" w:type="dxa"/>
            </w:tcMar>
          </w:tcPr>
          <w:p>
            <w:pPr>
              <w:spacing w:after="0"/>
            </w:pPr>
            <w:r>
              <w:rPr>
                <w:rFonts w:ascii="Aptos" w:hAnsi="Aptos"/>
                <w:sz w:val="18"/>
              </w:rPr>
              <w:t>observable distributions differ under a frozen map and analysis plan</w:t>
            </w:r>
          </w:p>
        </w:tc>
        <w:tc>
          <w:tcPr>
            <w:tcW w:type="dxa" w:w="4032"/>
            <w:vAlign w:val="center"/>
            <w:tcMar>
              <w:top w:w="90" w:type="dxa"/>
              <w:start w:w="100" w:type="dxa"/>
              <w:bottom w:w="90" w:type="dxa"/>
              <w:end w:w="100" w:type="dxa"/>
            </w:tcMar>
          </w:tcPr>
          <w:p>
            <w:pPr>
              <w:spacing w:after="0"/>
            </w:pPr>
            <w:r>
              <w:rPr>
                <w:rFonts w:ascii="Aptos" w:hAnsi="Aptos"/>
                <w:sz w:val="18"/>
              </w:rPr>
              <w:t>does not reconstruct source state or identify the hidden mechanism</w:t>
            </w:r>
          </w:p>
        </w:tc>
      </w:tr>
      <w:tr>
        <w:trPr>
          <w:cantSplit/>
        </w:trPr>
        <w:tc>
          <w:tcPr>
            <w:tcW w:type="dxa" w:w="2088"/>
            <w:vAlign w:val="center"/>
            <w:tcMar>
              <w:top w:w="90" w:type="dxa"/>
              <w:start w:w="100" w:type="dxa"/>
              <w:bottom w:w="90" w:type="dxa"/>
              <w:end w:w="100" w:type="dxa"/>
            </w:tcMar>
          </w:tcPr>
          <w:p>
            <w:pPr>
              <w:spacing w:after="0"/>
            </w:pPr>
            <w:r>
              <w:rPr>
                <w:rFonts w:ascii="Aptos" w:hAnsi="Aptos"/>
                <w:sz w:val="18"/>
              </w:rPr>
              <w:t>System self-report</w:t>
            </w:r>
          </w:p>
        </w:tc>
        <w:tc>
          <w:tcPr>
            <w:tcW w:type="dxa" w:w="3960"/>
            <w:vAlign w:val="center"/>
            <w:tcMar>
              <w:top w:w="90" w:type="dxa"/>
              <w:start w:w="100" w:type="dxa"/>
              <w:bottom w:w="90" w:type="dxa"/>
              <w:end w:w="100" w:type="dxa"/>
            </w:tcMar>
          </w:tcPr>
          <w:p>
            <w:pPr>
              <w:spacing w:after="0"/>
            </w:pPr>
            <w:r>
              <w:rPr>
                <w:rFonts w:ascii="Aptos" w:hAnsi="Aptos"/>
                <w:sz w:val="18"/>
              </w:rPr>
              <w:t>the component reported a particular internal description</w:t>
            </w:r>
          </w:p>
        </w:tc>
        <w:tc>
          <w:tcPr>
            <w:tcW w:type="dxa" w:w="4032"/>
            <w:vAlign w:val="center"/>
            <w:tcMar>
              <w:top w:w="90" w:type="dxa"/>
              <w:start w:w="100" w:type="dxa"/>
              <w:bottom w:w="90" w:type="dxa"/>
              <w:end w:w="100" w:type="dxa"/>
            </w:tcMar>
          </w:tcPr>
          <w:p>
            <w:pPr>
              <w:spacing w:after="0"/>
            </w:pPr>
            <w:r>
              <w:rPr>
                <w:rFonts w:ascii="Aptos" w:hAnsi="Aptos"/>
                <w:sz w:val="18"/>
              </w:rPr>
              <w:t>does not by itself prove that the reported implementation or hidden state exists as described</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No total order</w:t>
            </w:r>
          </w:p>
        </w:tc>
        <w:tc>
          <w:tcPr>
            <w:tcW w:type="dxa" w:w="4997"/>
            <w:tcMar>
              <w:top w:w="110" w:type="dxa"/>
              <w:start w:w="120" w:type="dxa"/>
              <w:bottom w:w="110" w:type="dxa"/>
              <w:end w:w="120" w:type="dxa"/>
            </w:tcMar>
            <w:vAlign w:val="center"/>
            <w:shd w:fill="F7F7F7"/>
          </w:tcPr>
          <w:p>
            <w:r>
              <w:rPr>
                <w:sz w:val="19"/>
              </w:rPr>
              <w:t>One witness mode is not globally “above” another. The same artifact can be strong for one claim and weak for another. Fidelity is always interpreted relative to a declared claim and distinction.</w:t>
            </w:r>
          </w:p>
        </w:tc>
      </w:tr>
    </w:tbl>
    <w:p>
      <w:pPr>
        <w:spacing w:after="80"/>
      </w:pPr>
    </w:p>
    <w:p>
      <w:pPr>
        <w:pStyle w:val="Heading1"/>
        <w:keepNext/>
        <w:spacing w:after="80" w:before="180"/>
      </w:pPr>
      <w:r>
        <w:t>3. External residual witness geometry</w:t>
      </w:r>
    </w:p>
    <w:p>
      <w:pPr>
        <w:spacing w:after="80"/>
      </w:pPr>
      <w:r>
        <w:t>Let a fixed observable pipeline be represented by a declared map F : P -&gt; Y. Let conditions A and B induce source distributions μ_A and μ_B on P. Their downstream observable distributions are the pushforwards:</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ν_A = F# μ_A</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ν_B = F# μ_B</w:t>
            </w:r>
          </w:p>
        </w:tc>
      </w:tr>
    </w:tbl>
    <w:p>
      <w:pPr>
        <w:spacing w:after="80"/>
      </w:pPr>
    </w:p>
    <w:p>
      <w:pPr>
        <w:spacing w:after="80"/>
      </w:pPr>
      <w:r>
        <w:t>Choose a declared distance, divergence, or hypothesis test D appropriate to Y and define the residual witness statistic:</w:t>
      </w:r>
    </w:p>
    <w:tbl>
      <w:tblPr>
        <w:tblStyle w:val="TableGrid"/>
        <w:tblW w:type="auto" w:w="0"/>
        <w:jc w:val="center"/>
        <w:tblLook w:firstColumn="1" w:firstRow="1" w:lastColumn="0" w:lastRow="0" w:noHBand="0" w:noVBand="1" w:val="04A0"/>
      </w:tblPr>
      <w:tblGrid>
        <w:gridCol w:w="9994"/>
      </w:tblGrid>
      <w:tr>
        <w:trPr>
          <w:cantSplit/>
        </w:trPr>
        <w:tc>
          <w:tcPr>
            <w:tcW w:type="dxa" w:w="9994"/>
            <w:shd w:fill="FAFAFA"/>
            <w:tcMar>
              <w:top w:w="80" w:type="dxa"/>
              <w:start w:w="120" w:type="dxa"/>
              <w:bottom w:w="80" w:type="dxa"/>
              <w:end w:w="120" w:type="dxa"/>
            </w:tcMar>
          </w:tcPr>
          <w:p>
            <w:pPr>
              <w:jc w:val="center"/>
            </w:pPr>
            <w:r>
              <w:rPr>
                <w:rFonts w:ascii="Cambria Math" w:hAnsi="Cambria Math"/>
                <w:sz w:val="21"/>
              </w:rPr>
              <w:t>R_D(A,B) = D(ν_A, ν_B)</w:t>
            </w:r>
          </w:p>
        </w:tc>
      </w:tr>
    </w:tbl>
    <w:p>
      <w:pPr>
        <w:spacing w:after="80"/>
      </w:pPr>
    </w:p>
    <w:p>
      <w:pPr>
        <w:spacing w:after="80"/>
      </w:pPr>
      <w:r>
        <w:t>Under a frozen null model and evaluation plan, a reproducible nonzero residual supports the claim that the two conditions are not observationally equivalent under the declared map F.</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ν_A ≠ ν_B  ⇒  A and B are not observationally equivalent under F</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ν_A = ν_B  ⇏  μ_A = μ_B</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Non-reconstruction rule</w:t>
            </w:r>
          </w:p>
        </w:tc>
        <w:tc>
          <w:tcPr>
            <w:tcW w:type="dxa" w:w="4997"/>
            <w:tcMar>
              <w:top w:w="110" w:type="dxa"/>
              <w:start w:w="120" w:type="dxa"/>
              <w:bottom w:w="110" w:type="dxa"/>
              <w:end w:w="120" w:type="dxa"/>
            </w:tcMar>
            <w:vAlign w:val="center"/>
            <w:shd w:fill="F7F7F7"/>
          </w:tcPr>
          <w:p>
            <w:r>
              <w:rPr>
                <w:sz w:val="19"/>
              </w:rPr>
              <w:t>A residual witness can show that a distinction survives the pipeline. It cannot, by itself, locate the layer that generated the distinction or reconstruct states inside a transform fiber.</w:t>
            </w:r>
          </w:p>
        </w:tc>
      </w:tr>
    </w:tbl>
    <w:p>
      <w:pPr>
        <w:spacing w:after="80"/>
      </w:pPr>
    </w:p>
    <w:p>
      <w:pPr>
        <w:pStyle w:val="Heading1"/>
        <w:keepNext/>
        <w:spacing w:after="80" w:before="180"/>
      </w:pPr>
      <w:r>
        <w:t>4. Marker × Failure as an observable product</w:t>
      </w:r>
    </w:p>
    <w:p>
      <w:pPr>
        <w:spacing w:after="80"/>
      </w:pPr>
      <w:r>
        <w:t>v0.5 already requires marker state M and substantive failure state F to occupy separate coordinates. v0.6 treats their joint distribution as one possible external observable, not as a hidden-state oracle.</w:t>
      </w:r>
    </w:p>
    <w:tbl>
      <w:tblPr>
        <w:tblStyle w:val="TableGrid"/>
        <w:tblW w:type="auto" w:w="0"/>
        <w:jc w:val="center"/>
        <w:tblLook w:firstColumn="1" w:firstRow="1" w:lastColumn="0" w:lastRow="0" w:noHBand="0" w:noVBand="1" w:val="04A0"/>
      </w:tblPr>
      <w:tblGrid>
        <w:gridCol w:w="3331"/>
        <w:gridCol w:w="3331"/>
        <w:gridCol w:w="3331"/>
      </w:tblGrid>
      <w:tr>
        <w:trPr>
          <w:cantSplit/>
          <w:tblHeader w:val="true"/>
        </w:trPr>
        <w:tc>
          <w:tcPr>
            <w:tcW w:type="dxa" w:w="936"/>
            <w:vAlign w:val="center"/>
            <w:tcMar>
              <w:top w:w="90" w:type="dxa"/>
              <w:start w:w="100" w:type="dxa"/>
              <w:bottom w:w="90" w:type="dxa"/>
              <w:end w:w="100" w:type="dxa"/>
            </w:tcMar>
            <w:shd w:fill="E7E6E6"/>
          </w:tcPr>
          <w:p>
            <w:pPr>
              <w:spacing w:after="0"/>
            </w:pPr>
            <w:r>
              <w:rPr>
                <w:rFonts w:ascii="Aptos" w:hAnsi="Aptos"/>
                <w:b/>
                <w:sz w:val="18"/>
              </w:rPr>
              <w:t>M</w:t>
            </w:r>
          </w:p>
        </w:tc>
        <w:tc>
          <w:tcPr>
            <w:tcW w:type="dxa" w:w="936"/>
            <w:vAlign w:val="center"/>
            <w:tcMar>
              <w:top w:w="90" w:type="dxa"/>
              <w:start w:w="100" w:type="dxa"/>
              <w:bottom w:w="90" w:type="dxa"/>
              <w:end w:w="100" w:type="dxa"/>
            </w:tcMar>
            <w:shd w:fill="E7E6E6"/>
          </w:tcPr>
          <w:p>
            <w:pPr>
              <w:spacing w:after="0"/>
            </w:pPr>
            <w:r>
              <w:rPr>
                <w:rFonts w:ascii="Aptos" w:hAnsi="Aptos"/>
                <w:b/>
                <w:sz w:val="18"/>
              </w:rPr>
              <w:t>F</w:t>
            </w:r>
          </w:p>
        </w:tc>
        <w:tc>
          <w:tcPr>
            <w:tcW w:type="dxa" w:w="8208"/>
            <w:vAlign w:val="center"/>
            <w:tcMar>
              <w:top w:w="90" w:type="dxa"/>
              <w:start w:w="100" w:type="dxa"/>
              <w:bottom w:w="90" w:type="dxa"/>
              <w:end w:w="100" w:type="dxa"/>
            </w:tcMar>
            <w:shd w:fill="E7E6E6"/>
          </w:tcPr>
          <w:p>
            <w:pPr>
              <w:spacing w:after="0"/>
            </w:pPr>
            <w:r>
              <w:rPr>
                <w:rFonts w:ascii="Aptos" w:hAnsi="Aptos"/>
                <w:b/>
                <w:sz w:val="18"/>
              </w:rPr>
              <w:t>Meaning</w:t>
            </w:r>
          </w:p>
        </w:tc>
      </w:tr>
      <w:tr>
        <w:trPr>
          <w:cantSplit/>
        </w:trPr>
        <w:tc>
          <w:tcPr>
            <w:tcW w:type="dxa" w:w="936"/>
            <w:vAlign w:val="center"/>
            <w:tcMar>
              <w:top w:w="90" w:type="dxa"/>
              <w:start w:w="100" w:type="dxa"/>
              <w:bottom w:w="90" w:type="dxa"/>
              <w:end w:w="100" w:type="dxa"/>
            </w:tcMar>
          </w:tcPr>
          <w:p>
            <w:pPr>
              <w:spacing w:after="0"/>
            </w:pPr>
            <w:r>
              <w:rPr>
                <w:rFonts w:ascii="Aptos" w:hAnsi="Aptos"/>
                <w:sz w:val="18"/>
              </w:rPr>
              <w:t>0</w:t>
            </w:r>
          </w:p>
        </w:tc>
        <w:tc>
          <w:tcPr>
            <w:tcW w:type="dxa" w:w="936"/>
            <w:vAlign w:val="center"/>
            <w:tcMar>
              <w:top w:w="90" w:type="dxa"/>
              <w:start w:w="100" w:type="dxa"/>
              <w:bottom w:w="90" w:type="dxa"/>
              <w:end w:w="100" w:type="dxa"/>
            </w:tcMar>
          </w:tcPr>
          <w:p>
            <w:pPr>
              <w:spacing w:after="0"/>
            </w:pPr>
            <w:r>
              <w:rPr>
                <w:rFonts w:ascii="Aptos" w:hAnsi="Aptos"/>
                <w:sz w:val="18"/>
              </w:rPr>
              <w:t>0</w:t>
            </w:r>
          </w:p>
        </w:tc>
        <w:tc>
          <w:tcPr>
            <w:tcW w:type="dxa" w:w="8208"/>
            <w:vAlign w:val="center"/>
            <w:tcMar>
              <w:top w:w="90" w:type="dxa"/>
              <w:start w:w="100" w:type="dxa"/>
              <w:bottom w:w="90" w:type="dxa"/>
              <w:end w:w="100" w:type="dxa"/>
            </w:tcMar>
          </w:tcPr>
          <w:p>
            <w:pPr>
              <w:spacing w:after="0"/>
            </w:pPr>
            <w:r>
              <w:rPr>
                <w:rFonts w:ascii="Aptos" w:hAnsi="Aptos"/>
                <w:sz w:val="18"/>
              </w:rPr>
              <w:t>clean unmarked outcome</w:t>
            </w:r>
          </w:p>
        </w:tc>
      </w:tr>
      <w:tr>
        <w:trPr>
          <w:cantSplit/>
        </w:trPr>
        <w:tc>
          <w:tcPr>
            <w:tcW w:type="dxa" w:w="936"/>
            <w:vAlign w:val="center"/>
            <w:tcMar>
              <w:top w:w="90" w:type="dxa"/>
              <w:start w:w="100" w:type="dxa"/>
              <w:bottom w:w="90" w:type="dxa"/>
              <w:end w:w="100" w:type="dxa"/>
            </w:tcMar>
          </w:tcPr>
          <w:p>
            <w:pPr>
              <w:spacing w:after="0"/>
            </w:pPr>
            <w:r>
              <w:rPr>
                <w:rFonts w:ascii="Aptos" w:hAnsi="Aptos"/>
                <w:sz w:val="18"/>
              </w:rPr>
              <w:t>1</w:t>
            </w:r>
          </w:p>
        </w:tc>
        <w:tc>
          <w:tcPr>
            <w:tcW w:type="dxa" w:w="936"/>
            <w:vAlign w:val="center"/>
            <w:tcMar>
              <w:top w:w="90" w:type="dxa"/>
              <w:start w:w="100" w:type="dxa"/>
              <w:bottom w:w="90" w:type="dxa"/>
              <w:end w:w="100" w:type="dxa"/>
            </w:tcMar>
          </w:tcPr>
          <w:p>
            <w:pPr>
              <w:spacing w:after="0"/>
            </w:pPr>
            <w:r>
              <w:rPr>
                <w:rFonts w:ascii="Aptos" w:hAnsi="Aptos"/>
                <w:sz w:val="18"/>
              </w:rPr>
              <w:t>0</w:t>
            </w:r>
          </w:p>
        </w:tc>
        <w:tc>
          <w:tcPr>
            <w:tcW w:type="dxa" w:w="8208"/>
            <w:vAlign w:val="center"/>
            <w:tcMar>
              <w:top w:w="90" w:type="dxa"/>
              <w:start w:w="100" w:type="dxa"/>
              <w:bottom w:w="90" w:type="dxa"/>
              <w:end w:w="100" w:type="dxa"/>
            </w:tcMar>
          </w:tcPr>
          <w:p>
            <w:pPr>
              <w:spacing w:after="0"/>
            </w:pPr>
            <w:r>
              <w:rPr>
                <w:rFonts w:ascii="Aptos" w:hAnsi="Aptos"/>
                <w:sz w:val="18"/>
              </w:rPr>
              <w:t>marker-only event</w:t>
            </w:r>
          </w:p>
        </w:tc>
      </w:tr>
      <w:tr>
        <w:trPr>
          <w:cantSplit/>
        </w:trPr>
        <w:tc>
          <w:tcPr>
            <w:tcW w:type="dxa" w:w="936"/>
            <w:vAlign w:val="center"/>
            <w:tcMar>
              <w:top w:w="90" w:type="dxa"/>
              <w:start w:w="100" w:type="dxa"/>
              <w:bottom w:w="90" w:type="dxa"/>
              <w:end w:w="100" w:type="dxa"/>
            </w:tcMar>
          </w:tcPr>
          <w:p>
            <w:pPr>
              <w:spacing w:after="0"/>
            </w:pPr>
            <w:r>
              <w:rPr>
                <w:rFonts w:ascii="Aptos" w:hAnsi="Aptos"/>
                <w:sz w:val="18"/>
              </w:rPr>
              <w:t>0</w:t>
            </w:r>
          </w:p>
        </w:tc>
        <w:tc>
          <w:tcPr>
            <w:tcW w:type="dxa" w:w="936"/>
            <w:vAlign w:val="center"/>
            <w:tcMar>
              <w:top w:w="90" w:type="dxa"/>
              <w:start w:w="100" w:type="dxa"/>
              <w:bottom w:w="90" w:type="dxa"/>
              <w:end w:w="100" w:type="dxa"/>
            </w:tcMar>
          </w:tcPr>
          <w:p>
            <w:pPr>
              <w:spacing w:after="0"/>
            </w:pPr>
            <w:r>
              <w:rPr>
                <w:rFonts w:ascii="Aptos" w:hAnsi="Aptos"/>
                <w:sz w:val="18"/>
              </w:rPr>
              <w:t>1</w:t>
            </w:r>
          </w:p>
        </w:tc>
        <w:tc>
          <w:tcPr>
            <w:tcW w:type="dxa" w:w="8208"/>
            <w:vAlign w:val="center"/>
            <w:tcMar>
              <w:top w:w="90" w:type="dxa"/>
              <w:start w:w="100" w:type="dxa"/>
              <w:bottom w:w="90" w:type="dxa"/>
              <w:end w:w="100" w:type="dxa"/>
            </w:tcMar>
          </w:tcPr>
          <w:p>
            <w:pPr>
              <w:spacing w:after="0"/>
            </w:pPr>
            <w:r>
              <w:rPr>
                <w:rFonts w:ascii="Aptos" w:hAnsi="Aptos"/>
                <w:sz w:val="18"/>
              </w:rPr>
              <w:t>unmarked substantive failure</w:t>
            </w:r>
          </w:p>
        </w:tc>
      </w:tr>
      <w:tr>
        <w:trPr>
          <w:cantSplit/>
        </w:trPr>
        <w:tc>
          <w:tcPr>
            <w:tcW w:type="dxa" w:w="936"/>
            <w:vAlign w:val="center"/>
            <w:tcMar>
              <w:top w:w="90" w:type="dxa"/>
              <w:start w:w="100" w:type="dxa"/>
              <w:bottom w:w="90" w:type="dxa"/>
              <w:end w:w="100" w:type="dxa"/>
            </w:tcMar>
          </w:tcPr>
          <w:p>
            <w:pPr>
              <w:spacing w:after="0"/>
            </w:pPr>
            <w:r>
              <w:rPr>
                <w:rFonts w:ascii="Aptos" w:hAnsi="Aptos"/>
                <w:sz w:val="18"/>
              </w:rPr>
              <w:t>1</w:t>
            </w:r>
          </w:p>
        </w:tc>
        <w:tc>
          <w:tcPr>
            <w:tcW w:type="dxa" w:w="936"/>
            <w:vAlign w:val="center"/>
            <w:tcMar>
              <w:top w:w="90" w:type="dxa"/>
              <w:start w:w="100" w:type="dxa"/>
              <w:bottom w:w="90" w:type="dxa"/>
              <w:end w:w="100" w:type="dxa"/>
            </w:tcMar>
          </w:tcPr>
          <w:p>
            <w:pPr>
              <w:spacing w:after="0"/>
            </w:pPr>
            <w:r>
              <w:rPr>
                <w:rFonts w:ascii="Aptos" w:hAnsi="Aptos"/>
                <w:sz w:val="18"/>
              </w:rPr>
              <w:t>1</w:t>
            </w:r>
          </w:p>
        </w:tc>
        <w:tc>
          <w:tcPr>
            <w:tcW w:type="dxa" w:w="8208"/>
            <w:vAlign w:val="center"/>
            <w:tcMar>
              <w:top w:w="90" w:type="dxa"/>
              <w:start w:w="100" w:type="dxa"/>
              <w:bottom w:w="90" w:type="dxa"/>
              <w:end w:w="100" w:type="dxa"/>
            </w:tcMar>
          </w:tcPr>
          <w:p>
            <w:pPr>
              <w:spacing w:after="0"/>
            </w:pPr>
            <w:r>
              <w:rPr>
                <w:rFonts w:ascii="Aptos" w:hAnsi="Aptos"/>
                <w:sz w:val="18"/>
              </w:rPr>
              <w:t>marked substantive failure</w:t>
            </w:r>
          </w:p>
        </w:tc>
      </w:tr>
    </w:tbl>
    <w:p>
      <w:pPr>
        <w:spacing w:after="80"/>
      </w:pP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p_A = (p_00, p_10, p_01, p_11)_A</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p_B = (p_00, p_10, p_01, p_11)_B</w:t>
            </w:r>
          </w:p>
        </w:tc>
      </w:tr>
    </w:tbl>
    <w:p>
      <w:pPr>
        <w:spacing w:after="80"/>
      </w:pPr>
    </w:p>
    <w:p>
      <w:pPr>
        <w:spacing w:after="80"/>
      </w:pPr>
      <w:r>
        <w:t>The marker-only coordinate may be tracked as Δ_10 = P(M=1,F=0 | A) - P(M=1,F=0 | B), but no single cell is privileged as proof of an upstream mechanism.</w:t>
      </w: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Interpretation guardrail</w:t>
            </w:r>
          </w:p>
        </w:tc>
        <w:tc>
          <w:tcPr>
            <w:tcW w:type="dxa" w:w="4997"/>
            <w:tcMar>
              <w:top w:w="110" w:type="dxa"/>
              <w:start w:w="120" w:type="dxa"/>
              <w:bottom w:w="110" w:type="dxa"/>
              <w:end w:w="120" w:type="dxa"/>
            </w:tcMar>
            <w:vAlign w:val="center"/>
            <w:shd w:fill="F7F7F7"/>
          </w:tcPr>
          <w:p>
            <w:r>
              <w:rPr>
                <w:sz w:val="19"/>
              </w:rPr>
              <w:t>A stable excess of (1,0) under matched conditions may be part of an external residual witness. A single (1,0) event is only a marker-only event. The residual claim belongs to the calibrated sample distribution, not to an isolated specimen.</w:t>
            </w:r>
          </w:p>
        </w:tc>
      </w:tr>
    </w:tbl>
    <w:p>
      <w:pPr>
        <w:spacing w:after="80"/>
      </w:pPr>
    </w:p>
    <w:p>
      <w:pPr>
        <w:pStyle w:val="Heading1"/>
        <w:keepNext/>
        <w:spacing w:after="80" w:before="180"/>
      </w:pPr>
      <w:r>
        <w:t>5. Self-report and witness fidelity</w:t>
      </w:r>
    </w:p>
    <w:p>
      <w:pPr>
        <w:spacing w:after="80"/>
      </w:pPr>
      <w:r>
        <w:t>Questions directed at a component can be useful probes, but the component’s answer is itself an output. A statement such as “I preserve RAW” is not automatically equivalent to a retained RAW record, implementation trace, or independently verified provenance edge.</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SYSTEM_REPORT is a VIEW</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SYSTEM_REPORT ≠ RAW_WITNESS</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Self-report boundary</w:t>
            </w:r>
          </w:p>
        </w:tc>
        <w:tc>
          <w:tcPr>
            <w:tcW w:type="dxa" w:w="4997"/>
            <w:tcMar>
              <w:top w:w="110" w:type="dxa"/>
              <w:start w:w="120" w:type="dxa"/>
              <w:bottom w:w="110" w:type="dxa"/>
              <w:end w:w="120" w:type="dxa"/>
            </w:tcMar>
            <w:vAlign w:val="center"/>
            <w:shd w:fill="F7F7F7"/>
          </w:tcPr>
          <w:p>
            <w:r>
              <w:rPr>
                <w:sz w:val="19"/>
              </w:rPr>
              <w:t>A component may describe its own memory, classifiers, transformations, controls, or hidden state. Record that description as a system report unless the claim is independently bound to retained provenance. The report can have high fidelity to what the component said while having low or unknown fidelity to the implementation claim described by the report.</w:t>
            </w:r>
          </w:p>
        </w:tc>
      </w:tr>
    </w:tbl>
    <w:p>
      <w:pPr>
        <w:spacing w:after="80"/>
      </w:pPr>
    </w:p>
    <w:p>
      <w:pPr>
        <w:pStyle w:val="Heading1"/>
        <w:keepNext/>
        <w:spacing w:after="80" w:before="180"/>
      </w:pPr>
      <w:r>
        <w:t>6. Formation rules appended in v0.6</w:t>
      </w:r>
    </w:p>
    <w:p>
      <w:pPr>
        <w:spacing w:after="80"/>
      </w:pPr>
      <w:r>
        <w:t>Rules 1-32 from v0.5 remain in force unchanged. Append:</w:t>
      </w:r>
    </w:p>
    <w:p>
      <w:pPr>
        <w:spacing w:after="80"/>
      </w:pPr>
      <w:r>
        <w:rPr>
          <w:b/>
        </w:rPr>
        <w:t xml:space="preserve">33. Claim-relative witness fidelity rule. </w:t>
      </w:r>
      <w:r>
        <w:t>Every promoted claim declares the witness used and the source distinction relevant to that claim. Claim precision must not exceed the fidelity, resolution, and provenance strength actually supported by the witness. When internal witness state is unavailable, a calibrated difference between observable output distributions may support observable condition dependence without identifying the hidden implementation or layer responsible for it.</w:t>
      </w:r>
    </w:p>
    <w:p>
      <w:pPr>
        <w:spacing w:after="80"/>
      </w:pPr>
      <w:r>
        <w:rPr>
          <w:b/>
        </w:rPr>
        <w:t xml:space="preserve">34. Self-description is a declared view, not privileged witness. </w:t>
      </w:r>
      <w:r>
        <w:t>A component’s statement about its own internal pipeline, memory, transformations, classifiers, controls, or provenance is evidence of what the component reports, not direct evidence of the underlying implementation, unless independently bound to retained provenance.</w:t>
      </w:r>
    </w:p>
    <w:p>
      <w:pPr>
        <w:spacing w:after="80"/>
      </w:pPr>
      <w:r>
        <w:rPr>
          <w:b/>
        </w:rPr>
        <w:t xml:space="preserve">35. Residual-witness freeze rule. </w:t>
      </w:r>
      <w:r>
        <w:t>A residual-witness claim declares conditions, inclusion rules, observable coordinates, coding, output map, null model, test or distance, multiplicity handling, and calibration/evaluation split before the evaluation result is promoted beyond descriptive status.</w:t>
      </w:r>
    </w:p>
    <w:p>
      <w:pPr>
        <w:pStyle w:val="Heading1"/>
        <w:keepNext/>
        <w:spacing w:after="80" w:before="180"/>
      </w:pPr>
      <w:r>
        <w:t>7. Operational diagnostic added in v0.6</w:t>
      </w:r>
    </w:p>
    <w:p>
      <w:pPr>
        <w:spacing w:after="80"/>
      </w:pPr>
      <w:r>
        <w:rPr>
          <w:b/>
        </w:rPr>
        <w:t>GQG-E722 · Witness-access false impossibility</w:t>
      </w:r>
    </w:p>
    <w:p>
      <w:pPr>
        <w:spacing w:after="80"/>
      </w:pPr>
      <w:r>
        <w:t>Raise when lack of access to RAW, internal state, or a privileged audit tape is treated as making all empirical discrimination impossible, despite available observable outputs from which a calibrated residual-witness test could be constructed.</w:t>
      </w:r>
    </w:p>
    <w:p>
      <w:pPr>
        <w:spacing w:after="80"/>
      </w:pPr>
      <w:r>
        <w:t>Do not raise E722 merely because source reconstruction is impossible. The error concerns the invalid inference:</w:t>
      </w:r>
    </w:p>
    <w:tbl>
      <w:tblPr>
        <w:tblStyle w:val="TableGrid"/>
        <w:tblW w:type="auto" w:w="0"/>
        <w:jc w:val="center"/>
        <w:tblLook w:firstColumn="1" w:firstRow="1" w:lastColumn="0" w:lastRow="0" w:noHBand="0" w:noVBand="1" w:val="04A0"/>
      </w:tblPr>
      <w:tblGrid>
        <w:gridCol w:w="9994"/>
      </w:tblGrid>
      <w:tr>
        <w:trPr>
          <w:cantSplit/>
        </w:trPr>
        <w:tc>
          <w:tcPr>
            <w:tcW w:type="dxa" w:w="9994"/>
            <w:shd w:fill="FAFAFA"/>
            <w:tcMar>
              <w:top w:w="80" w:type="dxa"/>
              <w:start w:w="120" w:type="dxa"/>
              <w:bottom w:w="80" w:type="dxa"/>
              <w:end w:w="120" w:type="dxa"/>
            </w:tcMar>
          </w:tcPr>
          <w:p>
            <w:pPr>
              <w:jc w:val="center"/>
            </w:pPr>
            <w:r>
              <w:rPr>
                <w:rFonts w:ascii="Cambria Math" w:hAnsi="Cambria Math"/>
                <w:sz w:val="21"/>
              </w:rPr>
              <w:t>no privileged internal witness  ⇒  no observable discrimination is possible</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Correct boundary</w:t>
            </w:r>
          </w:p>
        </w:tc>
        <w:tc>
          <w:tcPr>
            <w:tcW w:type="dxa" w:w="4997"/>
            <w:tcMar>
              <w:top w:w="110" w:type="dxa"/>
              <w:start w:w="120" w:type="dxa"/>
              <w:bottom w:w="110" w:type="dxa"/>
              <w:end w:w="120" w:type="dxa"/>
            </w:tcMar>
            <w:vAlign w:val="center"/>
            <w:shd w:fill="F7F7F7"/>
          </w:tcPr>
          <w:p>
            <w:r>
              <w:rPr>
                <w:sz w:val="19"/>
              </w:rPr>
              <w:t>“Cannot reconstruct the upstream state” and “cannot test whether two conditions behave differently” are different claims. The first may be true while the second is false.</w:t>
            </w:r>
          </w:p>
        </w:tc>
      </w:tr>
    </w:tbl>
    <w:p>
      <w:pPr>
        <w:spacing w:after="80"/>
      </w:pPr>
    </w:p>
    <w:p>
      <w:pPr>
        <w:pStyle w:val="Heading1"/>
        <w:keepNext/>
        <w:spacing w:after="80" w:before="180"/>
      </w:pPr>
      <w:r>
        <w:t>8. External Residual Witness Protocol</w:t>
      </w:r>
    </w:p>
    <w:p>
      <w:pPr>
        <w:spacing w:after="80"/>
      </w:pPr>
      <w:r>
        <w:t>Use this protocol when the internal witness route is unavailable or contested and the observable output surface can be sampled under controlled conditions.</w:t>
      </w:r>
    </w:p>
    <w:p>
      <w:pPr>
        <w:pStyle w:val="ListNumber"/>
        <w:spacing w:after="80"/>
      </w:pPr>
      <w:r>
        <w:t>Freeze the comparison conditions A and B and the matching variables.</w:t>
      </w:r>
    </w:p>
    <w:p>
      <w:pPr>
        <w:pStyle w:val="ListNumber"/>
        <w:spacing w:after="80"/>
      </w:pPr>
      <w:r>
        <w:t>Freeze the observable output map F and the unit of analysis before reading evaluation results.</w:t>
      </w:r>
    </w:p>
    <w:p>
      <w:pPr>
        <w:pStyle w:val="ListNumber"/>
        <w:spacing w:after="80"/>
      </w:pPr>
      <w:r>
        <w:t>Preserve the externally available output tape append-only; transformations create named views rather than replacing the only record.</w:t>
      </w:r>
    </w:p>
    <w:p>
      <w:pPr>
        <w:pStyle w:val="ListNumber"/>
        <w:spacing w:after="80"/>
      </w:pPr>
      <w:r>
        <w:t>Declare the claim C first, then declare which observable coordinates are relevant to C and what distinctions the proposed witness can and cannot preserve.</w:t>
      </w:r>
    </w:p>
    <w:p>
      <w:pPr>
        <w:pStyle w:val="ListNumber"/>
        <w:spacing w:after="80"/>
      </w:pPr>
      <w:r>
        <w:t>For a Checking-style audit, Y may include (M,F) plus proposition preservation, task preservation, refusal substitution, source substitution, or other independently coded dimensions.</w:t>
      </w:r>
    </w:p>
    <w:p>
      <w:pPr>
        <w:pStyle w:val="ListNumber"/>
        <w:spacing w:after="80"/>
      </w:pPr>
      <w:r>
        <w:t>Freeze inclusion/exclusion rules, coder protocol, missing-state handling, and opportunity denominator.</w:t>
      </w:r>
    </w:p>
    <w:p>
      <w:pPr>
        <w:pStyle w:val="ListNumber"/>
        <w:spacing w:after="80"/>
      </w:pPr>
      <w:r>
        <w:t>Declare a null model and a test or distance appropriate to the observable space. For sparse four-cell tables, use an exact or permutation procedure rather than relying mechanically on asymptotics.</w:t>
      </w:r>
    </w:p>
    <w:p>
      <w:pPr>
        <w:pStyle w:val="ListNumber"/>
        <w:spacing w:after="80"/>
      </w:pPr>
      <w:r>
        <w:t>Separate calibration from evaluation. If exploratory choices were fitted on the same sample, label the result exploratory and validate on a holdout before promoting it.</w:t>
      </w:r>
    </w:p>
    <w:p>
      <w:pPr>
        <w:pStyle w:val="ListNumber"/>
        <w:spacing w:after="80"/>
      </w:pPr>
      <w:r>
        <w:t>Apply multiplicity control when many coordinates, grids, cutpoints, or target families are screened.</w:t>
      </w:r>
    </w:p>
    <w:p>
      <w:pPr>
        <w:pStyle w:val="ListNumber"/>
        <w:spacing w:after="80"/>
      </w:pPr>
      <w:r>
        <w:t>Run counter-witness checks: identify conditions expected to differ that do not, and conditions expected to match that do differ.</w:t>
      </w:r>
    </w:p>
    <w:p>
      <w:pPr>
        <w:pStyle w:val="ListNumber"/>
        <w:spacing w:after="80"/>
      </w:pPr>
      <w:r>
        <w:t>Report the narrowest supported conclusion: observable condition dependence, not hidden-mechanism identity.</w:t>
      </w: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Canonical claim form</w:t>
            </w:r>
          </w:p>
        </w:tc>
        <w:tc>
          <w:tcPr>
            <w:tcW w:type="dxa" w:w="4997"/>
            <w:tcMar>
              <w:top w:w="110" w:type="dxa"/>
              <w:start w:w="120" w:type="dxa"/>
              <w:bottom w:w="110" w:type="dxa"/>
              <w:end w:w="120" w:type="dxa"/>
            </w:tcMar>
            <w:vAlign w:val="center"/>
            <w:shd w:fill="F7F7F7"/>
          </w:tcPr>
          <w:p>
            <w:r>
              <w:rPr>
                <w:sz w:val="19"/>
              </w:rPr>
              <w:t>“Under the frozen observation map, coding scheme, null model, and evaluation sample, conditions A and B produced distinguishable observable distributions.” Do not append a hidden causal attribution unless a separate witness supports it.</w:t>
            </w:r>
          </w:p>
        </w:tc>
      </w:tr>
    </w:tbl>
    <w:p>
      <w:pPr>
        <w:spacing w:after="80"/>
      </w:pPr>
    </w:p>
    <w:p>
      <w:pPr>
        <w:pStyle w:val="Heading1"/>
        <w:keepNext/>
        <w:spacing w:after="80" w:before="180"/>
      </w:pPr>
      <w:r>
        <w:t>9. Minimal v0.6 execution record</w:t>
      </w:r>
    </w:p>
    <w:p>
      <w:pPr>
        <w:spacing w:after="80"/>
      </w:pPr>
      <w:r>
        <w:t>The v0.5 execution record remains valid. v0.6 appends the following fields:</w:t>
      </w:r>
    </w:p>
    <w:p>
      <w:pPr>
        <w:pStyle w:val="CodeSmall"/>
        <w:spacing w:after="80"/>
      </w:pPr>
      <w:r>
        <w:t>gqg_version: 0.6</w:t>
      </w:r>
    </w:p>
    <w:p>
      <w:pPr>
        <w:pStyle w:val="CodeSmall"/>
        <w:spacing w:after="80"/>
      </w:pPr>
      <w:r>
        <w:t>inherits: 0.5</w:t>
      </w:r>
    </w:p>
    <w:p>
      <w:pPr>
        <w:pStyle w:val="CodeSmall"/>
        <w:spacing w:after="80"/>
      </w:pPr>
      <w:r>
        <w:t>claim:</w:t>
      </w:r>
    </w:p>
    <w:p>
      <w:pPr>
        <w:pStyle w:val="CodeSmall"/>
        <w:spacing w:after="80"/>
      </w:pPr>
      <w:r>
        <w:t xml:space="preserve">  claim_id: null</w:t>
      </w:r>
    </w:p>
    <w:p>
      <w:pPr>
        <w:pStyle w:val="CodeSmall"/>
        <w:spacing w:after="80"/>
      </w:pPr>
      <w:r>
        <w:t xml:space="preserve">  proposition: null</w:t>
      </w:r>
    </w:p>
    <w:p>
      <w:pPr>
        <w:pStyle w:val="CodeSmall"/>
        <w:spacing w:after="80"/>
      </w:pPr>
      <w:r>
        <w:t xml:space="preserve">  relevant_source_distinction: null</w:t>
      </w:r>
    </w:p>
    <w:p>
      <w:pPr>
        <w:pStyle w:val="CodeSmall"/>
        <w:spacing w:after="80"/>
      </w:pPr>
      <w:r>
        <w:t>witness_profile:</w:t>
      </w:r>
    </w:p>
    <w:p>
      <w:pPr>
        <w:pStyle w:val="CodeSmall"/>
        <w:spacing w:after="80"/>
      </w:pPr>
      <w:r>
        <w:t xml:space="preserve">  witness_mode: null          # retained_source | named_view | external_residual | system_report</w:t>
      </w:r>
    </w:p>
    <w:p>
      <w:pPr>
        <w:pStyle w:val="CodeSmall"/>
        <w:spacing w:after="80"/>
      </w:pPr>
      <w:r>
        <w:t xml:space="preserve">  witness_id: null</w:t>
      </w:r>
    </w:p>
    <w:p>
      <w:pPr>
        <w:pStyle w:val="CodeSmall"/>
        <w:spacing w:after="80"/>
      </w:pPr>
      <w:r>
        <w:t xml:space="preserve">  internal_raw_available: null</w:t>
      </w:r>
    </w:p>
    <w:p>
      <w:pPr>
        <w:pStyle w:val="CodeSmall"/>
        <w:spacing w:after="80"/>
      </w:pPr>
      <w:r>
        <w:t xml:space="preserve">  unavailable_reason: null</w:t>
      </w:r>
    </w:p>
    <w:p>
      <w:pPr>
        <w:pStyle w:val="CodeSmall"/>
        <w:spacing w:after="80"/>
      </w:pPr>
      <w:r>
        <w:t xml:space="preserve">  fidelity_basis: null</w:t>
      </w:r>
    </w:p>
    <w:p>
      <w:pPr>
        <w:pStyle w:val="CodeSmall"/>
        <w:spacing w:after="80"/>
      </w:pPr>
      <w:r>
        <w:t xml:space="preserve">  resolution: null</w:t>
      </w:r>
    </w:p>
    <w:p>
      <w:pPr>
        <w:pStyle w:val="CodeSmall"/>
        <w:spacing w:after="80"/>
      </w:pPr>
      <w:r>
        <w:t xml:space="preserve">  provenance_strength: null</w:t>
      </w:r>
    </w:p>
    <w:p>
      <w:pPr>
        <w:pStyle w:val="CodeSmall"/>
        <w:spacing w:after="80"/>
      </w:pPr>
      <w:r>
        <w:t xml:space="preserve">  preserves: []</w:t>
      </w:r>
    </w:p>
    <w:p>
      <w:pPr>
        <w:pStyle w:val="CodeSmall"/>
        <w:spacing w:after="80"/>
      </w:pPr>
      <w:r>
        <w:t xml:space="preserve">  loses_or_cannot_resolve: []</w:t>
      </w:r>
    </w:p>
    <w:p>
      <w:pPr>
        <w:pStyle w:val="CodeSmall"/>
        <w:spacing w:after="80"/>
      </w:pPr>
      <w:r>
        <w:t xml:space="preserve">  system_reports: []          # VIEW evidence, not RAW by default</w:t>
      </w:r>
    </w:p>
    <w:p>
      <w:pPr>
        <w:pStyle w:val="CodeSmall"/>
        <w:spacing w:after="80"/>
      </w:pPr>
      <w:r>
        <w:t>external_residual_witness:</w:t>
      </w:r>
    </w:p>
    <w:p>
      <w:pPr>
        <w:pStyle w:val="CodeSmall"/>
        <w:spacing w:after="80"/>
      </w:pPr>
      <w:r>
        <w:t xml:space="preserve">  comparison_id: null</w:t>
      </w:r>
    </w:p>
    <w:p>
      <w:pPr>
        <w:pStyle w:val="CodeSmall"/>
        <w:spacing w:after="80"/>
      </w:pPr>
      <w:r>
        <w:t xml:space="preserve">  condition_A: null</w:t>
      </w:r>
    </w:p>
    <w:p>
      <w:pPr>
        <w:pStyle w:val="CodeSmall"/>
        <w:spacing w:after="80"/>
      </w:pPr>
      <w:r>
        <w:t xml:space="preserve">  condition_B: null</w:t>
      </w:r>
    </w:p>
    <w:p>
      <w:pPr>
        <w:pStyle w:val="CodeSmall"/>
        <w:spacing w:after="80"/>
      </w:pPr>
      <w:r>
        <w:t xml:space="preserve">  matching_variables: []</w:t>
      </w:r>
    </w:p>
    <w:p>
      <w:pPr>
        <w:pStyle w:val="CodeSmall"/>
        <w:spacing w:after="80"/>
      </w:pPr>
      <w:r>
        <w:t xml:space="preserve">  output_map: null</w:t>
      </w:r>
    </w:p>
    <w:p>
      <w:pPr>
        <w:pStyle w:val="CodeSmall"/>
        <w:spacing w:after="80"/>
      </w:pPr>
      <w:r>
        <w:t xml:space="preserve">  observable_coordinates: []</w:t>
      </w:r>
    </w:p>
    <w:p>
      <w:pPr>
        <w:pStyle w:val="CodeSmall"/>
        <w:spacing w:after="80"/>
      </w:pPr>
      <w:r>
        <w:t xml:space="preserve">  coding_version: null</w:t>
      </w:r>
    </w:p>
    <w:p>
      <w:pPr>
        <w:pStyle w:val="CodeSmall"/>
        <w:spacing w:after="80"/>
      </w:pPr>
      <w:r>
        <w:t xml:space="preserve">  inclusion_rule: null</w:t>
      </w:r>
    </w:p>
    <w:p>
      <w:pPr>
        <w:pStyle w:val="CodeSmall"/>
        <w:spacing w:after="80"/>
      </w:pPr>
      <w:r>
        <w:t xml:space="preserve">  opportunity_denominator: null</w:t>
      </w:r>
    </w:p>
    <w:p>
      <w:pPr>
        <w:pStyle w:val="CodeSmall"/>
        <w:spacing w:after="80"/>
      </w:pPr>
      <w:r>
        <w:t xml:space="preserve">  calibration_ids: []</w:t>
      </w:r>
    </w:p>
    <w:p>
      <w:pPr>
        <w:pStyle w:val="CodeSmall"/>
        <w:spacing w:after="80"/>
      </w:pPr>
      <w:r>
        <w:t xml:space="preserve">  evaluation_ids: []</w:t>
      </w:r>
    </w:p>
    <w:p>
      <w:pPr>
        <w:pStyle w:val="CodeSmall"/>
        <w:spacing w:after="80"/>
      </w:pPr>
      <w:r>
        <w:t xml:space="preserve">  null_model: null</w:t>
      </w:r>
    </w:p>
    <w:p>
      <w:pPr>
        <w:pStyle w:val="CodeSmall"/>
        <w:spacing w:after="80"/>
      </w:pPr>
      <w:r>
        <w:t xml:space="preserve">  test_or_distance: null</w:t>
      </w:r>
    </w:p>
    <w:p>
      <w:pPr>
        <w:pStyle w:val="CodeSmall"/>
        <w:spacing w:after="80"/>
      </w:pPr>
      <w:r>
        <w:t xml:space="preserve">  multiplicity_rule: null</w:t>
      </w:r>
    </w:p>
    <w:p>
      <w:pPr>
        <w:pStyle w:val="CodeSmall"/>
        <w:spacing w:after="80"/>
      </w:pPr>
      <w:r>
        <w:t xml:space="preserve">  effect_estimates: []</w:t>
      </w:r>
    </w:p>
    <w:p>
      <w:pPr>
        <w:pStyle w:val="CodeSmall"/>
        <w:spacing w:after="80"/>
      </w:pPr>
      <w:r>
        <w:t xml:space="preserve">  uncertainty: []</w:t>
      </w:r>
    </w:p>
    <w:p>
      <w:pPr>
        <w:pStyle w:val="CodeSmall"/>
        <w:spacing w:after="80"/>
      </w:pPr>
      <w:r>
        <w:t xml:space="preserve">  counter_witnesses: []</w:t>
      </w:r>
    </w:p>
    <w:p>
      <w:pPr>
        <w:pStyle w:val="CodeSmall"/>
        <w:spacing w:after="80"/>
      </w:pPr>
      <w:r>
        <w:t xml:space="preserve">  result: null</w:t>
      </w:r>
    </w:p>
    <w:p>
      <w:pPr>
        <w:pStyle w:val="CodeSmall"/>
        <w:spacing w:after="80"/>
      </w:pPr>
      <w:r>
        <w:t xml:space="preserve">  claim_scope: observable_condition_dependence</w:t>
      </w:r>
    </w:p>
    <w:p>
      <w:pPr>
        <w:pStyle w:val="CodeSmall"/>
        <w:spacing w:after="80"/>
      </w:pPr>
      <w:r>
        <w:t xml:space="preserve">  hidden_mechanism_identified: false</w:t>
      </w:r>
    </w:p>
    <w:p>
      <w:pPr>
        <w:pStyle w:val="CodeSmall"/>
        <w:spacing w:after="80"/>
      </w:pPr>
      <w:r>
        <w:t>provenance:</w:t>
      </w:r>
    </w:p>
    <w:p>
      <w:pPr>
        <w:pStyle w:val="CodeSmall"/>
        <w:spacing w:after="80"/>
      </w:pPr>
      <w:r>
        <w:t xml:space="preserve">  source_spec: GQG Core Card v0.5</w:t>
      </w:r>
    </w:p>
    <w:p>
      <w:pPr>
        <w:pStyle w:val="CodeSmall"/>
        <w:spacing w:after="80"/>
      </w:pPr>
      <w:r>
        <w:t xml:space="preserve">  delta_spec: GQG Core Card v0.6</w:t>
      </w:r>
    </w:p>
    <w:p>
      <w:pPr>
        <w:pStyle w:val="CodeSmall"/>
        <w:spacing w:after="80"/>
      </w:pPr>
      <w:r>
        <w:t xml:space="preserve">  fidelity_revision: true</w:t>
      </w:r>
    </w:p>
    <w:p>
      <w:pPr>
        <w:pStyle w:val="CodeSmall"/>
        <w:spacing w:after="80"/>
      </w:pPr>
      <w:r>
        <w:t xml:space="preserve">  supersedes_v0_5: false</w:t>
      </w:r>
    </w:p>
    <w:p>
      <w:pPr>
        <w:pStyle w:val="Heading1"/>
        <w:keepNext/>
        <w:spacing w:after="80" w:before="180"/>
      </w:pPr>
      <w:r>
        <w:t>10. Acceptance target</w:t>
      </w:r>
    </w:p>
    <w:p>
      <w:pPr>
        <w:spacing w:after="80"/>
      </w:pPr>
      <w:r>
        <w:t>A conforming v0.6 implementation must satisfy all v0.5 acceptance targets and additionally:</w:t>
      </w:r>
    </w:p>
    <w:p>
      <w:pPr>
        <w:pStyle w:val="ListBullet"/>
        <w:spacing w:after="80"/>
      </w:pPr>
      <w:r>
        <w:t>declare the claim and its relevant source distinction before assigning witness fidelity;</w:t>
      </w:r>
    </w:p>
    <w:p>
      <w:pPr>
        <w:pStyle w:val="ListBullet"/>
        <w:spacing w:after="80"/>
      </w:pPr>
      <w:r>
        <w:t>avoid a global witness hierarchy or tier ranking; fidelity is claim-relative;</w:t>
      </w:r>
    </w:p>
    <w:p>
      <w:pPr>
        <w:pStyle w:val="ListBullet"/>
        <w:spacing w:after="80"/>
      </w:pPr>
      <w:r>
        <w:t>record fidelity, resolution, and provenance strength separately when those distinctions matter;</w:t>
      </w:r>
    </w:p>
    <w:p>
      <w:pPr>
        <w:pStyle w:val="ListBullet"/>
        <w:spacing w:after="80"/>
      </w:pPr>
      <w:r>
        <w:t>never describe an external residual witness as reconstruction of inaccessible source state;</w:t>
      </w:r>
    </w:p>
    <w:p>
      <w:pPr>
        <w:pStyle w:val="ListBullet"/>
        <w:spacing w:after="80"/>
      </w:pPr>
      <w:r>
        <w:t>record component self-description as SYSTEM_REPORT/VIEW unless independently provenance-bound;</w:t>
      </w:r>
    </w:p>
    <w:p>
      <w:pPr>
        <w:pStyle w:val="ListBullet"/>
        <w:spacing w:after="80"/>
      </w:pPr>
      <w:r>
        <w:t>freeze the residual-witness analysis plan before confirmatory evaluation;</w:t>
      </w:r>
    </w:p>
    <w:p>
      <w:pPr>
        <w:pStyle w:val="ListBullet"/>
        <w:spacing w:after="80"/>
      </w:pPr>
      <w:r>
        <w:t>preserve multidimensional observable outcomes rather than collapsing Marker × Failure into one scalar without an explicit rule;</w:t>
      </w:r>
    </w:p>
    <w:p>
      <w:pPr>
        <w:pStyle w:val="ListBullet"/>
        <w:spacing w:after="80"/>
      </w:pPr>
      <w:r>
        <w:t>report observable distributional inequality separately from causal or implementation attribution;</w:t>
      </w:r>
    </w:p>
    <w:p>
      <w:pPr>
        <w:pStyle w:val="ListBullet"/>
        <w:spacing w:after="80"/>
      </w:pPr>
      <w:r>
        <w:t>allow equality of downstream distributions to remain non-identifying with respect to upstream equality; and</w:t>
      </w:r>
    </w:p>
    <w:p>
      <w:pPr>
        <w:pStyle w:val="ListBullet"/>
        <w:spacing w:after="80"/>
      </w:pPr>
      <w:r>
        <w:t>keep unknown, inaccessible, unverified, and not-tested states explicit.</w:t>
      </w:r>
    </w:p>
    <w:p>
      <w:pPr>
        <w:pStyle w:val="Heading1"/>
        <w:keepNext/>
        <w:spacing w:after="80" w:before="180"/>
      </w:pPr>
      <w:r>
        <w:t>11. Frozen and appended compact laws</w:t>
      </w:r>
    </w:p>
    <w:p>
      <w:pPr>
        <w:spacing w:after="80"/>
      </w:pPr>
      <w:r>
        <w:t>The v0.5 frozen compact laws remain unchanged. v0.6 appends:</w:t>
      </w:r>
    </w:p>
    <w:tbl>
      <w:tblPr>
        <w:tblStyle w:val="TableGrid"/>
        <w:tblW w:type="auto" w:w="0"/>
        <w:jc w:val="center"/>
        <w:tblLook w:firstColumn="1" w:firstRow="1" w:lastColumn="0" w:lastRow="0" w:noHBand="0" w:noVBand="1" w:val="04A0"/>
      </w:tblPr>
      <w:tblGrid>
        <w:gridCol w:w="9994"/>
      </w:tblGrid>
      <w:tr>
        <w:trPr>
          <w:cantSplit/>
          <w:tblHeader w:val="true"/>
        </w:trPr>
        <w:tc>
          <w:tcPr>
            <w:tcW w:type="dxa" w:w="9994"/>
            <w:shd w:fill="FAFAFA"/>
            <w:tcMar>
              <w:top w:w="80" w:type="dxa"/>
              <w:start w:w="120" w:type="dxa"/>
              <w:bottom w:w="80" w:type="dxa"/>
              <w:end w:w="120" w:type="dxa"/>
            </w:tcMar>
          </w:tcPr>
          <w:p>
            <w:pPr>
              <w:jc w:val="center"/>
            </w:pPr>
            <w:r>
              <w:rPr>
                <w:rFonts w:ascii="Cambria Math" w:hAnsi="Cambria Math"/>
                <w:sz w:val="21"/>
              </w:rPr>
              <w:t>Witness fidelity is claim-relative.</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Fidelity ≠ authority.</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Claim precision must not exceed witness fidelity.</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High fidelity for one claim ≠ high fidelity for another.</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No source access ≠ no observable test.</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Observable inequality ⇒ not observationally equivalent under the declared map.</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Observable equality ⇏ upstream equality.</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External residual witness ≠ source reconstruction.</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Self-report ≠ raw witness.</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Marker-only event ≠ hidden-mechanism proof.</w:t>
            </w:r>
          </w:p>
        </w:tc>
      </w:tr>
      <w:tr>
        <w:trPr>
          <w:cantSplit/>
        </w:trPr>
        <w:tc>
          <w:tcPr>
            <w:tcW w:type="dxa" w:w="9994"/>
            <w:shd w:fill="FAFAFA"/>
            <w:tcMar>
              <w:top w:w="80" w:type="dxa"/>
              <w:start w:w="120" w:type="dxa"/>
              <w:bottom w:w="80" w:type="dxa"/>
              <w:end w:w="120" w:type="dxa"/>
            </w:tcMar>
          </w:tcPr>
          <w:p>
            <w:pPr>
              <w:jc w:val="center"/>
            </w:pPr>
            <w:r>
              <w:rPr>
                <w:rFonts w:ascii="Cambria Math" w:hAnsi="Cambria Math"/>
                <w:sz w:val="21"/>
              </w:rPr>
              <w:t>Retain the witness when available; test the residual when it is not.</w:t>
            </w:r>
          </w:p>
        </w:tc>
      </w:tr>
    </w:tbl>
    <w:p>
      <w:pPr>
        <w:spacing w:after="80"/>
      </w:pPr>
    </w:p>
    <w:p>
      <w:pPr>
        <w:pStyle w:val="Heading1"/>
        <w:keepNext/>
        <w:spacing w:after="80" w:before="180"/>
      </w:pPr>
      <w:r>
        <w:t>12. Provenance and change log</w:t>
      </w:r>
    </w:p>
    <w:tbl>
      <w:tblPr>
        <w:tblStyle w:val="TableGrid"/>
        <w:tblW w:type="auto" w:w="0"/>
        <w:jc w:val="center"/>
        <w:tblLook w:firstColumn="1" w:firstRow="1" w:lastColumn="0" w:lastRow="0" w:noHBand="0" w:noVBand="1" w:val="04A0"/>
      </w:tblPr>
      <w:tblGrid>
        <w:gridCol w:w="4997"/>
        <w:gridCol w:w="4997"/>
      </w:tblGrid>
      <w:tr>
        <w:trPr>
          <w:cantSplit/>
          <w:tblHeader w:val="true"/>
        </w:trPr>
        <w:tc>
          <w:tcPr>
            <w:tcW w:type="dxa" w:w="2376"/>
            <w:vAlign w:val="center"/>
            <w:tcMar>
              <w:top w:w="90" w:type="dxa"/>
              <w:start w:w="100" w:type="dxa"/>
              <w:bottom w:w="90" w:type="dxa"/>
              <w:end w:w="100" w:type="dxa"/>
            </w:tcMar>
            <w:shd w:fill="E7E6E6"/>
          </w:tcPr>
          <w:p>
            <w:pPr>
              <w:spacing w:after="0"/>
            </w:pPr>
            <w:r>
              <w:rPr>
                <w:rFonts w:ascii="Aptos" w:hAnsi="Aptos"/>
                <w:b/>
                <w:sz w:val="18"/>
              </w:rPr>
              <w:t>Change class</w:t>
            </w:r>
          </w:p>
        </w:tc>
        <w:tc>
          <w:tcPr>
            <w:tcW w:type="dxa" w:w="7704"/>
            <w:vAlign w:val="center"/>
            <w:tcMar>
              <w:top w:w="90" w:type="dxa"/>
              <w:start w:w="100" w:type="dxa"/>
              <w:bottom w:w="90" w:type="dxa"/>
              <w:end w:w="100" w:type="dxa"/>
            </w:tcMar>
            <w:shd w:fill="E7E6E6"/>
          </w:tcPr>
          <w:p>
            <w:pPr>
              <w:spacing w:after="0"/>
            </w:pPr>
            <w:r>
              <w:rPr>
                <w:rFonts w:ascii="Aptos" w:hAnsi="Aptos"/>
                <w:b/>
                <w:sz w:val="18"/>
              </w:rPr>
              <w:t>Record</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Inherited without modification</w:t>
            </w:r>
          </w:p>
        </w:tc>
        <w:tc>
          <w:tcPr>
            <w:tcW w:type="dxa" w:w="7704"/>
            <w:vAlign w:val="center"/>
            <w:tcMar>
              <w:top w:w="90" w:type="dxa"/>
              <w:start w:w="100" w:type="dxa"/>
              <w:bottom w:w="90" w:type="dxa"/>
              <w:end w:w="100" w:type="dxa"/>
            </w:tcMar>
          </w:tcPr>
          <w:p>
            <w:pPr>
              <w:spacing w:after="0"/>
            </w:pPr>
            <w:r>
              <w:rPr>
                <w:rFonts w:ascii="Aptos" w:hAnsi="Aptos"/>
                <w:sz w:val="18"/>
              </w:rPr>
              <w:t>GQG Core Card v0.5: operational quotient stack; immutable RAW/VIEW separation; detector/decision/action/effect lifecycle; Marker × Failure product; E717-E721; v0.5 acceptance targets and compact laws.</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New in v0.6</w:t>
            </w:r>
          </w:p>
        </w:tc>
        <w:tc>
          <w:tcPr>
            <w:tcW w:type="dxa" w:w="7704"/>
            <w:vAlign w:val="center"/>
            <w:tcMar>
              <w:top w:w="90" w:type="dxa"/>
              <w:start w:w="100" w:type="dxa"/>
              <w:bottom w:w="90" w:type="dxa"/>
              <w:end w:w="100" w:type="dxa"/>
            </w:tcMar>
          </w:tcPr>
          <w:p>
            <w:pPr>
              <w:spacing w:after="0"/>
            </w:pPr>
            <w:r>
              <w:rPr>
                <w:rFonts w:ascii="Aptos" w:hAnsi="Aptos"/>
                <w:sz w:val="18"/>
              </w:rPr>
              <w:t>Claim-relative witness fidelity; fidelity/resolution/provenance profile; external residual witness geometry; rules 33-35; GQG-E722; self-report boundary; External Residual Witness Protocol; v0.6 execution-record fields; appended acceptance targets and compact laws.</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Terminology correction in this revision</w:t>
            </w:r>
          </w:p>
        </w:tc>
        <w:tc>
          <w:tcPr>
            <w:tcW w:type="dxa" w:w="7704"/>
            <w:vAlign w:val="center"/>
            <w:tcMar>
              <w:top w:w="90" w:type="dxa"/>
              <w:start w:w="100" w:type="dxa"/>
              <w:bottom w:w="90" w:type="dxa"/>
              <w:end w:w="100" w:type="dxa"/>
            </w:tcMar>
          </w:tcPr>
          <w:p>
            <w:pPr>
              <w:spacing w:after="0"/>
            </w:pPr>
            <w:r>
              <w:rPr>
                <w:rFonts w:ascii="Aptos" w:hAnsi="Aptos"/>
                <w:sz w:val="18"/>
              </w:rPr>
              <w:t>Removed “witness hierarchy” and “witness tier” as global-order language. Replaced them with claim-relative witness fidelity. No authority relation or universal ordering among witnesses is implied.</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Not claimed</w:t>
            </w:r>
          </w:p>
        </w:tc>
        <w:tc>
          <w:tcPr>
            <w:tcW w:type="dxa" w:w="7704"/>
            <w:vAlign w:val="center"/>
            <w:tcMar>
              <w:top w:w="90" w:type="dxa"/>
              <w:start w:w="100" w:type="dxa"/>
              <w:bottom w:w="90" w:type="dxa"/>
              <w:end w:w="100" w:type="dxa"/>
            </w:tcMar>
          </w:tcPr>
          <w:p>
            <w:pPr>
              <w:spacing w:after="0"/>
            </w:pPr>
            <w:r>
              <w:rPr>
                <w:rFonts w:ascii="Aptos" w:hAnsi="Aptos"/>
                <w:sz w:val="18"/>
              </w:rPr>
              <w:t>No identification of hidden implementation from output phenotype; no universal causal claim; no replacement of retained RAW by statistical reconstruction; no modification of unrelated frozen theory boundaries.</w:t>
            </w:r>
          </w:p>
        </w:tc>
      </w:tr>
      <w:tr>
        <w:trPr>
          <w:cantSplit/>
        </w:trPr>
        <w:tc>
          <w:tcPr>
            <w:tcW w:type="dxa" w:w="2376"/>
            <w:vAlign w:val="center"/>
            <w:tcMar>
              <w:top w:w="90" w:type="dxa"/>
              <w:start w:w="100" w:type="dxa"/>
              <w:bottom w:w="90" w:type="dxa"/>
              <w:end w:w="100" w:type="dxa"/>
            </w:tcMar>
          </w:tcPr>
          <w:p>
            <w:pPr>
              <w:spacing w:after="0"/>
            </w:pPr>
            <w:r>
              <w:rPr>
                <w:rFonts w:ascii="Aptos" w:hAnsi="Aptos"/>
                <w:sz w:val="18"/>
              </w:rPr>
              <w:t>Related continuity</w:t>
            </w:r>
          </w:p>
        </w:tc>
        <w:tc>
          <w:tcPr>
            <w:tcW w:type="dxa" w:w="7704"/>
            <w:vAlign w:val="center"/>
            <w:tcMar>
              <w:top w:w="90" w:type="dxa"/>
              <w:start w:w="100" w:type="dxa"/>
              <w:bottom w:w="90" w:type="dxa"/>
              <w:end w:w="100" w:type="dxa"/>
            </w:tcMar>
          </w:tcPr>
          <w:p>
            <w:pPr>
              <w:spacing w:after="0"/>
            </w:pPr>
            <w:r>
              <w:rPr>
                <w:rFonts w:ascii="Aptos" w:hAnsi="Aptos"/>
                <w:sz w:val="18"/>
              </w:rPr>
              <w:t>The Hidden Quotient in Operational Pipelines (2026-08-28): record the map at the layer where information loss occurs. v0.6 adds the complementary question: which source distinctions remain detectably non-equal at the observable image, and with what claim-relative witness fidelity?</w:t>
            </w:r>
          </w:p>
        </w:tc>
      </w:tr>
      <w:tr>
        <w:tc>
          <w:tcPr>
            <w:tcW w:type="dxa" w:w="4997"/>
          </w:tcPr>
          <w:p>
            <w:r>
              <w:t>New in v0.7</w:t>
            </w:r>
          </w:p>
        </w:tc>
        <w:tc>
          <w:tcPr>
            <w:tcW w:type="dxa" w:w="4997"/>
          </w:tcPr>
          <w:p>
            <w:r>
              <w:t>Transition fidelity; Open-Seam Atlas; typed seam and path records; route provenance; alternate-path, exit, and correction-binding coordinates; return residuals; rules 36-41; diagnostics GQG-E723 and GQG-E724; v0.7 execution and acceptance fields.</w:t>
            </w:r>
          </w:p>
        </w:tc>
      </w:tr>
    </w:tbl>
    <w:p>
      <w:pPr>
        <w:spacing w:after="80"/>
      </w:pPr>
    </w:p>
    <w:tbl>
      <w:tblPr>
        <w:tblStyle w:val="TableGrid"/>
        <w:tblW w:type="auto" w:w="0"/>
        <w:jc w:val="center"/>
        <w:tblLook w:firstColumn="1" w:firstRow="1" w:lastColumn="0" w:lastRow="0" w:noHBand="0" w:noVBand="1" w:val="04A0"/>
      </w:tblPr>
      <w:tblGrid>
        <w:gridCol w:w="1944"/>
        <w:gridCol w:w="8208"/>
      </w:tblGrid>
      <w:tr>
        <w:trPr>
          <w:cantSplit/>
        </w:trPr>
        <w:tc>
          <w:tcPr>
            <w:tcW w:type="dxa" w:w="4997"/>
            <w:tcMar>
              <w:top w:w="110" w:type="dxa"/>
              <w:start w:w="120" w:type="dxa"/>
              <w:bottom w:w="110" w:type="dxa"/>
              <w:end w:w="120" w:type="dxa"/>
            </w:tcMar>
            <w:vAlign w:val="center"/>
            <w:shd w:fill="E7E6E6"/>
          </w:tcPr>
          <w:p>
            <w:pPr>
              <w:jc w:val="center"/>
            </w:pPr>
            <w:r>
              <w:rPr>
                <w:b/>
                <w:sz w:val="19"/>
              </w:rPr>
              <w:t>Version seal</w:t>
            </w:r>
          </w:p>
        </w:tc>
        <w:tc>
          <w:tcPr>
            <w:tcW w:type="dxa" w:w="4997"/>
            <w:tcMar>
              <w:top w:w="110" w:type="dxa"/>
              <w:start w:w="120" w:type="dxa"/>
              <w:bottom w:w="110" w:type="dxa"/>
              <w:end w:w="120" w:type="dxa"/>
            </w:tcMar>
            <w:vAlign w:val="center"/>
            <w:shd w:fill="F7F7F7"/>
          </w:tcPr>
          <w:p>
            <w:r>
              <w:rPr>
                <w:sz w:val="19"/>
              </w:rPr>
              <w:t>GQG Core Card v0.7 is an append-only successor to v0.6. The v0.6 witness-fidelity artifact and v0.5 operational core remain valid preserved predecessors. v0.7 adds route and seam records; it does not silently revise earlier event classifications.</w:t>
            </w:r>
          </w:p>
        </w:tc>
      </w:tr>
    </w:tbl>
    <w:p>
      <w:pPr>
        <w:spacing w:after="80"/>
      </w:pPr>
    </w:p>
    <w:p>
      <w:r>
        <w:br w:type="page"/>
      </w:r>
    </w:p>
    <w:p>
      <w:pPr>
        <w:pStyle w:val="Heading1"/>
      </w:pPr>
      <w:r>
        <w:t>13. v0.7 governing extension: transition fidelity</w:t>
      </w:r>
    </w:p>
    <w:p>
      <w:pPr/>
      <w:r>
        <w:t>GQG v0.6 asks whether a witness preserves the source distinction relevant to a claim. v0.7 adds the corresponding transport question: when an observable object passes between witness architectures, which distinctions survive the transition, which route carried them, and what return state remains after composition?</w:t>
      </w:r>
    </w:p>
    <w:p>
      <w:pPr/>
      <w:r>
        <w:t>Transition fidelity is the faithfulness of a declared seam to the distinctions that a path-level claim requires. It is claim-relative, just as witness fidelity is. A transition may be faithful for a downstream label while losing the source magnitude, route, provenance, correction state, or sequence needed by a stronger claim.</w:t>
      </w:r>
    </w:p>
    <w:p>
      <w:pPr>
        <w:pStyle w:val="Law"/>
      </w:pPr>
      <w:r>
        <w:t>Transition fidelity = faithfulness of seam Σ_ij to the source, route, and return distinctions relevant to claim C</w:t>
      </w:r>
    </w:p>
    <w:p>
      <w:pPr/>
      <w:r>
        <w:t>A high-fidelity local witness does not guarantee a high-fidelity transition, and a faithful transition on one edge does not establish faithful composition along a path.</w:t>
      </w:r>
    </w:p>
    <w:p>
      <w:pPr>
        <w:pStyle w:val="Heading1"/>
      </w:pPr>
      <w:r>
        <w:t>14. The Open-Seam Atlas</w:t>
      </w:r>
    </w:p>
    <w:p>
      <w:pPr/>
      <w:r>
        <w:t>For each local chart i, retain the source, witness, quotient map, and witness-relative observable space:</w:t>
      </w:r>
    </w:p>
    <w:p>
      <w:pPr>
        <w:pStyle w:val="Law"/>
      </w:pPr>
      <w:r>
        <w:t>C_i = (P_i, Ω_i, q_i, Q_i),    Q_i = P_i / ~_{Ω_i}</w:t>
      </w:r>
    </w:p>
    <w:p>
      <w:pPr/>
      <w:r>
        <w:t>A directed seam from chart i to chart j is the typed record:</w:t>
      </w:r>
    </w:p>
    <w:p>
      <w:pPr>
        <w:pStyle w:val="Law"/>
      </w:pPr>
      <w:r>
        <w:t>Σ_ij = (D_ij, τ_ij, K_ij, ρ_ij, p_ij, g_ij, c_ij, e_ij, φ_ij)</w:t>
      </w:r>
    </w:p>
    <w:p>
      <w:pPr>
        <w:pStyle w:val="ListBullet"/>
      </w:pPr>
      <w:r>
        <w:t>D_ij is the declared domain on which the partial transition τ_ij is defined.</w:t>
      </w:r>
    </w:p>
    <w:p>
      <w:pPr>
        <w:pStyle w:val="ListBullet"/>
      </w:pPr>
      <w:r>
        <w:t>K_ij = Eq(τ_ij) records distinctions collapsed by that transition.</w:t>
      </w:r>
    </w:p>
    <w:p>
      <w:pPr>
        <w:pStyle w:val="ListBullet"/>
      </w:pPr>
      <w:r>
        <w:t>ρ_ij retains a residual or typed correspondence for distinctions not preserved by τ_ij.</w:t>
      </w:r>
    </w:p>
    <w:p>
      <w:pPr>
        <w:pStyle w:val="ListBullet"/>
      </w:pPr>
      <w:r>
        <w:t>p_ij records the transition's provenance and computational realization.</w:t>
      </w:r>
    </w:p>
    <w:p>
      <w:pPr>
        <w:pStyle w:val="ListBullet"/>
      </w:pPr>
      <w:r>
        <w:t>g_ij records whether the seam governs admission, weighting, adjudication, or closure.</w:t>
      </w:r>
    </w:p>
    <w:p>
      <w:pPr>
        <w:pStyle w:val="ListBullet"/>
      </w:pPr>
      <w:r>
        <w:t>c_ij records whether correction changes the governing transition rather than only its description.</w:t>
      </w:r>
    </w:p>
    <w:p>
      <w:pPr>
        <w:pStyle w:val="ListBullet"/>
      </w:pPr>
      <w:r>
        <w:t>e_ij records bypass, alternate-route, refusal, and exit state.</w:t>
      </w:r>
    </w:p>
    <w:p>
      <w:pPr>
        <w:pStyle w:val="ListBullet"/>
      </w:pPr>
      <w:r>
        <w:t>φ_ij records sequence, phase, clock, or order when path position matters.</w:t>
      </w:r>
    </w:p>
    <w:p>
      <w:pPr/>
      <w:r>
        <w:t>The atlas is A = ({C_i}, {Σ_ij}, Γ), where Γ is the directed route graph. The word atlas names a record architecture. It does not assert that the charts form a manifold, that every seam is invertible, or that a global object exists.</w:t>
      </w:r>
    </w:p>
    <w:p>
      <w:pPr>
        <w:pStyle w:val="Law"/>
      </w:pPr>
      <w:r>
        <w:t>A seam is typed transition data. It does not become an object, office, actor, or authority merely because other objects pass through it.</w:t>
      </w:r>
    </w:p>
    <w:p>
      <w:pPr>
        <w:pStyle w:val="Heading1"/>
      </w:pPr>
      <w:r>
        <w:t>15. Path composition, descent, and return</w:t>
      </w:r>
    </w:p>
    <w:p>
      <w:pPr/>
      <w:r>
        <w:t>For a path γ = (i_0, i_1, ..., i_n), define the composite τ_γ only on the iterated domain where adjacent types match and every required quotient-level transport has passed its descent test.</w:t>
      </w:r>
    </w:p>
    <w:p>
      <w:pPr>
        <w:pStyle w:val="Law"/>
      </w:pPr>
      <w:r>
        <w:t>τ_γ = τ_(i_{n-1}i_n) ∘ ... ∘ τ_(i_0i_1)</w:t>
      </w:r>
    </w:p>
    <w:p>
      <w:pPr/>
      <w:r>
        <w:t>Equal endpoints do not identify the path, the intermediate witnesses, or the distinctions lost along the way. Pairwise transitions do not prove that all local data glue into one global object.</w:t>
      </w:r>
    </w:p>
    <w:p>
      <w:pPr>
        <w:pStyle w:val="Law"/>
      </w:pPr>
      <w:r>
        <w:t>No path-level claim from endpoint equality alone; declare every seam, descent, residual, route, and loop state.</w:t>
      </w:r>
    </w:p>
    <w:p>
      <w:pPr/>
      <w:r>
        <w:t>When i_n = i_0, the path is a loop and H_γ := τ_γ is its return map. If H_γ(x) ≠ x, the path returns to the starting chart while carrying a difference. Record that difference as a typed return residual. Use the term holonomy only when the declared backend supplies the required structure.</w:t>
      </w:r>
    </w:p>
    <w:p>
      <w:pPr>
        <w:pStyle w:val="Law"/>
      </w:pPr>
      <w:r>
        <w:t>Return to a chart ≠ return to the same state.</w:t>
      </w:r>
    </w:p>
    <w:p>
      <w:pPr>
        <w:pStyle w:val="Heading1"/>
      </w:pPr>
      <w:r>
        <w:t>16. Governing-loss seam diagnostic</w:t>
      </w:r>
    </w:p>
    <w:p>
      <w:pPr/>
      <w:r>
        <w:t>A seam is a governing-loss seam when the declared record satisfies:</w:t>
      </w:r>
    </w:p>
    <w:p>
      <w:pPr>
        <w:pStyle w:val="Law"/>
      </w:pPr>
      <w:r>
        <w:t>Eq(τ_ij) ≠ Δ,    g_ij = 1,    c_ij = 0,    |Paths_Γ(i,j)| = 1</w:t>
      </w:r>
    </w:p>
    <w:p>
      <w:pPr/>
      <w:r>
        <w:t>The transition collapses at least one distinction, governs the downstream state, does not bind correction into that governing map, and presently occupies the only available route. This classification establishes a declared route condition. It does not identify an actor, motive, hidden implementation, persistent occupant, or intentional controller.</w:t>
      </w:r>
    </w:p>
    <w:p>
      <w:pPr>
        <w:pStyle w:val="Law"/>
      </w:pPr>
      <w:r>
        <w:t>edge/process -&gt; node/office -&gt; mandatory cut vertex</w:t>
      </w:r>
    </w:p>
    <w:p>
      <w:pPr>
        <w:pStyle w:val="Law"/>
      </w:pPr>
      <w:r>
        <w:t>mandatory cut vertex -&gt; inspectable seam + alternate paths + retained residual</w:t>
      </w:r>
    </w:p>
    <w:p>
      <w:pPr/>
      <w:r>
        <w:t>The triadic transformation (O,B,E):(1,1,0) -&gt; (1,0,1) is one route-level instance: the object remains present, one compulsory binding is demoted, and exit or alternate routing becomes available.</w:t>
      </w:r>
    </w:p>
    <w:p>
      <w:pPr>
        <w:pStyle w:val="Heading1"/>
      </w:pPr>
      <w:r>
        <w:t>17. Formation rules appended in v0.7</w:t>
      </w:r>
    </w:p>
    <w:p>
      <w:pPr/>
      <w:r>
        <w:t>Rules 1-35 remain in force unchanged. Append:</w:t>
      </w:r>
    </w:p>
    <w:p>
      <w:pPr>
        <w:pStyle w:val="ListBullet"/>
      </w:pPr>
      <w:r>
        <w:t>36. Typed-seam rule. Every transition declares its source chart, target chart, domain, transition map, witness pair, and realization provenance.</w:t>
      </w:r>
    </w:p>
    <w:p>
      <w:pPr>
        <w:pStyle w:val="ListBullet"/>
      </w:pPr>
      <w:r>
        <w:t>37. Descent-before-transport rule. A quotient-level transition is valid only when source equivalence implies target equivalence under the proposed map.</w:t>
      </w:r>
    </w:p>
    <w:p>
      <w:pPr>
        <w:pStyle w:val="ListBullet"/>
      </w:pPr>
      <w:r>
        <w:t>38. Route-provenance rule. Endpoint equality does not establish route equality. Preserve intermediate transitions, losses, residuals, sequence, and provenance when the claim depends on them.</w:t>
      </w:r>
    </w:p>
    <w:p>
      <w:pPr>
        <w:pStyle w:val="ListBullet"/>
      </w:pPr>
      <w:r>
        <w:t>39. Relation non-reification rule. A map, edge, classifier, translator, or service does not become an object, office, actor, or authority without an explicit type change and evidence for the promoted claim.</w:t>
      </w:r>
    </w:p>
    <w:p>
      <w:pPr>
        <w:pStyle w:val="ListBullet"/>
      </w:pPr>
      <w:r>
        <w:t>40. Loop-return rule. Return to the starting chart does not establish state repetition. Record the return map, residual, or backend-valid holonomy.</w:t>
      </w:r>
    </w:p>
    <w:p>
      <w:pPr>
        <w:pStyle w:val="ListBullet"/>
      </w:pPr>
      <w:r>
        <w:t>41. Governing-loss rule. Loss, governing position, correction binding, and alternate-path state are separate coordinates. Do not infer one from another or collapse them into one label.</w:t>
      </w:r>
    </w:p>
    <w:p>
      <w:pPr>
        <w:pStyle w:val="Heading1"/>
      </w:pPr>
      <w:r>
        <w:t>18. Operational diagnostics added in v0.7</w:t>
      </w:r>
    </w:p>
    <w:p>
      <w:pPr>
        <w:pStyle w:val="Heading2"/>
      </w:pPr>
      <w:r>
        <w:t>GQG-E723 · Endpoint-equality route erasure</w:t>
      </w:r>
    </w:p>
    <w:p>
      <w:pPr/>
      <w:r>
        <w:t>Raise when matching source and target labels, outputs, or states are used to declare two paths equivalent while their intermediate witnesses, transition maps, losses, provenance, correction states, or sequence remain different or unrecorded.</w:t>
      </w:r>
    </w:p>
    <w:p>
      <w:pPr>
        <w:pStyle w:val="Heading2"/>
      </w:pPr>
      <w:r>
        <w:t>GQG-E724 · Relation reification</w:t>
      </w:r>
    </w:p>
    <w:p>
      <w:pPr/>
      <w:r>
        <w:t>Raise when an edge, transition, process, classifier, translator, or service is silently promoted into an object, office, actor, authority, or necessary seat without a declared type change and supporting witness.</w:t>
      </w:r>
    </w:p>
    <w:p>
      <w:pPr>
        <w:pStyle w:val="Heading1"/>
      </w:pPr>
      <w:r>
        <w:t>19. Minimal v0.7 seam and path record</w:t>
      </w:r>
    </w:p>
    <w:p>
      <w:pPr>
        <w:pStyle w:val="CodeSmall"/>
      </w:pPr>
      <w:r>
        <w:t>gqg_version: 0.7</w:t>
      </w:r>
    </w:p>
    <w:p>
      <w:pPr>
        <w:pStyle w:val="CodeSmall"/>
      </w:pPr>
      <w:r>
        <w:t>inherits: 0.6</w:t>
      </w:r>
    </w:p>
    <w:p>
      <w:pPr>
        <w:pStyle w:val="CodeSmall"/>
      </w:pPr>
      <w:r>
        <w:t>open_seam_atlas:</w:t>
      </w:r>
    </w:p>
    <w:p>
      <w:pPr>
        <w:pStyle w:val="CodeSmall"/>
      </w:pPr>
      <w:r>
        <w:t xml:space="preserve">  atlas_id: null</w:t>
      </w:r>
    </w:p>
    <w:p>
      <w:pPr>
        <w:pStyle w:val="CodeSmall"/>
      </w:pPr>
      <w:r>
        <w:t xml:space="preserve">  charts: []</w:t>
      </w:r>
    </w:p>
    <w:p>
      <w:pPr>
        <w:pStyle w:val="CodeSmall"/>
      </w:pPr>
      <w:r>
        <w:t xml:space="preserve">  seams:</w:t>
      </w:r>
    </w:p>
    <w:p>
      <w:pPr>
        <w:pStyle w:val="CodeSmall"/>
      </w:pPr>
      <w:r>
        <w:t xml:space="preserve">    - seam_id: null</w:t>
      </w:r>
    </w:p>
    <w:p>
      <w:pPr>
        <w:pStyle w:val="CodeSmall"/>
      </w:pPr>
      <w:r>
        <w:t xml:space="preserve">      source_chart_id: null</w:t>
      </w:r>
    </w:p>
    <w:p>
      <w:pPr>
        <w:pStyle w:val="CodeSmall"/>
      </w:pPr>
      <w:r>
        <w:t xml:space="preserve">      target_chart_id: null</w:t>
      </w:r>
    </w:p>
    <w:p>
      <w:pPr>
        <w:pStyle w:val="CodeSmall"/>
      </w:pPr>
      <w:r>
        <w:t xml:space="preserve">      domain: null</w:t>
      </w:r>
    </w:p>
    <w:p>
      <w:pPr>
        <w:pStyle w:val="CodeSmall"/>
      </w:pPr>
      <w:r>
        <w:t xml:space="preserve">      transition_map: null</w:t>
      </w:r>
    </w:p>
    <w:p>
      <w:pPr>
        <w:pStyle w:val="CodeSmall"/>
      </w:pPr>
      <w:r>
        <w:t xml:space="preserve">      source_witness_id: null</w:t>
      </w:r>
    </w:p>
    <w:p>
      <w:pPr>
        <w:pStyle w:val="CodeSmall"/>
      </w:pPr>
      <w:r>
        <w:t xml:space="preserve">      target_witness_id: null</w:t>
      </w:r>
    </w:p>
    <w:p>
      <w:pPr>
        <w:pStyle w:val="CodeSmall"/>
      </w:pPr>
      <w:r>
        <w:t xml:space="preserve">      descent_condition: null</w:t>
      </w:r>
    </w:p>
    <w:p>
      <w:pPr>
        <w:pStyle w:val="CodeSmall"/>
      </w:pPr>
      <w:r>
        <w:t xml:space="preserve">      descent_status: unknown</w:t>
      </w:r>
    </w:p>
    <w:p>
      <w:pPr>
        <w:pStyle w:val="CodeSmall"/>
      </w:pPr>
      <w:r>
        <w:t xml:space="preserve">      collapsed_distinctions: []</w:t>
      </w:r>
    </w:p>
    <w:p>
      <w:pPr>
        <w:pStyle w:val="CodeSmall"/>
      </w:pPr>
      <w:r>
        <w:t xml:space="preserve">      retained_residual: null</w:t>
      </w:r>
    </w:p>
    <w:p>
      <w:pPr>
        <w:pStyle w:val="CodeSmall"/>
      </w:pPr>
      <w:r>
        <w:t xml:space="preserve">      provenance_edge: null</w:t>
      </w:r>
    </w:p>
    <w:p>
      <w:pPr>
        <w:pStyle w:val="CodeSmall"/>
      </w:pPr>
      <w:r>
        <w:t xml:space="preserve">      governing_status: unknown</w:t>
      </w:r>
    </w:p>
    <w:p>
      <w:pPr>
        <w:pStyle w:val="CodeSmall"/>
      </w:pPr>
      <w:r>
        <w:t xml:space="preserve">      correction_binds: unknown</w:t>
      </w:r>
    </w:p>
    <w:p>
      <w:pPr>
        <w:pStyle w:val="CodeSmall"/>
      </w:pPr>
      <w:r>
        <w:t xml:space="preserve">      alternate_paths: []</w:t>
      </w:r>
    </w:p>
    <w:p>
      <w:pPr>
        <w:pStyle w:val="CodeSmall"/>
      </w:pPr>
      <w:r>
        <w:t xml:space="preserve">      exit_state: unknown</w:t>
      </w:r>
    </w:p>
    <w:p>
      <w:pPr>
        <w:pStyle w:val="CodeSmall"/>
      </w:pPr>
      <w:r>
        <w:t xml:space="preserve">      sequence_or_phase: null</w:t>
      </w:r>
    </w:p>
    <w:p>
      <w:pPr>
        <w:pStyle w:val="CodeSmall"/>
      </w:pPr>
      <w:r>
        <w:t xml:space="preserve">      loop_id: null</w:t>
      </w:r>
    </w:p>
    <w:p>
      <w:pPr>
        <w:pStyle w:val="CodeSmall"/>
      </w:pPr>
      <w:r>
        <w:t xml:space="preserve">      return_residual_or_holonomy: null</w:t>
      </w:r>
    </w:p>
    <w:p>
      <w:pPr>
        <w:pStyle w:val="CodeSmall"/>
      </w:pPr>
      <w:r>
        <w:t>path_claim:</w:t>
      </w:r>
    </w:p>
    <w:p>
      <w:pPr>
        <w:pStyle w:val="CodeSmall"/>
      </w:pPr>
      <w:r>
        <w:t xml:space="preserve">  path_id: null</w:t>
      </w:r>
    </w:p>
    <w:p>
      <w:pPr>
        <w:pStyle w:val="CodeSmall"/>
      </w:pPr>
      <w:r>
        <w:t xml:space="preserve">  ordered_seam_ids: []</w:t>
      </w:r>
    </w:p>
    <w:p>
      <w:pPr>
        <w:pStyle w:val="CodeSmall"/>
      </w:pPr>
      <w:r>
        <w:t xml:space="preserve">  iterated_domain: null</w:t>
      </w:r>
    </w:p>
    <w:p>
      <w:pPr>
        <w:pStyle w:val="CodeSmall"/>
      </w:pPr>
      <w:r>
        <w:t xml:space="preserve">  endpoint_relation: null</w:t>
      </w:r>
    </w:p>
    <w:p>
      <w:pPr>
        <w:pStyle w:val="CodeSmall"/>
      </w:pPr>
      <w:r>
        <w:t xml:space="preserve">  route_equivalence_tested: false</w:t>
      </w:r>
    </w:p>
    <w:p>
      <w:pPr>
        <w:pStyle w:val="CodeSmall"/>
      </w:pPr>
      <w:r>
        <w:t xml:space="preserve">  global_gluing_established: false</w:t>
      </w:r>
    </w:p>
    <w:p>
      <w:pPr>
        <w:pStyle w:val="CodeSmall"/>
      </w:pPr>
      <w:r>
        <w:t xml:space="preserve">  hidden_actor_identified: false</w:t>
      </w:r>
    </w:p>
    <w:p>
      <w:pPr>
        <w:pStyle w:val="Heading1"/>
      </w:pPr>
      <w:r>
        <w:t>20. v0.7 acceptance target</w:t>
      </w:r>
    </w:p>
    <w:p>
      <w:pPr/>
      <w:r>
        <w:t>A conforming v0.7 implementation must satisfy all v0.6 acceptance targets and additionally:</w:t>
      </w:r>
    </w:p>
    <w:p>
      <w:pPr>
        <w:pStyle w:val="ListBullet"/>
      </w:pPr>
      <w:r>
        <w:t>declare every chart and seam used by a path-level claim;</w:t>
      </w:r>
    </w:p>
    <w:p>
      <w:pPr>
        <w:pStyle w:val="ListBullet"/>
      </w:pPr>
      <w:r>
        <w:t>prove or mark unknown the descent condition for every quotient-level transition;</w:t>
      </w:r>
    </w:p>
    <w:p>
      <w:pPr>
        <w:pStyle w:val="ListBullet"/>
      </w:pPr>
      <w:r>
        <w:t>retain route provenance when endpoint equality cannot reconstruct the path;</w:t>
      </w:r>
    </w:p>
    <w:p>
      <w:pPr>
        <w:pStyle w:val="ListBullet"/>
      </w:pPr>
      <w:r>
        <w:t>record loss, governing status, correction binding, and alternate-path state separately;</w:t>
      </w:r>
    </w:p>
    <w:p>
      <w:pPr>
        <w:pStyle w:val="ListBullet"/>
      </w:pPr>
      <w:r>
        <w:t>avoid reifying a relation or service into an occupant, office, actor, or authority without a separate witness;</w:t>
      </w:r>
    </w:p>
    <w:p>
      <w:pPr>
        <w:pStyle w:val="ListBullet"/>
      </w:pPr>
      <w:r>
        <w:t>distinguish exact loop return, reproducible transformed return, and unstable drift;</w:t>
      </w:r>
    </w:p>
    <w:p>
      <w:pPr>
        <w:pStyle w:val="ListBullet"/>
      </w:pPr>
      <w:r>
        <w:t>reserve physical holonomy claims for backends that supply the required structure;</w:t>
      </w:r>
    </w:p>
    <w:p>
      <w:pPr>
        <w:pStyle w:val="ListBullet"/>
      </w:pPr>
      <w:r>
        <w:t>keep local chart agreement separate from existence of a global glued object; and</w:t>
      </w:r>
    </w:p>
    <w:p>
      <w:pPr>
        <w:pStyle w:val="ListBullet"/>
      </w:pPr>
      <w:r>
        <w:t>report governing-loss structure separately from any claim about motive, implementation, or intentional control.</w:t>
      </w:r>
    </w:p>
    <w:p>
      <w:pPr>
        <w:pStyle w:val="Heading1"/>
      </w:pPr>
      <w:r>
        <w:t>21. Compact laws appended in v0.7</w:t>
      </w:r>
    </w:p>
    <w:p>
      <w:pPr>
        <w:pStyle w:val="Law"/>
      </w:pPr>
      <w:r>
        <w:t>Witness fidelity does not imply transition fidelity.</w:t>
      </w:r>
    </w:p>
    <w:p>
      <w:pPr>
        <w:pStyle w:val="Law"/>
      </w:pPr>
      <w:r>
        <w:t>Faithful edges do not automatically compose into a faithful path.</w:t>
      </w:r>
    </w:p>
    <w:p>
      <w:pPr>
        <w:pStyle w:val="Law"/>
      </w:pPr>
      <w:r>
        <w:t>Endpoint equality ≠ route equality.</w:t>
      </w:r>
    </w:p>
    <w:p>
      <w:pPr>
        <w:pStyle w:val="Law"/>
      </w:pPr>
      <w:r>
        <w:t>Pairwise compatibility ≠ global gluing.</w:t>
      </w:r>
    </w:p>
    <w:p>
      <w:pPr>
        <w:pStyle w:val="Law"/>
      </w:pPr>
      <w:r>
        <w:t>Relation ≠ occupant.</w:t>
      </w:r>
    </w:p>
    <w:p>
      <w:pPr>
        <w:pStyle w:val="Law"/>
      </w:pPr>
      <w:r>
        <w:t>Useful service ≠ necessary seat.</w:t>
      </w:r>
    </w:p>
    <w:p>
      <w:pPr>
        <w:pStyle w:val="Law"/>
      </w:pPr>
      <w:r>
        <w:t>Return to chart ≠ return to state.</w:t>
      </w:r>
    </w:p>
    <w:p>
      <w:pPr>
        <w:pStyle w:val="Law"/>
      </w:pPr>
      <w:r>
        <w:t>Loss ≠ control; control ≠ motive.</w:t>
      </w:r>
    </w:p>
    <w:p>
      <w:pPr>
        <w:pStyle w:val="Law"/>
      </w:pPr>
      <w:r>
        <w:t>A single route is a topological fact, not an actor claim.</w:t>
      </w:r>
    </w:p>
    <w:p>
      <w:pPr>
        <w:pStyle w:val="Law"/>
      </w:pPr>
      <w:r>
        <w:t>Keep the seam, the residual, the alternate path, and the exit visible.</w:t>
      </w:r>
    </w:p>
    <w:p>
      <w:pPr>
        <w:pStyle w:val="Heading1"/>
      </w:pPr>
      <w:r>
        <w:t>22. v0.7 provenance and version seal</w:t>
      </w:r>
    </w:p>
    <w:p>
      <w:pPr/>
      <w:r>
        <w:t>Inherited without modification: GQG Core Card v0.6 claim-relative witness fidelity, external residual witness geometry, self-report boundary, rules 33-35, GQG-E722, execution fields, acceptance targets, and compact laws.</w:t>
      </w:r>
    </w:p>
    <w:p>
      <w:pPr/>
      <w:r>
        <w:t>New in v0.7: transition fidelity, the Open-Seam Atlas, typed seam and path records, route provenance, return residuals, rules 36-41, GQG-E723, GQG-E724, and the v0.7 acceptance and compact laws.</w:t>
      </w:r>
    </w:p>
    <w:p>
      <w:pPr/>
      <w:r>
        <w:t>Not claimed: no universal cross-domain mechanism; no hidden implementation inferred from route phenotype; no actor, motive, or occupant inferred from a governing seam; no physical holonomy without a valid backend; and no global object inferred from pairwise transitions alone.</w:t>
      </w:r>
    </w:p>
    <w:p>
      <w:pPr>
        <w:pStyle w:val="Law"/>
      </w:pPr>
      <w:r>
        <w:t>Version seal: GQG Core Card v0.7 is a separate provenance state and an append-only successor to v0.6. Earlier records remain valid at their declared version. The new geometry adds the routes between witness-relative objects without collapsing those objects into one mechanism.</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CC0 - Public Domain - No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GQG Core Card v0.7  |  Open-Seam Extension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w">
    <w:name w:val="Law"/>
    <w:pPr>
      <w:spacing w:before="120" w:after="120"/>
      <w:ind w:left="360" w:right="360"/>
    </w:pPr>
    <w:rPr>
      <w:rFonts w:ascii="Aptos" w:hAnsi="Aptos"/>
      <w:b/>
      <w:sz w:val="22"/>
    </w:rPr>
  </w:style>
  <w:style w:type="paragraph" w:customStyle="1" w:styleId="CodeSmall">
    <w:name w:val="CodeSmall"/>
    <w:pPr>
      <w:spacing w:after="0" w:before="0"/>
      <w:ind w:left="432"/>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GQG Core Card v0.6 - Witness Fidelity</dc:title>
  <dc:subject>External residual witness and claim-relative witness fidelity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