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24F3F3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2D573D">
          <w:t>4</w:t>
        </w:r>
        <w:r w:rsidR="00383FBE">
          <w:t>1</w:t>
        </w:r>
        <w:r w:rsidR="002D573D">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B435B5">
        <w:t>regulatory</w:t>
      </w:r>
      <w:r w:rsidR="002D573D">
        <w:t xml:space="preserve"> </w:t>
      </w:r>
      <w:r w:rsidR="00592B24">
        <w:t>requirements</w:t>
      </w:r>
      <w:r w:rsidR="005E6601">
        <w:fldChar w:fldCharType="end"/>
      </w:r>
      <w:bookmarkEnd w:id="1"/>
    </w:p>
    <w:p w14:paraId="57094A2B" w14:textId="77777777" w:rsidR="00383FBE" w:rsidRPr="000F6515" w:rsidRDefault="00383FBE" w:rsidP="00383FBE">
      <w:pPr>
        <w:pStyle w:val="Level1"/>
        <w:numPr>
          <w:ilvl w:val="0"/>
          <w:numId w:val="17"/>
        </w:numPr>
      </w:pPr>
      <w:r w:rsidRPr="0009729B">
        <w:t>General</w:t>
      </w:r>
    </w:p>
    <w:p w14:paraId="1A6F340E" w14:textId="77777777" w:rsidR="00383FBE" w:rsidRPr="009603C6" w:rsidRDefault="00383FBE" w:rsidP="00383FBE">
      <w:pPr>
        <w:pStyle w:val="Level2"/>
        <w:numPr>
          <w:ilvl w:val="1"/>
          <w:numId w:val="17"/>
        </w:numPr>
        <w:rPr>
          <w:bCs/>
        </w:rPr>
      </w:pPr>
      <w:r w:rsidRPr="009603C6">
        <w:t>AUTHORITIES HAVING JURISDICTION</w:t>
      </w:r>
    </w:p>
    <w:p w14:paraId="372CCE29" w14:textId="77777777" w:rsidR="00383FBE" w:rsidRPr="00E722C4" w:rsidRDefault="00383FBE" w:rsidP="00383FBE">
      <w:pPr>
        <w:pStyle w:val="Level3"/>
        <w:keepNext w:val="0"/>
        <w:widowControl/>
        <w:numPr>
          <w:ilvl w:val="2"/>
          <w:numId w:val="17"/>
        </w:numPr>
        <w:ind w:left="1440"/>
      </w:pPr>
      <w:r w:rsidRPr="00E722C4">
        <w:t xml:space="preserve">Where reference </w:t>
      </w:r>
      <w:r>
        <w:t xml:space="preserve">is </w:t>
      </w:r>
      <w:r w:rsidRPr="00E722C4">
        <w:t>made to "authorities having jurisdiction", it shall mean all authorities who have within their constituted powers the right to enforce the laws of the place of the building.</w:t>
      </w:r>
    </w:p>
    <w:p w14:paraId="4CEDC2E6" w14:textId="77777777" w:rsidR="00383FBE" w:rsidRPr="00E722C4" w:rsidRDefault="00383FBE" w:rsidP="00383FBE">
      <w:pPr>
        <w:pStyle w:val="Level2"/>
        <w:numPr>
          <w:ilvl w:val="1"/>
          <w:numId w:val="17"/>
        </w:numPr>
        <w:rPr>
          <w:bCs/>
        </w:rPr>
      </w:pPr>
      <w:r w:rsidRPr="00E722C4">
        <w:t>DEFINITIONS</w:t>
      </w:r>
    </w:p>
    <w:p w14:paraId="585AE0BF" w14:textId="77777777" w:rsidR="00383FBE" w:rsidRPr="00E722C4" w:rsidRDefault="00383FBE" w:rsidP="00383FBE">
      <w:pPr>
        <w:pStyle w:val="Level3"/>
        <w:keepNext w:val="0"/>
        <w:widowControl/>
        <w:numPr>
          <w:ilvl w:val="2"/>
          <w:numId w:val="17"/>
        </w:numPr>
        <w:ind w:left="1440"/>
      </w:pPr>
      <w:r w:rsidRPr="00E722C4">
        <w:t>The "Constructor" named in the latest addition of The Occupational Health and Safety Act, and the Workplace Safety and Insurance Board (WSIB) Regulations, of the Province of the place of the Work, including any amendments, shall mean the "Contractor" for the work performed under this Specification.</w:t>
      </w:r>
    </w:p>
    <w:p w14:paraId="316CEE82" w14:textId="77777777" w:rsidR="00383FBE" w:rsidRPr="00E722C4" w:rsidRDefault="00383FBE" w:rsidP="00383FBE">
      <w:pPr>
        <w:pStyle w:val="Level2"/>
        <w:numPr>
          <w:ilvl w:val="1"/>
          <w:numId w:val="17"/>
        </w:numPr>
        <w:rPr>
          <w:bCs/>
        </w:rPr>
      </w:pPr>
      <w:r w:rsidRPr="00E722C4">
        <w:t>FIRE PREVENTION AND SAFETY</w:t>
      </w:r>
    </w:p>
    <w:p w14:paraId="3B06B304" w14:textId="77777777" w:rsidR="00383FBE" w:rsidRPr="00E722C4" w:rsidRDefault="00383FBE" w:rsidP="00383FBE">
      <w:pPr>
        <w:pStyle w:val="Level3"/>
        <w:keepNext w:val="0"/>
        <w:widowControl/>
        <w:numPr>
          <w:ilvl w:val="2"/>
          <w:numId w:val="17"/>
        </w:numPr>
        <w:ind w:left="1440"/>
      </w:pPr>
      <w:r w:rsidRPr="00E722C4">
        <w:t xml:space="preserve">Enforce fire protection methods, good housekeeping, and adherence to local and underwriter's fire regulations.  Provide ULC approved fire extinguishers, and other fire fighting services and equipment except where </w:t>
      </w:r>
      <w:bookmarkStart w:id="2" w:name="QuickMark"/>
      <w:bookmarkEnd w:id="2"/>
      <w:r w:rsidRPr="00E722C4">
        <w:t>more explicit requirements are specified as the responsibility of individual Sections.</w:t>
      </w:r>
    </w:p>
    <w:p w14:paraId="0B0E665D" w14:textId="77777777" w:rsidR="00383FBE" w:rsidRPr="00E722C4" w:rsidRDefault="00383FBE" w:rsidP="00383FBE">
      <w:pPr>
        <w:pStyle w:val="Level3"/>
        <w:keepNext w:val="0"/>
        <w:widowControl/>
        <w:numPr>
          <w:ilvl w:val="2"/>
          <w:numId w:val="17"/>
        </w:numPr>
        <w:ind w:left="1440"/>
      </w:pPr>
      <w:r w:rsidRPr="00E722C4">
        <w:t>Maintain clear emergency exit paths for personnel at all times.</w:t>
      </w:r>
    </w:p>
    <w:p w14:paraId="4279C352" w14:textId="77777777" w:rsidR="00383FBE" w:rsidRPr="00E722C4" w:rsidRDefault="00383FBE" w:rsidP="00383FBE">
      <w:pPr>
        <w:pStyle w:val="Level3"/>
        <w:keepNext w:val="0"/>
        <w:widowControl/>
        <w:numPr>
          <w:ilvl w:val="2"/>
          <w:numId w:val="17"/>
        </w:numPr>
        <w:ind w:left="1440"/>
      </w:pPr>
      <w:r w:rsidRPr="00E722C4">
        <w:t>Use only fire-resistant tarpaulins and similar protective covering on site.</w:t>
      </w:r>
    </w:p>
    <w:p w14:paraId="5446E9D8" w14:textId="77777777" w:rsidR="00383FBE" w:rsidRPr="00E722C4" w:rsidRDefault="00383FBE" w:rsidP="00383FBE">
      <w:pPr>
        <w:pStyle w:val="Level2"/>
        <w:numPr>
          <w:ilvl w:val="1"/>
          <w:numId w:val="17"/>
        </w:numPr>
        <w:rPr>
          <w:bCs/>
        </w:rPr>
      </w:pPr>
      <w:r w:rsidRPr="00E722C4">
        <w:t>FIRE PROTECTION OF STRUCTURE</w:t>
      </w:r>
    </w:p>
    <w:p w14:paraId="3F85E121" w14:textId="77777777" w:rsidR="00383FBE" w:rsidRPr="00E722C4" w:rsidRDefault="00383FBE" w:rsidP="00383FBE">
      <w:pPr>
        <w:pStyle w:val="Level3"/>
        <w:keepNext w:val="0"/>
        <w:widowControl/>
        <w:numPr>
          <w:ilvl w:val="2"/>
          <w:numId w:val="17"/>
        </w:numPr>
        <w:ind w:left="1440"/>
      </w:pPr>
      <w:r w:rsidRPr="00E722C4">
        <w:t>Ensure that nothing subverts the integrity of fire protection provided for the building structure.</w:t>
      </w:r>
    </w:p>
    <w:p w14:paraId="0E1A8AC7" w14:textId="77777777" w:rsidR="00383FBE" w:rsidRPr="00E722C4" w:rsidRDefault="00383FBE" w:rsidP="00383FBE">
      <w:pPr>
        <w:pStyle w:val="Level3"/>
        <w:keepNext w:val="0"/>
        <w:widowControl/>
        <w:numPr>
          <w:ilvl w:val="2"/>
          <w:numId w:val="17"/>
        </w:numPr>
        <w:ind w:left="1440"/>
      </w:pPr>
      <w:r w:rsidRPr="00E722C4">
        <w:t>Provide fire protection of structural members for their entire length and girth.</w:t>
      </w:r>
    </w:p>
    <w:p w14:paraId="2B4ABB54" w14:textId="77777777" w:rsidR="00383FBE" w:rsidRPr="00E722C4" w:rsidRDefault="00383FBE" w:rsidP="00383FBE">
      <w:pPr>
        <w:pStyle w:val="Level3"/>
        <w:keepNext w:val="0"/>
        <w:widowControl/>
        <w:numPr>
          <w:ilvl w:val="2"/>
          <w:numId w:val="17"/>
        </w:numPr>
        <w:ind w:left="1440"/>
      </w:pPr>
      <w:r w:rsidRPr="00E722C4">
        <w:t>Coordinate work of all Sections so that they do not encroach on space required for fire protection and its installation.  Ensure that fire protection damaged during construction is totally replaced.</w:t>
      </w:r>
    </w:p>
    <w:p w14:paraId="6D01407B" w14:textId="77777777" w:rsidR="00383FBE" w:rsidRPr="00E722C4" w:rsidRDefault="00383FBE" w:rsidP="00383FBE">
      <w:pPr>
        <w:pStyle w:val="Level2"/>
        <w:numPr>
          <w:ilvl w:val="1"/>
          <w:numId w:val="17"/>
        </w:numPr>
        <w:rPr>
          <w:bCs/>
        </w:rPr>
      </w:pPr>
      <w:r w:rsidRPr="00E722C4">
        <w:t>FIRE SEPARATIONS</w:t>
      </w:r>
    </w:p>
    <w:p w14:paraId="6413AD03" w14:textId="77777777" w:rsidR="00383FBE" w:rsidRPr="00E722C4" w:rsidRDefault="00383FBE" w:rsidP="00383FBE">
      <w:pPr>
        <w:pStyle w:val="Level3"/>
        <w:keepNext w:val="0"/>
        <w:widowControl/>
        <w:numPr>
          <w:ilvl w:val="2"/>
          <w:numId w:val="17"/>
        </w:numPr>
        <w:ind w:left="1440"/>
      </w:pPr>
      <w:r w:rsidRPr="00E722C4">
        <w:t>Ensure that fire separations are installed to maintain total integrity and that they are not diminished or breached by work following their installation.</w:t>
      </w:r>
    </w:p>
    <w:p w14:paraId="61E12F85" w14:textId="77777777" w:rsidR="00383FBE" w:rsidRPr="00E722C4" w:rsidRDefault="00383FBE" w:rsidP="00383FBE">
      <w:pPr>
        <w:pStyle w:val="Level3"/>
        <w:keepNext w:val="0"/>
        <w:widowControl/>
        <w:numPr>
          <w:ilvl w:val="2"/>
          <w:numId w:val="17"/>
        </w:numPr>
        <w:ind w:left="1440"/>
      </w:pPr>
      <w:r w:rsidRPr="00E722C4">
        <w:t>Replace fire separations which have suffered a lessening of their required rating during construction.</w:t>
      </w:r>
    </w:p>
    <w:p w14:paraId="16E8DC95" w14:textId="77777777" w:rsidR="00383FBE" w:rsidRPr="00E722C4" w:rsidRDefault="00383FBE" w:rsidP="00383FBE">
      <w:pPr>
        <w:pStyle w:val="Level2"/>
        <w:numPr>
          <w:ilvl w:val="1"/>
          <w:numId w:val="17"/>
        </w:numPr>
        <w:rPr>
          <w:bCs/>
        </w:rPr>
      </w:pPr>
      <w:r w:rsidRPr="00E722C4">
        <w:t>WASTE MANAGEMENT</w:t>
      </w:r>
    </w:p>
    <w:p w14:paraId="7E62FCBE" w14:textId="77777777" w:rsidR="00383FBE" w:rsidRPr="00E722C4" w:rsidRDefault="00383FBE" w:rsidP="00383FBE">
      <w:pPr>
        <w:pStyle w:val="Level3"/>
        <w:keepNext w:val="0"/>
        <w:widowControl/>
        <w:numPr>
          <w:ilvl w:val="2"/>
          <w:numId w:val="17"/>
        </w:numPr>
        <w:ind w:left="1440"/>
      </w:pPr>
      <w:r>
        <w:t xml:space="preserve">Comply with all applicable regulations and requirements of the place of the Work. Waste Audits and Waste Reduction Workplans, Industrial, Commercial and Institutional Source Separation Programs under the Environmental Protection Act of the place of the Work, including preparing and submitting waste audit and reduction plan specified in </w:t>
      </w:r>
      <w:r>
        <w:br/>
        <w:t>Section 01 74 19.</w:t>
      </w:r>
    </w:p>
    <w:p w14:paraId="36870334" w14:textId="77777777" w:rsidR="00383FBE" w:rsidRPr="00E722C4" w:rsidRDefault="00383FBE" w:rsidP="00383FBE">
      <w:pPr>
        <w:pStyle w:val="Level2"/>
        <w:numPr>
          <w:ilvl w:val="1"/>
          <w:numId w:val="17"/>
        </w:numPr>
        <w:rPr>
          <w:bCs/>
        </w:rPr>
      </w:pPr>
      <w:r w:rsidRPr="00E722C4">
        <w:t>ENERGY EFFICIENCY</w:t>
      </w:r>
    </w:p>
    <w:p w14:paraId="7492B73B" w14:textId="77777777" w:rsidR="00383FBE" w:rsidRPr="00E722C4" w:rsidRDefault="00383FBE" w:rsidP="00383FBE">
      <w:pPr>
        <w:pStyle w:val="Level3"/>
        <w:keepNext w:val="0"/>
        <w:widowControl/>
        <w:numPr>
          <w:ilvl w:val="2"/>
          <w:numId w:val="17"/>
        </w:numPr>
        <w:ind w:left="1440"/>
      </w:pPr>
      <w:r w:rsidRPr="00E722C4">
        <w:t>The building has been designed and will be constructed by the Contractor to high quality engineering practice as described in ASHRAE/IES 90.1, "Energy Efficient Design of New Buildings Except Low-rise Residential Buildings" as interpreted by the "Guidelines for the Interpretation of ASHRAE/IES 90.1".</w:t>
      </w:r>
    </w:p>
    <w:p w14:paraId="3B8C4E5E" w14:textId="77777777" w:rsidR="00383FBE" w:rsidRPr="00E722C4" w:rsidRDefault="00383FBE" w:rsidP="00383FBE">
      <w:pPr>
        <w:pStyle w:val="Level2"/>
        <w:keepLines/>
        <w:numPr>
          <w:ilvl w:val="1"/>
          <w:numId w:val="17"/>
        </w:numPr>
        <w:rPr>
          <w:bCs/>
        </w:rPr>
      </w:pPr>
      <w:r w:rsidRPr="00E722C4">
        <w:lastRenderedPageBreak/>
        <w:t>REQUIREMENTS OF REGULATORY AGENCIES</w:t>
      </w:r>
    </w:p>
    <w:p w14:paraId="10A73069" w14:textId="77777777" w:rsidR="00383FBE" w:rsidRPr="00E722C4" w:rsidRDefault="00383FBE" w:rsidP="00383FBE">
      <w:pPr>
        <w:pStyle w:val="Level3"/>
        <w:keepLines/>
        <w:widowControl/>
        <w:numPr>
          <w:ilvl w:val="2"/>
          <w:numId w:val="17"/>
        </w:numPr>
        <w:ind w:left="1440"/>
      </w:pPr>
      <w:r w:rsidRPr="00E722C4">
        <w:t xml:space="preserve">Work shall include protection measures consisting of materials constructions and methods, and first-aid equipment and personnel, required by the latest edition of The Occupational Health and Safety Act, and the Workplace Safety and Insurance Board (WSIB) Regulations, of the Province of Ontario, and as otherwise imposed by </w:t>
      </w:r>
      <w:r>
        <w:t xml:space="preserve">authorities having </w:t>
      </w:r>
      <w:r w:rsidRPr="006F147F">
        <w:t>jurisdiction</w:t>
      </w:r>
      <w:r w:rsidRPr="00E722C4">
        <w:t xml:space="preserve"> to save persons and property from harm.</w:t>
      </w:r>
    </w:p>
    <w:p w14:paraId="78F8F1D3" w14:textId="77777777" w:rsidR="00383FBE" w:rsidRPr="00E722C4" w:rsidRDefault="00383FBE" w:rsidP="00383FBE">
      <w:pPr>
        <w:pStyle w:val="Level3"/>
        <w:keepLines/>
        <w:widowControl/>
        <w:numPr>
          <w:ilvl w:val="2"/>
          <w:numId w:val="17"/>
        </w:numPr>
        <w:ind w:left="1440"/>
      </w:pPr>
      <w:r w:rsidRPr="00E722C4">
        <w:t>Ensure that pollution, noise pollution and environmental control of construction activities are exercised as required during the work.</w:t>
      </w:r>
    </w:p>
    <w:p w14:paraId="01622903" w14:textId="77777777" w:rsidR="00383FBE" w:rsidRPr="00E722C4" w:rsidRDefault="00383FBE" w:rsidP="00383FBE">
      <w:pPr>
        <w:pStyle w:val="Level3"/>
        <w:keepNext w:val="0"/>
        <w:widowControl/>
        <w:numPr>
          <w:ilvl w:val="2"/>
          <w:numId w:val="17"/>
        </w:numPr>
        <w:ind w:left="1440"/>
      </w:pPr>
      <w:r w:rsidRPr="00E722C4">
        <w:t>Except where special permission is obtained, maintain clear access for roads and sidewalks on public property.</w:t>
      </w:r>
    </w:p>
    <w:p w14:paraId="2DCC0739" w14:textId="77777777" w:rsidR="00383FBE" w:rsidRPr="00E722C4" w:rsidRDefault="00383FBE" w:rsidP="00383FBE">
      <w:pPr>
        <w:pStyle w:val="Level3"/>
        <w:keepNext w:val="0"/>
        <w:widowControl/>
        <w:numPr>
          <w:ilvl w:val="2"/>
          <w:numId w:val="17"/>
        </w:numPr>
        <w:ind w:left="1440"/>
      </w:pPr>
      <w:r w:rsidRPr="00E722C4">
        <w:t xml:space="preserve">Maintain all (Municipal and Provincial) roads and sidewalks clear of construction materials and debris, including excavated material.  Clean roads and sidewalks as frequently as required to ensure that they are cleared of materials, </w:t>
      </w:r>
      <w:proofErr w:type="gramStart"/>
      <w:r w:rsidRPr="00E722C4">
        <w:t>debris</w:t>
      </w:r>
      <w:proofErr w:type="gramEnd"/>
      <w:r w:rsidRPr="00E722C4">
        <w:t xml:space="preserve"> and excavated material.</w:t>
      </w:r>
    </w:p>
    <w:p w14:paraId="073DD2DA" w14:textId="77777777" w:rsidR="00383FBE" w:rsidRPr="00E722C4" w:rsidRDefault="00383FBE" w:rsidP="00383FBE">
      <w:pPr>
        <w:pStyle w:val="Level3"/>
        <w:keepNext w:val="0"/>
        <w:widowControl/>
        <w:numPr>
          <w:ilvl w:val="2"/>
          <w:numId w:val="17"/>
        </w:numPr>
        <w:ind w:left="1440"/>
      </w:pPr>
      <w:r w:rsidRPr="00E722C4">
        <w:t>Remove snow and ice from sidewalks as required and to the standards acceptable by the Municipality.</w:t>
      </w:r>
    </w:p>
    <w:p w14:paraId="69CEBC90" w14:textId="77777777" w:rsidR="00383FBE" w:rsidRPr="00E722C4" w:rsidRDefault="00383FBE" w:rsidP="00383FBE">
      <w:pPr>
        <w:pStyle w:val="Level2"/>
        <w:numPr>
          <w:ilvl w:val="1"/>
          <w:numId w:val="17"/>
        </w:numPr>
        <w:rPr>
          <w:bCs/>
        </w:rPr>
      </w:pPr>
      <w:r w:rsidRPr="00E722C4">
        <w:t>REFERENCE STANDARDS</w:t>
      </w:r>
    </w:p>
    <w:p w14:paraId="3B24CDD2" w14:textId="77777777" w:rsidR="00383FBE" w:rsidRPr="00E722C4" w:rsidRDefault="00383FBE" w:rsidP="00383FBE">
      <w:pPr>
        <w:pStyle w:val="Level3"/>
        <w:keepNext w:val="0"/>
        <w:widowControl/>
        <w:numPr>
          <w:ilvl w:val="2"/>
          <w:numId w:val="17"/>
        </w:numPr>
        <w:ind w:left="1440"/>
      </w:pPr>
      <w:r w:rsidRPr="00E722C4">
        <w:t>Where edition date is not specified, consider that references to manufacturer's and, published codes, standards and specifications are made to the latest edition (revision) approved by the issuing organization, current at the date of this Specification.</w:t>
      </w:r>
    </w:p>
    <w:p w14:paraId="0DF8C9DC" w14:textId="77777777" w:rsidR="00383FBE" w:rsidRPr="00E722C4" w:rsidRDefault="00383FBE" w:rsidP="00383FBE">
      <w:pPr>
        <w:pStyle w:val="Level3"/>
        <w:keepNext w:val="0"/>
        <w:widowControl/>
        <w:numPr>
          <w:ilvl w:val="2"/>
          <w:numId w:val="17"/>
        </w:numPr>
        <w:ind w:left="1440"/>
      </w:pPr>
      <w:r w:rsidRPr="00E722C4">
        <w:t>Reference standards and specifications are quoted in this Specification to establish minimum standards.  Work of quality or of performance characteristics that exceeds these minimum standards will be considered to conform.</w:t>
      </w:r>
    </w:p>
    <w:p w14:paraId="1C64A4DC" w14:textId="77777777" w:rsidR="00383FBE" w:rsidRPr="00E722C4" w:rsidRDefault="00383FBE" w:rsidP="00383FBE">
      <w:pPr>
        <w:pStyle w:val="Level3"/>
        <w:keepNext w:val="0"/>
        <w:widowControl/>
        <w:numPr>
          <w:ilvl w:val="2"/>
          <w:numId w:val="17"/>
        </w:numPr>
        <w:ind w:left="1440"/>
      </w:pPr>
      <w:r w:rsidRPr="00E722C4">
        <w:t>Should the Contract Documents conflict with specified reference standards or specification, the General Conditions of the Contract shall govern.</w:t>
      </w:r>
    </w:p>
    <w:p w14:paraId="5C155EA4" w14:textId="77777777" w:rsidR="00383FBE" w:rsidRPr="00E722C4" w:rsidRDefault="00383FBE" w:rsidP="00383FBE">
      <w:pPr>
        <w:pStyle w:val="Level3"/>
        <w:keepNext w:val="0"/>
        <w:widowControl/>
        <w:numPr>
          <w:ilvl w:val="2"/>
          <w:numId w:val="17"/>
        </w:numPr>
        <w:ind w:left="1440"/>
      </w:pPr>
      <w:r w:rsidRPr="00E722C4">
        <w:t xml:space="preserve">Where reference is made to manufacturer's directions, </w:t>
      </w:r>
      <w:proofErr w:type="gramStart"/>
      <w:r w:rsidRPr="00E722C4">
        <w:t>instructions</w:t>
      </w:r>
      <w:proofErr w:type="gramEnd"/>
      <w:r w:rsidRPr="00E722C4">
        <w:t xml:space="preserve"> or specifications they shall include full information or storing, handling, preparing, mixing, installing, erecting, applying, or other matters concerning the materials pertinent to their use and their relationship to materials with which they are incorporated.</w:t>
      </w:r>
    </w:p>
    <w:p w14:paraId="3ADCA7CC" w14:textId="77777777" w:rsidR="00383FBE" w:rsidRPr="00E722C4" w:rsidRDefault="00383FBE" w:rsidP="00383FBE">
      <w:pPr>
        <w:pStyle w:val="Level3"/>
        <w:keepNext w:val="0"/>
        <w:widowControl/>
        <w:numPr>
          <w:ilvl w:val="2"/>
          <w:numId w:val="17"/>
        </w:numPr>
        <w:ind w:left="1440"/>
      </w:pPr>
      <w:r w:rsidRPr="00E722C4">
        <w:t>Have a copy of each code, standard and specification, and manufacturer's directions, instructions, and specifications, to which reference is made in the Specifications, always available at construction site.</w:t>
      </w:r>
    </w:p>
    <w:p w14:paraId="3E1E1E5E" w14:textId="77777777" w:rsidR="00383FBE" w:rsidRPr="00E722C4" w:rsidRDefault="00383FBE" w:rsidP="00383FBE">
      <w:pPr>
        <w:pStyle w:val="Level3"/>
        <w:keepNext w:val="0"/>
        <w:widowControl/>
        <w:numPr>
          <w:ilvl w:val="2"/>
          <w:numId w:val="17"/>
        </w:numPr>
        <w:ind w:left="1440"/>
      </w:pPr>
      <w:r w:rsidRPr="00E722C4">
        <w:t>Standards, specifications, associations, and regulatory bodies are generally referred to throughout the specifications by their abbreviated designations.  These are as follows:</w:t>
      </w:r>
    </w:p>
    <w:p w14:paraId="247FCD26" w14:textId="77777777" w:rsidR="00383FBE" w:rsidRPr="00E722C4" w:rsidRDefault="00383FBE" w:rsidP="00383FBE">
      <w:pPr>
        <w:keepNext/>
        <w:keepLines/>
        <w:tabs>
          <w:tab w:val="left" w:pos="-1440"/>
        </w:tabs>
        <w:ind w:left="2880" w:hanging="1440"/>
        <w:rPr>
          <w:rFonts w:ascii="Arial" w:hAnsi="Arial" w:cs="Arial"/>
        </w:rPr>
      </w:pPr>
      <w:r w:rsidRPr="00E722C4">
        <w:rPr>
          <w:rFonts w:ascii="Arial" w:hAnsi="Arial" w:cs="Arial"/>
        </w:rPr>
        <w:t>AA</w:t>
      </w:r>
      <w:r w:rsidRPr="00E722C4">
        <w:rPr>
          <w:rFonts w:ascii="Arial" w:hAnsi="Arial" w:cs="Arial"/>
        </w:rPr>
        <w:tab/>
        <w:t>The Aluminum Association</w:t>
      </w:r>
    </w:p>
    <w:p w14:paraId="55EDEBD7" w14:textId="77777777" w:rsidR="00383FBE" w:rsidRPr="00E722C4" w:rsidRDefault="00383FBE" w:rsidP="00383FBE">
      <w:pPr>
        <w:keepNext/>
        <w:keepLines/>
        <w:tabs>
          <w:tab w:val="left" w:pos="-1440"/>
        </w:tabs>
        <w:ind w:left="2880" w:hanging="1440"/>
        <w:rPr>
          <w:rFonts w:ascii="Arial" w:hAnsi="Arial" w:cs="Arial"/>
        </w:rPr>
      </w:pPr>
      <w:r w:rsidRPr="00E722C4">
        <w:rPr>
          <w:rFonts w:ascii="Arial" w:hAnsi="Arial" w:cs="Arial"/>
        </w:rPr>
        <w:t>AAMA</w:t>
      </w:r>
      <w:r w:rsidRPr="00E722C4">
        <w:rPr>
          <w:rFonts w:ascii="Arial" w:hAnsi="Arial" w:cs="Arial"/>
        </w:rPr>
        <w:tab/>
        <w:t>American Architectural Manufacturer's Association (USA)</w:t>
      </w:r>
    </w:p>
    <w:p w14:paraId="237D8A6C" w14:textId="77777777" w:rsidR="00383FBE" w:rsidRPr="00E722C4" w:rsidRDefault="00383FBE" w:rsidP="00383FBE">
      <w:pPr>
        <w:keepNext/>
        <w:keepLines/>
        <w:tabs>
          <w:tab w:val="left" w:pos="-1440"/>
        </w:tabs>
        <w:ind w:left="2880" w:hanging="1440"/>
        <w:rPr>
          <w:rFonts w:ascii="Arial" w:hAnsi="Arial" w:cs="Arial"/>
        </w:rPr>
      </w:pPr>
      <w:r w:rsidRPr="00E722C4">
        <w:rPr>
          <w:rFonts w:ascii="Arial" w:hAnsi="Arial" w:cs="Arial"/>
        </w:rPr>
        <w:t>ACI</w:t>
      </w:r>
      <w:r w:rsidRPr="00E722C4">
        <w:rPr>
          <w:rFonts w:ascii="Arial" w:hAnsi="Arial" w:cs="Arial"/>
        </w:rPr>
        <w:tab/>
        <w:t>American Concrete Institute</w:t>
      </w:r>
    </w:p>
    <w:p w14:paraId="2234199E" w14:textId="77777777" w:rsidR="00383FBE" w:rsidRPr="00E722C4" w:rsidRDefault="00383FBE" w:rsidP="00383FBE">
      <w:pPr>
        <w:keepNext/>
        <w:keepLines/>
        <w:tabs>
          <w:tab w:val="left" w:pos="-1440"/>
        </w:tabs>
        <w:ind w:left="2880" w:hanging="1440"/>
        <w:rPr>
          <w:rFonts w:ascii="Arial" w:hAnsi="Arial" w:cs="Arial"/>
        </w:rPr>
      </w:pPr>
      <w:r w:rsidRPr="00E722C4">
        <w:rPr>
          <w:rFonts w:ascii="Arial" w:hAnsi="Arial" w:cs="Arial"/>
        </w:rPr>
        <w:t>AISI</w:t>
      </w:r>
      <w:r w:rsidRPr="00E722C4">
        <w:rPr>
          <w:rFonts w:ascii="Arial" w:hAnsi="Arial" w:cs="Arial"/>
        </w:rPr>
        <w:tab/>
        <w:t>American Iron and Steel Institute</w:t>
      </w:r>
    </w:p>
    <w:p w14:paraId="43C787B5"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AISC</w:t>
      </w:r>
      <w:r w:rsidRPr="00E722C4">
        <w:rPr>
          <w:rFonts w:ascii="Arial" w:hAnsi="Arial" w:cs="Arial"/>
        </w:rPr>
        <w:tab/>
        <w:t>American Institute of Steel Construction</w:t>
      </w:r>
    </w:p>
    <w:p w14:paraId="58AE0544"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ANSI</w:t>
      </w:r>
      <w:r w:rsidRPr="00E722C4">
        <w:rPr>
          <w:rFonts w:ascii="Arial" w:hAnsi="Arial" w:cs="Arial"/>
        </w:rPr>
        <w:tab/>
        <w:t>American National Standards Institute</w:t>
      </w:r>
    </w:p>
    <w:p w14:paraId="270CEBBA"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ASHRAE</w:t>
      </w:r>
      <w:r w:rsidRPr="00E722C4">
        <w:rPr>
          <w:rFonts w:ascii="Arial" w:hAnsi="Arial" w:cs="Arial"/>
        </w:rPr>
        <w:tab/>
        <w:t>American Society of Heating, Refrigeration and Air Conditioning Engineers</w:t>
      </w:r>
    </w:p>
    <w:p w14:paraId="35BC193C"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ASTM</w:t>
      </w:r>
      <w:r w:rsidRPr="00E722C4">
        <w:rPr>
          <w:rFonts w:ascii="Arial" w:hAnsi="Arial" w:cs="Arial"/>
        </w:rPr>
        <w:tab/>
        <w:t>American Society for Testing and Materials</w:t>
      </w:r>
    </w:p>
    <w:p w14:paraId="0C20E466"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AWI</w:t>
      </w:r>
      <w:r w:rsidRPr="00E722C4">
        <w:rPr>
          <w:rFonts w:ascii="Arial" w:hAnsi="Arial" w:cs="Arial"/>
        </w:rPr>
        <w:tab/>
        <w:t>Architectural Woodwork Institute</w:t>
      </w:r>
    </w:p>
    <w:p w14:paraId="64E6C91C"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AWMAC</w:t>
      </w:r>
      <w:r w:rsidRPr="00E722C4">
        <w:rPr>
          <w:rFonts w:ascii="Arial" w:hAnsi="Arial" w:cs="Arial"/>
        </w:rPr>
        <w:tab/>
        <w:t xml:space="preserve">Architectural Woodwork Manufacturers Association of </w:t>
      </w:r>
      <w:smartTag w:uri="urn:schemas-microsoft-com:office:smarttags" w:element="place">
        <w:smartTag w:uri="urn:schemas-microsoft-com:office:smarttags" w:element="country-region">
          <w:r w:rsidRPr="00E722C4">
            <w:rPr>
              <w:rFonts w:ascii="Arial" w:hAnsi="Arial" w:cs="Arial"/>
            </w:rPr>
            <w:t>Canada</w:t>
          </w:r>
        </w:smartTag>
      </w:smartTag>
    </w:p>
    <w:p w14:paraId="04BE2FE3"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AWS</w:t>
      </w:r>
      <w:r w:rsidRPr="00E722C4">
        <w:rPr>
          <w:rFonts w:ascii="Arial" w:hAnsi="Arial" w:cs="Arial"/>
        </w:rPr>
        <w:tab/>
        <w:t>American Welding Society (USA)</w:t>
      </w:r>
    </w:p>
    <w:p w14:paraId="0F3FBC7C"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CGSB</w:t>
      </w:r>
      <w:r w:rsidRPr="00E722C4">
        <w:rPr>
          <w:rFonts w:ascii="Arial" w:hAnsi="Arial" w:cs="Arial"/>
        </w:rPr>
        <w:tab/>
        <w:t>Canadian General Standards Board</w:t>
      </w:r>
    </w:p>
    <w:p w14:paraId="1B2E8A2F"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CISC</w:t>
      </w:r>
      <w:r w:rsidRPr="00E722C4">
        <w:rPr>
          <w:rFonts w:ascii="Arial" w:hAnsi="Arial" w:cs="Arial"/>
        </w:rPr>
        <w:tab/>
        <w:t>Canadian Institute of Steel Construction</w:t>
      </w:r>
    </w:p>
    <w:p w14:paraId="6377FC32"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CLA</w:t>
      </w:r>
      <w:r w:rsidRPr="00E722C4">
        <w:rPr>
          <w:rFonts w:ascii="Arial" w:hAnsi="Arial" w:cs="Arial"/>
        </w:rPr>
        <w:tab/>
        <w:t xml:space="preserve">Canadian </w:t>
      </w:r>
      <w:proofErr w:type="spellStart"/>
      <w:r w:rsidRPr="00E722C4">
        <w:rPr>
          <w:rFonts w:ascii="Arial" w:hAnsi="Arial" w:cs="Arial"/>
        </w:rPr>
        <w:t>Lumbermans</w:t>
      </w:r>
      <w:proofErr w:type="spellEnd"/>
      <w:r w:rsidRPr="00E722C4">
        <w:rPr>
          <w:rFonts w:ascii="Arial" w:hAnsi="Arial" w:cs="Arial"/>
        </w:rPr>
        <w:t>' Association</w:t>
      </w:r>
    </w:p>
    <w:p w14:paraId="0D13032D"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lastRenderedPageBreak/>
        <w:t>CPMA</w:t>
      </w:r>
      <w:r w:rsidRPr="00E722C4">
        <w:rPr>
          <w:rFonts w:ascii="Arial" w:hAnsi="Arial" w:cs="Arial"/>
        </w:rPr>
        <w:tab/>
        <w:t>Canadian Paint Manufacturers Association</w:t>
      </w:r>
    </w:p>
    <w:p w14:paraId="2D6D963D"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CRCA</w:t>
      </w:r>
      <w:r w:rsidRPr="00E722C4">
        <w:rPr>
          <w:rFonts w:ascii="Arial" w:hAnsi="Arial" w:cs="Arial"/>
        </w:rPr>
        <w:tab/>
        <w:t>Canadian Roofing Contractors Association</w:t>
      </w:r>
    </w:p>
    <w:p w14:paraId="6029612C"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CSA</w:t>
      </w:r>
      <w:r w:rsidRPr="00E722C4">
        <w:rPr>
          <w:rFonts w:ascii="Arial" w:hAnsi="Arial" w:cs="Arial"/>
        </w:rPr>
        <w:tab/>
        <w:t>Canadian Standards Association</w:t>
      </w:r>
    </w:p>
    <w:p w14:paraId="2E81CBF9"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CSSBI</w:t>
      </w:r>
      <w:r w:rsidRPr="00E722C4">
        <w:rPr>
          <w:rFonts w:ascii="Arial" w:hAnsi="Arial" w:cs="Arial"/>
        </w:rPr>
        <w:tab/>
        <w:t>Canadian Sheet Steel Building Institute</w:t>
      </w:r>
    </w:p>
    <w:p w14:paraId="447AD404"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FM</w:t>
      </w:r>
      <w:r w:rsidRPr="00E722C4">
        <w:rPr>
          <w:rFonts w:ascii="Arial" w:hAnsi="Arial" w:cs="Arial"/>
        </w:rPr>
        <w:tab/>
        <w:t>Factory Mutual</w:t>
      </w:r>
    </w:p>
    <w:p w14:paraId="37247F03"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GANA</w:t>
      </w:r>
      <w:r w:rsidRPr="00E722C4">
        <w:rPr>
          <w:rFonts w:ascii="Arial" w:hAnsi="Arial" w:cs="Arial"/>
        </w:rPr>
        <w:tab/>
        <w:t>Glass Association of North America</w:t>
      </w:r>
    </w:p>
    <w:p w14:paraId="0E295C9A"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MPI</w:t>
      </w:r>
      <w:r w:rsidRPr="00E722C4">
        <w:rPr>
          <w:rFonts w:ascii="Arial" w:hAnsi="Arial" w:cs="Arial"/>
        </w:rPr>
        <w:tab/>
        <w:t>Master Painters Institute</w:t>
      </w:r>
    </w:p>
    <w:p w14:paraId="63D2307F"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MTO</w:t>
      </w:r>
      <w:r w:rsidRPr="00E722C4">
        <w:rPr>
          <w:rFonts w:ascii="Arial" w:hAnsi="Arial" w:cs="Arial"/>
        </w:rPr>
        <w:tab/>
        <w:t>Ministry of Transportation of Ontario</w:t>
      </w:r>
    </w:p>
    <w:p w14:paraId="119B6CF4"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NAAMM</w:t>
      </w:r>
      <w:r w:rsidRPr="00E722C4">
        <w:rPr>
          <w:rFonts w:ascii="Arial" w:hAnsi="Arial" w:cs="Arial"/>
        </w:rPr>
        <w:tab/>
        <w:t>National Association of Architectural Metal Manufacturer's</w:t>
      </w:r>
    </w:p>
    <w:p w14:paraId="12AF86F0"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NBC</w:t>
      </w:r>
      <w:r w:rsidRPr="00E722C4">
        <w:rPr>
          <w:rFonts w:ascii="Arial" w:hAnsi="Arial" w:cs="Arial"/>
        </w:rPr>
        <w:tab/>
        <w:t>National Building Code</w:t>
      </w:r>
    </w:p>
    <w:p w14:paraId="72D864CD"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NEMA</w:t>
      </w:r>
      <w:r w:rsidRPr="00E722C4">
        <w:rPr>
          <w:rFonts w:ascii="Arial" w:hAnsi="Arial" w:cs="Arial"/>
        </w:rPr>
        <w:tab/>
        <w:t>National Electrical Manufacturer's Association</w:t>
      </w:r>
    </w:p>
    <w:p w14:paraId="729FEE7A"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NFC</w:t>
      </w:r>
      <w:r w:rsidRPr="00E722C4">
        <w:rPr>
          <w:rFonts w:ascii="Arial" w:hAnsi="Arial" w:cs="Arial"/>
        </w:rPr>
        <w:tab/>
        <w:t>National Fire Code of Canada</w:t>
      </w:r>
    </w:p>
    <w:p w14:paraId="7C8CAEA2"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NFPA</w:t>
      </w:r>
      <w:r w:rsidRPr="00E722C4">
        <w:rPr>
          <w:rFonts w:ascii="Arial" w:hAnsi="Arial" w:cs="Arial"/>
        </w:rPr>
        <w:tab/>
        <w:t>National Fire Protection Association (USA)</w:t>
      </w:r>
    </w:p>
    <w:p w14:paraId="3C1487D8"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NHLA</w:t>
      </w:r>
      <w:r w:rsidRPr="00E722C4">
        <w:rPr>
          <w:rFonts w:ascii="Arial" w:hAnsi="Arial" w:cs="Arial"/>
        </w:rPr>
        <w:tab/>
        <w:t>National Hardwood Lumber Association</w:t>
      </w:r>
    </w:p>
    <w:p w14:paraId="7AAC4135"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NLGA</w:t>
      </w:r>
      <w:r w:rsidRPr="00E722C4">
        <w:rPr>
          <w:rFonts w:ascii="Arial" w:hAnsi="Arial" w:cs="Arial"/>
        </w:rPr>
        <w:tab/>
        <w:t>National Lumber Grades Authority</w:t>
      </w:r>
    </w:p>
    <w:p w14:paraId="3D4E82FE"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NRC</w:t>
      </w:r>
      <w:r w:rsidRPr="00E722C4">
        <w:rPr>
          <w:rFonts w:ascii="Arial" w:hAnsi="Arial" w:cs="Arial"/>
        </w:rPr>
        <w:tab/>
        <w:t>National Research Council</w:t>
      </w:r>
    </w:p>
    <w:p w14:paraId="0804241E"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OAA</w:t>
      </w:r>
      <w:r w:rsidRPr="00E722C4">
        <w:rPr>
          <w:rFonts w:ascii="Arial" w:hAnsi="Arial" w:cs="Arial"/>
        </w:rPr>
        <w:tab/>
        <w:t>Ontario Association of Architects</w:t>
      </w:r>
    </w:p>
    <w:p w14:paraId="21EA3E36"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OBC</w:t>
      </w:r>
      <w:r w:rsidRPr="00E722C4">
        <w:rPr>
          <w:rFonts w:ascii="Arial" w:hAnsi="Arial" w:cs="Arial"/>
        </w:rPr>
        <w:tab/>
        <w:t>Ontario Building Code</w:t>
      </w:r>
    </w:p>
    <w:p w14:paraId="326150A5"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OFC</w:t>
      </w:r>
      <w:r w:rsidRPr="00E722C4">
        <w:rPr>
          <w:rFonts w:ascii="Arial" w:hAnsi="Arial" w:cs="Arial"/>
        </w:rPr>
        <w:tab/>
        <w:t>Ontario Fire Code</w:t>
      </w:r>
    </w:p>
    <w:p w14:paraId="5A5F982A"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OGCA</w:t>
      </w:r>
      <w:r w:rsidRPr="00E722C4">
        <w:rPr>
          <w:rFonts w:ascii="Arial" w:hAnsi="Arial" w:cs="Arial"/>
        </w:rPr>
        <w:tab/>
        <w:t>Ontario General Contractors Association</w:t>
      </w:r>
    </w:p>
    <w:p w14:paraId="205D7560"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OPCA</w:t>
      </w:r>
      <w:r w:rsidRPr="00E722C4">
        <w:rPr>
          <w:rFonts w:ascii="Arial" w:hAnsi="Arial" w:cs="Arial"/>
        </w:rPr>
        <w:tab/>
        <w:t>Ontario Painting Contractors Association</w:t>
      </w:r>
    </w:p>
    <w:p w14:paraId="3C6CAFDA"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OPSS</w:t>
      </w:r>
      <w:r w:rsidRPr="00E722C4">
        <w:rPr>
          <w:rFonts w:ascii="Arial" w:hAnsi="Arial" w:cs="Arial"/>
        </w:rPr>
        <w:tab/>
        <w:t>Ontario Provincial Standard Specification</w:t>
      </w:r>
    </w:p>
    <w:p w14:paraId="30A31F14"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OIRCA</w:t>
      </w:r>
      <w:r w:rsidRPr="00E722C4">
        <w:rPr>
          <w:rFonts w:ascii="Arial" w:hAnsi="Arial" w:cs="Arial"/>
        </w:rPr>
        <w:tab/>
        <w:t>Ontario Industrial Roofing Contractors Association</w:t>
      </w:r>
    </w:p>
    <w:p w14:paraId="7CEC16C8"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PEI</w:t>
      </w:r>
      <w:r w:rsidRPr="00E722C4">
        <w:rPr>
          <w:rFonts w:ascii="Arial" w:hAnsi="Arial" w:cs="Arial"/>
        </w:rPr>
        <w:tab/>
        <w:t>Porcelain Enamel Institute (USA)</w:t>
      </w:r>
    </w:p>
    <w:p w14:paraId="0832F2AB"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SAE</w:t>
      </w:r>
      <w:r w:rsidRPr="00E722C4">
        <w:rPr>
          <w:rFonts w:ascii="Arial" w:hAnsi="Arial" w:cs="Arial"/>
        </w:rPr>
        <w:tab/>
        <w:t>Society of Automotive Engineers</w:t>
      </w:r>
    </w:p>
    <w:p w14:paraId="25942EEA"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SJI</w:t>
      </w:r>
      <w:r w:rsidRPr="00E722C4">
        <w:rPr>
          <w:rFonts w:ascii="Arial" w:hAnsi="Arial" w:cs="Arial"/>
        </w:rPr>
        <w:tab/>
        <w:t>Steel Joist Institute</w:t>
      </w:r>
    </w:p>
    <w:p w14:paraId="40D8819A"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SSPC</w:t>
      </w:r>
      <w:r w:rsidRPr="00E722C4">
        <w:rPr>
          <w:rFonts w:ascii="Arial" w:hAnsi="Arial" w:cs="Arial"/>
        </w:rPr>
        <w:tab/>
        <w:t>Steel Structures Painting Council</w:t>
      </w:r>
    </w:p>
    <w:p w14:paraId="4CF0CC6F"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TTMAC</w:t>
      </w:r>
      <w:r w:rsidRPr="00E722C4">
        <w:rPr>
          <w:rFonts w:ascii="Arial" w:hAnsi="Arial" w:cs="Arial"/>
        </w:rPr>
        <w:tab/>
        <w:t>Terrazzo, Tile and Marble Association of Canada</w:t>
      </w:r>
    </w:p>
    <w:p w14:paraId="4CDF8FD9"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ULC</w:t>
      </w:r>
      <w:r w:rsidRPr="00E722C4">
        <w:rPr>
          <w:rFonts w:ascii="Arial" w:hAnsi="Arial" w:cs="Arial"/>
        </w:rPr>
        <w:tab/>
        <w:t>Underwriters Laboratories of Canada</w:t>
      </w:r>
    </w:p>
    <w:p w14:paraId="379E4349" w14:textId="77777777" w:rsidR="00383FBE" w:rsidRPr="00E722C4" w:rsidRDefault="00383FBE" w:rsidP="00383FBE">
      <w:pPr>
        <w:tabs>
          <w:tab w:val="left" w:pos="-1440"/>
        </w:tabs>
        <w:ind w:left="2880" w:hanging="1440"/>
        <w:rPr>
          <w:rFonts w:ascii="Arial" w:hAnsi="Arial" w:cs="Arial"/>
        </w:rPr>
      </w:pPr>
      <w:r w:rsidRPr="00E722C4">
        <w:rPr>
          <w:rFonts w:ascii="Arial" w:hAnsi="Arial" w:cs="Arial"/>
        </w:rPr>
        <w:t>ULI</w:t>
      </w:r>
      <w:r w:rsidRPr="00E722C4">
        <w:rPr>
          <w:rFonts w:ascii="Arial" w:hAnsi="Arial" w:cs="Arial"/>
        </w:rPr>
        <w:tab/>
        <w:t>Underwriters Laboratories Incorporated (USA)</w:t>
      </w:r>
    </w:p>
    <w:p w14:paraId="4D881DFC" w14:textId="77777777" w:rsidR="00383FBE" w:rsidRDefault="00383FBE" w:rsidP="00383FBE">
      <w:pPr>
        <w:pStyle w:val="Level1"/>
        <w:numPr>
          <w:ilvl w:val="0"/>
          <w:numId w:val="17"/>
        </w:numPr>
        <w:rPr>
          <w:b w:val="0"/>
          <w:bCs w:val="0"/>
        </w:rPr>
      </w:pPr>
      <w:r>
        <w:t>Products</w:t>
      </w:r>
    </w:p>
    <w:p w14:paraId="79F33DE9" w14:textId="77777777" w:rsidR="00383FBE" w:rsidRPr="00F22A02" w:rsidRDefault="00383FBE" w:rsidP="00383FBE">
      <w:pPr>
        <w:pStyle w:val="NotUsed"/>
        <w:rPr>
          <w:bCs/>
        </w:rPr>
      </w:pPr>
      <w:r w:rsidRPr="00F22A02">
        <w:t xml:space="preserve">Not </w:t>
      </w:r>
      <w:r>
        <w:t>Used</w:t>
      </w:r>
    </w:p>
    <w:p w14:paraId="039B0D08" w14:textId="77777777" w:rsidR="00383FBE" w:rsidRDefault="00383FBE" w:rsidP="00383FBE">
      <w:pPr>
        <w:pStyle w:val="Level1"/>
        <w:numPr>
          <w:ilvl w:val="0"/>
          <w:numId w:val="17"/>
        </w:numPr>
        <w:rPr>
          <w:b w:val="0"/>
          <w:bCs w:val="0"/>
        </w:rPr>
      </w:pPr>
      <w:r>
        <w:t>Execution</w:t>
      </w:r>
    </w:p>
    <w:p w14:paraId="6E4FA945" w14:textId="77777777" w:rsidR="00383FBE" w:rsidRPr="00F22A02" w:rsidRDefault="00383FBE" w:rsidP="00383FBE">
      <w:pPr>
        <w:pStyle w:val="NotUsed"/>
        <w:rPr>
          <w:bCs/>
        </w:rPr>
      </w:pPr>
      <w:r w:rsidRPr="00F22A02">
        <w:t xml:space="preserve">Not </w:t>
      </w:r>
      <w:r>
        <w:t>Used</w:t>
      </w:r>
    </w:p>
    <w:p w14:paraId="11A136F4" w14:textId="011DB335" w:rsidR="00376054" w:rsidRPr="00AD7137" w:rsidRDefault="00383FBE" w:rsidP="00383FBE">
      <w:pPr>
        <w:pStyle w:val="SectionTitleEnd"/>
      </w:pPr>
      <w:r w:rsidRPr="00455FE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B3C9343"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B435B5" w:rsidRPr="00B435B5">
      <w:rPr>
        <w:caps/>
      </w:rPr>
      <w:t>regulatory requirements</w:t>
    </w:r>
    <w:r w:rsidRPr="00B06CF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435B5" w:rsidRPr="00B435B5">
      <w:rPr>
        <w:caps/>
      </w:rPr>
      <w:t>01 41 00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FD406" w14:textId="77777777" w:rsidR="00DF2924" w:rsidRDefault="00DF2924" w:rsidP="00DF292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8F5CB96" w:rsidR="00DA1B3D" w:rsidRPr="00C35ABF" w:rsidRDefault="00DF2924" w:rsidP="00DF292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0F20"/>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D02"/>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6ED"/>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2CF"/>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26C0"/>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26D2"/>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20E2"/>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5C98"/>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E24"/>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24"/>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3F8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951</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2024-08-07T18:21:00Z</dcterms:created>
  <dcterms:modified xsi:type="dcterms:W3CDTF">2024-08-12T18:39:00Z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