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444B" w14:textId="77777777" w:rsidR="00FF1696" w:rsidRPr="00705716" w:rsidRDefault="00FF1696" w:rsidP="00FF1696">
      <w:pPr>
        <w:jc w:val="center"/>
        <w:rPr>
          <w:rFonts w:cs="Times New Roman"/>
          <w:b/>
          <w:bCs/>
          <w:szCs w:val="24"/>
        </w:rPr>
      </w:pPr>
      <w:r w:rsidRPr="00705716">
        <w:rPr>
          <w:rFonts w:cs="Times New Roman"/>
          <w:b/>
          <w:bCs/>
          <w:szCs w:val="24"/>
        </w:rPr>
        <w:t>The University of the West Indies</w:t>
      </w:r>
    </w:p>
    <w:p w14:paraId="020DE756" w14:textId="77777777" w:rsidR="00FF1696" w:rsidRPr="00705716" w:rsidRDefault="00FF1696" w:rsidP="00FF1696">
      <w:pPr>
        <w:jc w:val="center"/>
        <w:rPr>
          <w:rFonts w:cs="Times New Roman"/>
          <w:b/>
          <w:bCs/>
          <w:szCs w:val="24"/>
        </w:rPr>
      </w:pPr>
      <w:r w:rsidRPr="00705716">
        <w:rPr>
          <w:rFonts w:cs="Times New Roman"/>
          <w:b/>
          <w:bCs/>
          <w:szCs w:val="24"/>
        </w:rPr>
        <w:t>Mona Campus</w:t>
      </w:r>
    </w:p>
    <w:p w14:paraId="6A708BE8" w14:textId="77777777" w:rsidR="00FF1696" w:rsidRPr="00705716" w:rsidRDefault="00FF1696" w:rsidP="00FF1696">
      <w:pPr>
        <w:jc w:val="center"/>
        <w:rPr>
          <w:rFonts w:cs="Times New Roman"/>
          <w:b/>
          <w:bCs/>
          <w:szCs w:val="24"/>
        </w:rPr>
      </w:pPr>
    </w:p>
    <w:p w14:paraId="7AB42FED" w14:textId="77777777" w:rsidR="00FF1696" w:rsidRPr="00705716" w:rsidRDefault="00FF1696" w:rsidP="00FF1696">
      <w:pPr>
        <w:rPr>
          <w:rFonts w:cs="Times New Roman"/>
          <w:szCs w:val="24"/>
        </w:rPr>
      </w:pPr>
      <w:r w:rsidRPr="00705716">
        <w:rPr>
          <w:rFonts w:cs="Times New Roman"/>
          <w:b/>
          <w:bCs/>
          <w:szCs w:val="24"/>
        </w:rPr>
        <w:t>Course Name:</w:t>
      </w:r>
      <w:r w:rsidRPr="00705716">
        <w:rPr>
          <w:rFonts w:cs="Times New Roman"/>
          <w:b/>
          <w:bCs/>
          <w:szCs w:val="24"/>
        </w:rPr>
        <w:tab/>
      </w:r>
      <w:r w:rsidRPr="00705716">
        <w:rPr>
          <w:rFonts w:cs="Times New Roman"/>
          <w:szCs w:val="24"/>
        </w:rPr>
        <w:t>Econometrics</w:t>
      </w:r>
    </w:p>
    <w:p w14:paraId="6D9F9679" w14:textId="77777777" w:rsidR="00FF1696" w:rsidRPr="00705716" w:rsidRDefault="00FF1696" w:rsidP="00FF1696">
      <w:pPr>
        <w:rPr>
          <w:rFonts w:cs="Times New Roman"/>
          <w:b/>
          <w:bCs/>
          <w:szCs w:val="24"/>
        </w:rPr>
      </w:pPr>
      <w:r w:rsidRPr="00705716">
        <w:rPr>
          <w:rFonts w:cs="Times New Roman"/>
          <w:b/>
          <w:bCs/>
          <w:szCs w:val="24"/>
        </w:rPr>
        <w:t>Course Code:</w:t>
      </w:r>
      <w:r w:rsidRPr="00705716">
        <w:rPr>
          <w:rFonts w:cs="Times New Roman"/>
          <w:b/>
          <w:bCs/>
          <w:szCs w:val="24"/>
        </w:rPr>
        <w:tab/>
      </w:r>
      <w:r w:rsidRPr="00705716">
        <w:rPr>
          <w:rFonts w:cs="Times New Roman"/>
          <w:b/>
          <w:bCs/>
          <w:szCs w:val="24"/>
        </w:rPr>
        <w:tab/>
      </w:r>
      <w:r w:rsidRPr="00705716">
        <w:rPr>
          <w:rFonts w:cs="Times New Roman"/>
          <w:szCs w:val="24"/>
        </w:rPr>
        <w:t>ECON3049</w:t>
      </w:r>
    </w:p>
    <w:p w14:paraId="1E5C9812" w14:textId="77777777" w:rsidR="00FF1696" w:rsidRPr="00705716" w:rsidRDefault="00FF1696" w:rsidP="00FF1696">
      <w:pPr>
        <w:rPr>
          <w:rFonts w:cs="Times New Roman"/>
          <w:b/>
          <w:bCs/>
          <w:szCs w:val="24"/>
        </w:rPr>
      </w:pPr>
      <w:r w:rsidRPr="00705716">
        <w:rPr>
          <w:rFonts w:cs="Times New Roman"/>
          <w:b/>
          <w:bCs/>
          <w:szCs w:val="24"/>
        </w:rPr>
        <w:t>Assessment:</w:t>
      </w:r>
      <w:r w:rsidRPr="00705716">
        <w:rPr>
          <w:rFonts w:cs="Times New Roman"/>
          <w:b/>
          <w:bCs/>
          <w:szCs w:val="24"/>
        </w:rPr>
        <w:tab/>
      </w:r>
      <w:r w:rsidRPr="00705716">
        <w:rPr>
          <w:rFonts w:cs="Times New Roman"/>
          <w:b/>
          <w:bCs/>
          <w:szCs w:val="24"/>
        </w:rPr>
        <w:tab/>
      </w:r>
      <w:r w:rsidRPr="00705716">
        <w:rPr>
          <w:rFonts w:cs="Times New Roman"/>
          <w:szCs w:val="24"/>
        </w:rPr>
        <w:t>Assignment 1</w:t>
      </w:r>
    </w:p>
    <w:p w14:paraId="6142A49B" w14:textId="40EDED2B" w:rsidR="00FF1696" w:rsidRPr="00705716" w:rsidRDefault="00FF1696" w:rsidP="00FF1696">
      <w:pPr>
        <w:rPr>
          <w:rFonts w:cs="Times New Roman"/>
          <w:szCs w:val="24"/>
        </w:rPr>
      </w:pPr>
      <w:r w:rsidRPr="00705716">
        <w:rPr>
          <w:rFonts w:cs="Times New Roman"/>
          <w:b/>
          <w:bCs/>
          <w:szCs w:val="24"/>
        </w:rPr>
        <w:t>Lecturer:</w:t>
      </w:r>
      <w:r w:rsidRPr="00705716">
        <w:rPr>
          <w:rFonts w:cs="Times New Roman"/>
          <w:szCs w:val="24"/>
        </w:rPr>
        <w:tab/>
      </w:r>
      <w:r w:rsidRPr="00705716">
        <w:rPr>
          <w:rFonts w:cs="Times New Roman"/>
          <w:szCs w:val="24"/>
        </w:rPr>
        <w:tab/>
        <w:t>Dr Andre Haughton</w:t>
      </w:r>
    </w:p>
    <w:p w14:paraId="54B1C5BE" w14:textId="729FDBF4" w:rsidR="00FF1696" w:rsidRPr="00705716" w:rsidRDefault="00FF1696" w:rsidP="00FF1696">
      <w:pPr>
        <w:rPr>
          <w:rFonts w:cs="Times New Roman"/>
          <w:szCs w:val="24"/>
        </w:rPr>
      </w:pPr>
      <w:r w:rsidRPr="00705716">
        <w:rPr>
          <w:rFonts w:cs="Times New Roman"/>
          <w:b/>
          <w:bCs/>
          <w:szCs w:val="24"/>
        </w:rPr>
        <w:t>Due Date:</w:t>
      </w:r>
      <w:r w:rsidRPr="00705716">
        <w:rPr>
          <w:rFonts w:cs="Times New Roman"/>
          <w:b/>
          <w:bCs/>
          <w:szCs w:val="24"/>
        </w:rPr>
        <w:tab/>
      </w:r>
      <w:r w:rsidRPr="00705716">
        <w:rPr>
          <w:rFonts w:cs="Times New Roman"/>
          <w:b/>
          <w:bCs/>
          <w:szCs w:val="24"/>
        </w:rPr>
        <w:tab/>
      </w:r>
      <w:r w:rsidRPr="00705716">
        <w:rPr>
          <w:rFonts w:cs="Times New Roman"/>
          <w:szCs w:val="24"/>
        </w:rPr>
        <w:t>November 2</w:t>
      </w:r>
      <w:r w:rsidR="00F52958" w:rsidRPr="00705716">
        <w:rPr>
          <w:rFonts w:cs="Times New Roman"/>
          <w:szCs w:val="24"/>
        </w:rPr>
        <w:t>4</w:t>
      </w:r>
      <w:r w:rsidRPr="00705716">
        <w:rPr>
          <w:rFonts w:cs="Times New Roman"/>
          <w:szCs w:val="24"/>
        </w:rPr>
        <w:t>, 202</w:t>
      </w:r>
      <w:r w:rsidR="00F52958" w:rsidRPr="00705716">
        <w:rPr>
          <w:rFonts w:cs="Times New Roman"/>
          <w:szCs w:val="24"/>
        </w:rPr>
        <w:t>2</w:t>
      </w:r>
    </w:p>
    <w:p w14:paraId="42FBF865" w14:textId="77777777" w:rsidR="00FF1696" w:rsidRPr="00705716" w:rsidRDefault="00FF1696" w:rsidP="00FF1696">
      <w:pPr>
        <w:rPr>
          <w:rFonts w:cs="Times New Roman"/>
          <w:szCs w:val="24"/>
        </w:rPr>
      </w:pPr>
    </w:p>
    <w:p w14:paraId="57750385" w14:textId="77777777" w:rsidR="00FF1696" w:rsidRPr="00705716" w:rsidRDefault="00FF1696" w:rsidP="00FF1696">
      <w:pPr>
        <w:rPr>
          <w:rFonts w:cs="Times New Roman"/>
          <w:b/>
          <w:bCs/>
          <w:szCs w:val="24"/>
          <w:u w:val="single"/>
        </w:rPr>
      </w:pPr>
      <w:r w:rsidRPr="00705716">
        <w:rPr>
          <w:rFonts w:cs="Times New Roman"/>
          <w:b/>
          <w:bCs/>
          <w:szCs w:val="24"/>
          <w:u w:val="single"/>
        </w:rPr>
        <w:t>Group Members</w:t>
      </w:r>
    </w:p>
    <w:p w14:paraId="7FAC823E" w14:textId="77777777" w:rsidR="00E014E1" w:rsidRPr="00E014E1" w:rsidRDefault="00E014E1" w:rsidP="00E014E1">
      <w:pPr>
        <w:rPr>
          <w:rFonts w:cs="Times New Roman"/>
          <w:szCs w:val="24"/>
        </w:rPr>
      </w:pPr>
      <w:proofErr w:type="spellStart"/>
      <w:r w:rsidRPr="00E014E1">
        <w:rPr>
          <w:rFonts w:cs="Times New Roman"/>
          <w:szCs w:val="24"/>
        </w:rPr>
        <w:t>Nakera</w:t>
      </w:r>
      <w:proofErr w:type="spellEnd"/>
      <w:r w:rsidRPr="00E014E1">
        <w:rPr>
          <w:rFonts w:cs="Times New Roman"/>
          <w:szCs w:val="24"/>
        </w:rPr>
        <w:t xml:space="preserve"> Stephenson- 620140000</w:t>
      </w:r>
    </w:p>
    <w:p w14:paraId="180D7824" w14:textId="77777777" w:rsidR="00E014E1" w:rsidRPr="00E014E1" w:rsidRDefault="00E014E1" w:rsidP="00E014E1">
      <w:pPr>
        <w:rPr>
          <w:rFonts w:cs="Times New Roman"/>
          <w:szCs w:val="24"/>
        </w:rPr>
      </w:pPr>
      <w:proofErr w:type="spellStart"/>
      <w:r w:rsidRPr="00E014E1">
        <w:rPr>
          <w:rFonts w:cs="Times New Roman"/>
          <w:szCs w:val="24"/>
        </w:rPr>
        <w:t>Alayana</w:t>
      </w:r>
      <w:proofErr w:type="spellEnd"/>
      <w:r w:rsidRPr="00E014E1">
        <w:rPr>
          <w:rFonts w:cs="Times New Roman"/>
          <w:szCs w:val="24"/>
        </w:rPr>
        <w:t xml:space="preserve"> Brown- 620137569</w:t>
      </w:r>
    </w:p>
    <w:p w14:paraId="57C6BB0B" w14:textId="77777777" w:rsidR="00E014E1" w:rsidRPr="00E014E1" w:rsidRDefault="00E014E1" w:rsidP="00E014E1">
      <w:pPr>
        <w:rPr>
          <w:rFonts w:cs="Times New Roman"/>
          <w:szCs w:val="24"/>
        </w:rPr>
      </w:pPr>
      <w:r w:rsidRPr="00E014E1">
        <w:rPr>
          <w:rFonts w:cs="Times New Roman"/>
          <w:szCs w:val="24"/>
        </w:rPr>
        <w:t>Dana Wilson- 620140625</w:t>
      </w:r>
    </w:p>
    <w:p w14:paraId="7E027726" w14:textId="77777777" w:rsidR="00E014E1" w:rsidRPr="00E014E1" w:rsidRDefault="00E014E1" w:rsidP="00E014E1">
      <w:pPr>
        <w:rPr>
          <w:rFonts w:cs="Times New Roman"/>
          <w:szCs w:val="24"/>
        </w:rPr>
      </w:pPr>
      <w:r w:rsidRPr="00E014E1">
        <w:rPr>
          <w:rFonts w:cs="Times New Roman"/>
          <w:szCs w:val="24"/>
        </w:rPr>
        <w:t>Chad Espeut – 620129145</w:t>
      </w:r>
    </w:p>
    <w:p w14:paraId="0FFB52F3" w14:textId="79093798" w:rsidR="00FF1696" w:rsidRPr="00705716" w:rsidRDefault="00E014E1" w:rsidP="00E014E1">
      <w:pPr>
        <w:rPr>
          <w:rFonts w:cs="Times New Roman"/>
          <w:szCs w:val="24"/>
        </w:rPr>
      </w:pPr>
      <w:r w:rsidRPr="00E014E1">
        <w:rPr>
          <w:rFonts w:cs="Times New Roman"/>
          <w:szCs w:val="24"/>
        </w:rPr>
        <w:t>Dom</w:t>
      </w:r>
      <w:r w:rsidR="00F42C02">
        <w:rPr>
          <w:rFonts w:cs="Times New Roman"/>
          <w:szCs w:val="24"/>
        </w:rPr>
        <w:t>i</w:t>
      </w:r>
      <w:r w:rsidRPr="00E014E1">
        <w:rPr>
          <w:rFonts w:cs="Times New Roman"/>
          <w:szCs w:val="24"/>
        </w:rPr>
        <w:t>nic Waite - 620130627</w:t>
      </w:r>
    </w:p>
    <w:p w14:paraId="1794D702" w14:textId="44093833" w:rsidR="00F52958" w:rsidRPr="00705716" w:rsidRDefault="00F52958" w:rsidP="00FF1696">
      <w:pPr>
        <w:rPr>
          <w:rFonts w:cs="Times New Roman"/>
          <w:szCs w:val="24"/>
        </w:rPr>
      </w:pPr>
    </w:p>
    <w:p w14:paraId="30BDD984" w14:textId="7E4E6063" w:rsidR="00F52958" w:rsidRPr="00705716" w:rsidRDefault="00F52958" w:rsidP="00FF1696">
      <w:pPr>
        <w:rPr>
          <w:rFonts w:cs="Times New Roman"/>
          <w:szCs w:val="24"/>
        </w:rPr>
      </w:pPr>
    </w:p>
    <w:p w14:paraId="2BFAC155" w14:textId="4DD7A0E9" w:rsidR="00312556" w:rsidRPr="00705716" w:rsidRDefault="00312556" w:rsidP="009171E4">
      <w:pPr>
        <w:ind w:firstLine="0"/>
      </w:pPr>
    </w:p>
    <w:sdt>
      <w:sdtPr>
        <w:rPr>
          <w:rFonts w:ascii="Times New Roman" w:eastAsiaTheme="minorHAnsi" w:hAnsi="Times New Roman" w:cstheme="minorBidi"/>
          <w:color w:val="auto"/>
          <w:sz w:val="24"/>
          <w:szCs w:val="22"/>
        </w:rPr>
        <w:id w:val="1533694941"/>
        <w:docPartObj>
          <w:docPartGallery w:val="Table of Contents"/>
          <w:docPartUnique/>
        </w:docPartObj>
      </w:sdtPr>
      <w:sdtEndPr>
        <w:rPr>
          <w:b/>
          <w:bCs/>
        </w:rPr>
      </w:sdtEndPr>
      <w:sdtContent>
        <w:p w14:paraId="6851D078" w14:textId="203BB5AE" w:rsidR="00F23831" w:rsidRPr="00705716" w:rsidRDefault="00F23831" w:rsidP="00253D72">
          <w:pPr>
            <w:pStyle w:val="TOCHeading"/>
          </w:pPr>
          <w:r w:rsidRPr="00705716">
            <w:t>Contents</w:t>
          </w:r>
        </w:p>
        <w:p w14:paraId="00D79374" w14:textId="222906FB" w:rsidR="008F538F" w:rsidRDefault="00F23831">
          <w:pPr>
            <w:pStyle w:val="TOC1"/>
            <w:tabs>
              <w:tab w:val="right" w:leader="dot" w:pos="9350"/>
            </w:tabs>
            <w:rPr>
              <w:rFonts w:asciiTheme="minorHAnsi" w:eastAsiaTheme="minorEastAsia" w:hAnsiTheme="minorHAnsi"/>
              <w:noProof/>
              <w:sz w:val="22"/>
              <w:lang w:eastAsia="en-GB"/>
            </w:rPr>
          </w:pPr>
          <w:r w:rsidRPr="00705716">
            <w:fldChar w:fldCharType="begin"/>
          </w:r>
          <w:r w:rsidRPr="00705716">
            <w:instrText xml:space="preserve"> TOC \o "1-3" \h \z \u </w:instrText>
          </w:r>
          <w:r w:rsidRPr="00705716">
            <w:fldChar w:fldCharType="separate"/>
          </w:r>
          <w:hyperlink w:anchor="_Toc120175462" w:history="1">
            <w:r w:rsidR="008F538F" w:rsidRPr="00C93A49">
              <w:rPr>
                <w:rStyle w:val="Hyperlink"/>
                <w:noProof/>
              </w:rPr>
              <w:t>Introduction</w:t>
            </w:r>
            <w:r w:rsidR="008F538F">
              <w:rPr>
                <w:noProof/>
                <w:webHidden/>
              </w:rPr>
              <w:tab/>
            </w:r>
            <w:r w:rsidR="008F538F">
              <w:rPr>
                <w:noProof/>
                <w:webHidden/>
              </w:rPr>
              <w:fldChar w:fldCharType="begin"/>
            </w:r>
            <w:r w:rsidR="008F538F">
              <w:rPr>
                <w:noProof/>
                <w:webHidden/>
              </w:rPr>
              <w:instrText xml:space="preserve"> PAGEREF _Toc120175462 \h </w:instrText>
            </w:r>
            <w:r w:rsidR="008F538F">
              <w:rPr>
                <w:noProof/>
                <w:webHidden/>
              </w:rPr>
            </w:r>
            <w:r w:rsidR="008F538F">
              <w:rPr>
                <w:noProof/>
                <w:webHidden/>
              </w:rPr>
              <w:fldChar w:fldCharType="separate"/>
            </w:r>
            <w:r w:rsidR="008F538F">
              <w:rPr>
                <w:noProof/>
                <w:webHidden/>
              </w:rPr>
              <w:t>3</w:t>
            </w:r>
            <w:r w:rsidR="008F538F">
              <w:rPr>
                <w:noProof/>
                <w:webHidden/>
              </w:rPr>
              <w:fldChar w:fldCharType="end"/>
            </w:r>
          </w:hyperlink>
        </w:p>
        <w:p w14:paraId="69408CF3" w14:textId="3B4B197E" w:rsidR="008F538F" w:rsidRDefault="008F538F">
          <w:pPr>
            <w:pStyle w:val="TOC1"/>
            <w:tabs>
              <w:tab w:val="right" w:leader="dot" w:pos="9350"/>
            </w:tabs>
            <w:rPr>
              <w:rFonts w:asciiTheme="minorHAnsi" w:eastAsiaTheme="minorEastAsia" w:hAnsiTheme="minorHAnsi"/>
              <w:noProof/>
              <w:sz w:val="22"/>
              <w:lang w:eastAsia="en-GB"/>
            </w:rPr>
          </w:pPr>
          <w:hyperlink w:anchor="_Toc120175463" w:history="1">
            <w:r w:rsidRPr="00C93A49">
              <w:rPr>
                <w:rStyle w:val="Hyperlink"/>
                <w:noProof/>
              </w:rPr>
              <w:t>Literature Review</w:t>
            </w:r>
            <w:r>
              <w:rPr>
                <w:noProof/>
                <w:webHidden/>
              </w:rPr>
              <w:tab/>
            </w:r>
            <w:r>
              <w:rPr>
                <w:noProof/>
                <w:webHidden/>
              </w:rPr>
              <w:fldChar w:fldCharType="begin"/>
            </w:r>
            <w:r>
              <w:rPr>
                <w:noProof/>
                <w:webHidden/>
              </w:rPr>
              <w:instrText xml:space="preserve"> PAGEREF _Toc120175463 \h </w:instrText>
            </w:r>
            <w:r>
              <w:rPr>
                <w:noProof/>
                <w:webHidden/>
              </w:rPr>
            </w:r>
            <w:r>
              <w:rPr>
                <w:noProof/>
                <w:webHidden/>
              </w:rPr>
              <w:fldChar w:fldCharType="separate"/>
            </w:r>
            <w:r>
              <w:rPr>
                <w:noProof/>
                <w:webHidden/>
              </w:rPr>
              <w:t>4</w:t>
            </w:r>
            <w:r>
              <w:rPr>
                <w:noProof/>
                <w:webHidden/>
              </w:rPr>
              <w:fldChar w:fldCharType="end"/>
            </w:r>
          </w:hyperlink>
        </w:p>
        <w:p w14:paraId="6C6C2EE0" w14:textId="7C1404B1" w:rsidR="008F538F" w:rsidRDefault="008F538F">
          <w:pPr>
            <w:pStyle w:val="TOC1"/>
            <w:tabs>
              <w:tab w:val="right" w:leader="dot" w:pos="9350"/>
            </w:tabs>
            <w:rPr>
              <w:rFonts w:asciiTheme="minorHAnsi" w:eastAsiaTheme="minorEastAsia" w:hAnsiTheme="minorHAnsi"/>
              <w:noProof/>
              <w:sz w:val="22"/>
              <w:lang w:eastAsia="en-GB"/>
            </w:rPr>
          </w:pPr>
          <w:hyperlink w:anchor="_Toc120175464" w:history="1">
            <w:r w:rsidRPr="00C93A49">
              <w:rPr>
                <w:rStyle w:val="Hyperlink"/>
                <w:noProof/>
              </w:rPr>
              <w:t>Variables and Data Used for Regressions</w:t>
            </w:r>
            <w:r>
              <w:rPr>
                <w:noProof/>
                <w:webHidden/>
              </w:rPr>
              <w:tab/>
            </w:r>
            <w:r>
              <w:rPr>
                <w:noProof/>
                <w:webHidden/>
              </w:rPr>
              <w:fldChar w:fldCharType="begin"/>
            </w:r>
            <w:r>
              <w:rPr>
                <w:noProof/>
                <w:webHidden/>
              </w:rPr>
              <w:instrText xml:space="preserve"> PAGEREF _Toc120175464 \h </w:instrText>
            </w:r>
            <w:r>
              <w:rPr>
                <w:noProof/>
                <w:webHidden/>
              </w:rPr>
            </w:r>
            <w:r>
              <w:rPr>
                <w:noProof/>
                <w:webHidden/>
              </w:rPr>
              <w:fldChar w:fldCharType="separate"/>
            </w:r>
            <w:r>
              <w:rPr>
                <w:noProof/>
                <w:webHidden/>
              </w:rPr>
              <w:t>7</w:t>
            </w:r>
            <w:r>
              <w:rPr>
                <w:noProof/>
                <w:webHidden/>
              </w:rPr>
              <w:fldChar w:fldCharType="end"/>
            </w:r>
          </w:hyperlink>
        </w:p>
        <w:p w14:paraId="0D4F428F" w14:textId="303585EE" w:rsidR="008F538F" w:rsidRDefault="008F538F">
          <w:pPr>
            <w:pStyle w:val="TOC1"/>
            <w:tabs>
              <w:tab w:val="right" w:leader="dot" w:pos="9350"/>
            </w:tabs>
            <w:rPr>
              <w:rFonts w:asciiTheme="minorHAnsi" w:eastAsiaTheme="minorEastAsia" w:hAnsiTheme="minorHAnsi"/>
              <w:noProof/>
              <w:sz w:val="22"/>
              <w:lang w:eastAsia="en-GB"/>
            </w:rPr>
          </w:pPr>
          <w:hyperlink w:anchor="_Toc120175465" w:history="1">
            <w:r w:rsidRPr="00C93A49">
              <w:rPr>
                <w:rStyle w:val="Hyperlink"/>
                <w:noProof/>
              </w:rPr>
              <w:t>Simple Regression of Inflation on the Treasury Bill Rate</w:t>
            </w:r>
            <w:r>
              <w:rPr>
                <w:noProof/>
                <w:webHidden/>
              </w:rPr>
              <w:tab/>
            </w:r>
            <w:r>
              <w:rPr>
                <w:noProof/>
                <w:webHidden/>
              </w:rPr>
              <w:fldChar w:fldCharType="begin"/>
            </w:r>
            <w:r>
              <w:rPr>
                <w:noProof/>
                <w:webHidden/>
              </w:rPr>
              <w:instrText xml:space="preserve"> PAGEREF _Toc120175465 \h </w:instrText>
            </w:r>
            <w:r>
              <w:rPr>
                <w:noProof/>
                <w:webHidden/>
              </w:rPr>
            </w:r>
            <w:r>
              <w:rPr>
                <w:noProof/>
                <w:webHidden/>
              </w:rPr>
              <w:fldChar w:fldCharType="separate"/>
            </w:r>
            <w:r>
              <w:rPr>
                <w:noProof/>
                <w:webHidden/>
              </w:rPr>
              <w:t>8</w:t>
            </w:r>
            <w:r>
              <w:rPr>
                <w:noProof/>
                <w:webHidden/>
              </w:rPr>
              <w:fldChar w:fldCharType="end"/>
            </w:r>
          </w:hyperlink>
        </w:p>
        <w:p w14:paraId="34B9331A" w14:textId="61F23A1C" w:rsidR="008F538F" w:rsidRDefault="008F538F">
          <w:pPr>
            <w:pStyle w:val="TOC1"/>
            <w:tabs>
              <w:tab w:val="right" w:leader="dot" w:pos="9350"/>
            </w:tabs>
            <w:rPr>
              <w:rFonts w:asciiTheme="minorHAnsi" w:eastAsiaTheme="minorEastAsia" w:hAnsiTheme="minorHAnsi"/>
              <w:noProof/>
              <w:sz w:val="22"/>
              <w:lang w:eastAsia="en-GB"/>
            </w:rPr>
          </w:pPr>
          <w:hyperlink w:anchor="_Toc120175466" w:history="1">
            <w:r w:rsidRPr="00C93A49">
              <w:rPr>
                <w:rStyle w:val="Hyperlink"/>
                <w:noProof/>
              </w:rPr>
              <w:t>Treasury Bill Rate Line of Best Fit from Simple Regression</w:t>
            </w:r>
            <w:r>
              <w:rPr>
                <w:noProof/>
                <w:webHidden/>
              </w:rPr>
              <w:tab/>
            </w:r>
            <w:r>
              <w:rPr>
                <w:noProof/>
                <w:webHidden/>
              </w:rPr>
              <w:fldChar w:fldCharType="begin"/>
            </w:r>
            <w:r>
              <w:rPr>
                <w:noProof/>
                <w:webHidden/>
              </w:rPr>
              <w:instrText xml:space="preserve"> PAGEREF _Toc120175466 \h </w:instrText>
            </w:r>
            <w:r>
              <w:rPr>
                <w:noProof/>
                <w:webHidden/>
              </w:rPr>
            </w:r>
            <w:r>
              <w:rPr>
                <w:noProof/>
                <w:webHidden/>
              </w:rPr>
              <w:fldChar w:fldCharType="separate"/>
            </w:r>
            <w:r>
              <w:rPr>
                <w:noProof/>
                <w:webHidden/>
              </w:rPr>
              <w:t>9</w:t>
            </w:r>
            <w:r>
              <w:rPr>
                <w:noProof/>
                <w:webHidden/>
              </w:rPr>
              <w:fldChar w:fldCharType="end"/>
            </w:r>
          </w:hyperlink>
        </w:p>
        <w:p w14:paraId="3FEA4D67" w14:textId="654AC517" w:rsidR="008F538F" w:rsidRDefault="008F538F">
          <w:pPr>
            <w:pStyle w:val="TOC1"/>
            <w:tabs>
              <w:tab w:val="right" w:leader="dot" w:pos="9350"/>
            </w:tabs>
            <w:rPr>
              <w:rFonts w:asciiTheme="minorHAnsi" w:eastAsiaTheme="minorEastAsia" w:hAnsiTheme="minorHAnsi"/>
              <w:noProof/>
              <w:sz w:val="22"/>
              <w:lang w:eastAsia="en-GB"/>
            </w:rPr>
          </w:pPr>
          <w:hyperlink w:anchor="_Toc120175467" w:history="1">
            <w:r w:rsidRPr="00C93A49">
              <w:rPr>
                <w:rStyle w:val="Hyperlink"/>
                <w:noProof/>
              </w:rPr>
              <w:t>Multiple Regression of Inflation on the BOJ Treasury Bill Rate, BOJ Policy Rate, and JA/US Avg Monthly FX Rates</w:t>
            </w:r>
            <w:r>
              <w:rPr>
                <w:noProof/>
                <w:webHidden/>
              </w:rPr>
              <w:tab/>
            </w:r>
            <w:r>
              <w:rPr>
                <w:noProof/>
                <w:webHidden/>
              </w:rPr>
              <w:fldChar w:fldCharType="begin"/>
            </w:r>
            <w:r>
              <w:rPr>
                <w:noProof/>
                <w:webHidden/>
              </w:rPr>
              <w:instrText xml:space="preserve"> PAGEREF _Toc120175467 \h </w:instrText>
            </w:r>
            <w:r>
              <w:rPr>
                <w:noProof/>
                <w:webHidden/>
              </w:rPr>
            </w:r>
            <w:r>
              <w:rPr>
                <w:noProof/>
                <w:webHidden/>
              </w:rPr>
              <w:fldChar w:fldCharType="separate"/>
            </w:r>
            <w:r>
              <w:rPr>
                <w:noProof/>
                <w:webHidden/>
              </w:rPr>
              <w:t>10</w:t>
            </w:r>
            <w:r>
              <w:rPr>
                <w:noProof/>
                <w:webHidden/>
              </w:rPr>
              <w:fldChar w:fldCharType="end"/>
            </w:r>
          </w:hyperlink>
        </w:p>
        <w:p w14:paraId="1AA843E8" w14:textId="2A8E3A63" w:rsidR="008F538F" w:rsidRDefault="008F538F">
          <w:pPr>
            <w:pStyle w:val="TOC1"/>
            <w:tabs>
              <w:tab w:val="right" w:leader="dot" w:pos="9350"/>
            </w:tabs>
            <w:rPr>
              <w:rFonts w:asciiTheme="minorHAnsi" w:eastAsiaTheme="minorEastAsia" w:hAnsiTheme="minorHAnsi"/>
              <w:noProof/>
              <w:sz w:val="22"/>
              <w:lang w:eastAsia="en-GB"/>
            </w:rPr>
          </w:pPr>
          <w:hyperlink w:anchor="_Toc120175468" w:history="1">
            <w:r w:rsidRPr="00C93A49">
              <w:rPr>
                <w:rStyle w:val="Hyperlink"/>
                <w:noProof/>
              </w:rPr>
              <w:t>Line of Best Fit for each Independent Variable MLR</w:t>
            </w:r>
            <w:r>
              <w:rPr>
                <w:noProof/>
                <w:webHidden/>
              </w:rPr>
              <w:tab/>
            </w:r>
            <w:r>
              <w:rPr>
                <w:noProof/>
                <w:webHidden/>
              </w:rPr>
              <w:fldChar w:fldCharType="begin"/>
            </w:r>
            <w:r>
              <w:rPr>
                <w:noProof/>
                <w:webHidden/>
              </w:rPr>
              <w:instrText xml:space="preserve"> PAGEREF _Toc120175468 \h </w:instrText>
            </w:r>
            <w:r>
              <w:rPr>
                <w:noProof/>
                <w:webHidden/>
              </w:rPr>
            </w:r>
            <w:r>
              <w:rPr>
                <w:noProof/>
                <w:webHidden/>
              </w:rPr>
              <w:fldChar w:fldCharType="separate"/>
            </w:r>
            <w:r>
              <w:rPr>
                <w:noProof/>
                <w:webHidden/>
              </w:rPr>
              <w:t>11</w:t>
            </w:r>
            <w:r>
              <w:rPr>
                <w:noProof/>
                <w:webHidden/>
              </w:rPr>
              <w:fldChar w:fldCharType="end"/>
            </w:r>
          </w:hyperlink>
        </w:p>
        <w:p w14:paraId="4441ECCE" w14:textId="1BEDDB07" w:rsidR="008F538F" w:rsidRDefault="008F538F">
          <w:pPr>
            <w:pStyle w:val="TOC1"/>
            <w:tabs>
              <w:tab w:val="right" w:leader="dot" w:pos="9350"/>
            </w:tabs>
            <w:rPr>
              <w:rFonts w:asciiTheme="minorHAnsi" w:eastAsiaTheme="minorEastAsia" w:hAnsiTheme="minorHAnsi"/>
              <w:noProof/>
              <w:sz w:val="22"/>
              <w:lang w:eastAsia="en-GB"/>
            </w:rPr>
          </w:pPr>
          <w:hyperlink w:anchor="_Toc120175469" w:history="1">
            <w:r w:rsidRPr="00C93A49">
              <w:rPr>
                <w:rStyle w:val="Hyperlink"/>
                <w:noProof/>
              </w:rPr>
              <w:t>Discussion of Findings</w:t>
            </w:r>
            <w:r>
              <w:rPr>
                <w:noProof/>
                <w:webHidden/>
              </w:rPr>
              <w:tab/>
            </w:r>
            <w:r>
              <w:rPr>
                <w:noProof/>
                <w:webHidden/>
              </w:rPr>
              <w:fldChar w:fldCharType="begin"/>
            </w:r>
            <w:r>
              <w:rPr>
                <w:noProof/>
                <w:webHidden/>
              </w:rPr>
              <w:instrText xml:space="preserve"> PAGEREF _Toc120175469 \h </w:instrText>
            </w:r>
            <w:r>
              <w:rPr>
                <w:noProof/>
                <w:webHidden/>
              </w:rPr>
            </w:r>
            <w:r>
              <w:rPr>
                <w:noProof/>
                <w:webHidden/>
              </w:rPr>
              <w:fldChar w:fldCharType="separate"/>
            </w:r>
            <w:r>
              <w:rPr>
                <w:noProof/>
                <w:webHidden/>
              </w:rPr>
              <w:t>13</w:t>
            </w:r>
            <w:r>
              <w:rPr>
                <w:noProof/>
                <w:webHidden/>
              </w:rPr>
              <w:fldChar w:fldCharType="end"/>
            </w:r>
          </w:hyperlink>
        </w:p>
        <w:p w14:paraId="3026664A" w14:textId="1FA6C9E4" w:rsidR="008F538F" w:rsidRDefault="008F538F">
          <w:pPr>
            <w:pStyle w:val="TOC1"/>
            <w:tabs>
              <w:tab w:val="right" w:leader="dot" w:pos="9350"/>
            </w:tabs>
            <w:rPr>
              <w:rFonts w:asciiTheme="minorHAnsi" w:eastAsiaTheme="minorEastAsia" w:hAnsiTheme="minorHAnsi"/>
              <w:noProof/>
              <w:sz w:val="22"/>
              <w:lang w:eastAsia="en-GB"/>
            </w:rPr>
          </w:pPr>
          <w:hyperlink w:anchor="_Toc120175470" w:history="1">
            <w:r w:rsidRPr="00C93A49">
              <w:rPr>
                <w:rStyle w:val="Hyperlink"/>
                <w:noProof/>
              </w:rPr>
              <w:t>Recommendations for the BOJ</w:t>
            </w:r>
            <w:r>
              <w:rPr>
                <w:noProof/>
                <w:webHidden/>
              </w:rPr>
              <w:tab/>
            </w:r>
            <w:r>
              <w:rPr>
                <w:noProof/>
                <w:webHidden/>
              </w:rPr>
              <w:fldChar w:fldCharType="begin"/>
            </w:r>
            <w:r>
              <w:rPr>
                <w:noProof/>
                <w:webHidden/>
              </w:rPr>
              <w:instrText xml:space="preserve"> PAGEREF _Toc120175470 \h </w:instrText>
            </w:r>
            <w:r>
              <w:rPr>
                <w:noProof/>
                <w:webHidden/>
              </w:rPr>
            </w:r>
            <w:r>
              <w:rPr>
                <w:noProof/>
                <w:webHidden/>
              </w:rPr>
              <w:fldChar w:fldCharType="separate"/>
            </w:r>
            <w:r>
              <w:rPr>
                <w:noProof/>
                <w:webHidden/>
              </w:rPr>
              <w:t>16</w:t>
            </w:r>
            <w:r>
              <w:rPr>
                <w:noProof/>
                <w:webHidden/>
              </w:rPr>
              <w:fldChar w:fldCharType="end"/>
            </w:r>
          </w:hyperlink>
        </w:p>
        <w:p w14:paraId="4C2EFB5A" w14:textId="2DE77379" w:rsidR="008F538F" w:rsidRDefault="008F538F">
          <w:pPr>
            <w:pStyle w:val="TOC1"/>
            <w:tabs>
              <w:tab w:val="right" w:leader="dot" w:pos="9350"/>
            </w:tabs>
            <w:rPr>
              <w:rFonts w:asciiTheme="minorHAnsi" w:eastAsiaTheme="minorEastAsia" w:hAnsiTheme="minorHAnsi"/>
              <w:noProof/>
              <w:sz w:val="22"/>
              <w:lang w:eastAsia="en-GB"/>
            </w:rPr>
          </w:pPr>
          <w:hyperlink w:anchor="_Toc120175471" w:history="1">
            <w:r w:rsidRPr="00C93A49">
              <w:rPr>
                <w:rStyle w:val="Hyperlink"/>
                <w:noProof/>
              </w:rPr>
              <w:t>How Could the Research Be Improved?</w:t>
            </w:r>
            <w:r>
              <w:rPr>
                <w:noProof/>
                <w:webHidden/>
              </w:rPr>
              <w:tab/>
            </w:r>
            <w:r>
              <w:rPr>
                <w:noProof/>
                <w:webHidden/>
              </w:rPr>
              <w:fldChar w:fldCharType="begin"/>
            </w:r>
            <w:r>
              <w:rPr>
                <w:noProof/>
                <w:webHidden/>
              </w:rPr>
              <w:instrText xml:space="preserve"> PAGEREF _Toc120175471 \h </w:instrText>
            </w:r>
            <w:r>
              <w:rPr>
                <w:noProof/>
                <w:webHidden/>
              </w:rPr>
            </w:r>
            <w:r>
              <w:rPr>
                <w:noProof/>
                <w:webHidden/>
              </w:rPr>
              <w:fldChar w:fldCharType="separate"/>
            </w:r>
            <w:r>
              <w:rPr>
                <w:noProof/>
                <w:webHidden/>
              </w:rPr>
              <w:t>18</w:t>
            </w:r>
            <w:r>
              <w:rPr>
                <w:noProof/>
                <w:webHidden/>
              </w:rPr>
              <w:fldChar w:fldCharType="end"/>
            </w:r>
          </w:hyperlink>
        </w:p>
        <w:p w14:paraId="416D76B3" w14:textId="13D7DFB8" w:rsidR="008F538F" w:rsidRDefault="008F538F">
          <w:pPr>
            <w:pStyle w:val="TOC1"/>
            <w:tabs>
              <w:tab w:val="right" w:leader="dot" w:pos="9350"/>
            </w:tabs>
            <w:rPr>
              <w:rFonts w:asciiTheme="minorHAnsi" w:eastAsiaTheme="minorEastAsia" w:hAnsiTheme="minorHAnsi"/>
              <w:noProof/>
              <w:sz w:val="22"/>
              <w:lang w:eastAsia="en-GB"/>
            </w:rPr>
          </w:pPr>
          <w:hyperlink w:anchor="_Toc120175472" w:history="1">
            <w:r w:rsidRPr="00C93A49">
              <w:rPr>
                <w:rStyle w:val="Hyperlink"/>
                <w:noProof/>
                <w:lang w:val="en-US"/>
              </w:rPr>
              <w:t>Conclusion</w:t>
            </w:r>
            <w:r>
              <w:rPr>
                <w:noProof/>
                <w:webHidden/>
              </w:rPr>
              <w:tab/>
            </w:r>
            <w:r>
              <w:rPr>
                <w:noProof/>
                <w:webHidden/>
              </w:rPr>
              <w:fldChar w:fldCharType="begin"/>
            </w:r>
            <w:r>
              <w:rPr>
                <w:noProof/>
                <w:webHidden/>
              </w:rPr>
              <w:instrText xml:space="preserve"> PAGEREF _Toc120175472 \h </w:instrText>
            </w:r>
            <w:r>
              <w:rPr>
                <w:noProof/>
                <w:webHidden/>
              </w:rPr>
            </w:r>
            <w:r>
              <w:rPr>
                <w:noProof/>
                <w:webHidden/>
              </w:rPr>
              <w:fldChar w:fldCharType="separate"/>
            </w:r>
            <w:r>
              <w:rPr>
                <w:noProof/>
                <w:webHidden/>
              </w:rPr>
              <w:t>20</w:t>
            </w:r>
            <w:r>
              <w:rPr>
                <w:noProof/>
                <w:webHidden/>
              </w:rPr>
              <w:fldChar w:fldCharType="end"/>
            </w:r>
          </w:hyperlink>
        </w:p>
        <w:p w14:paraId="1F6F840D" w14:textId="32492A93" w:rsidR="008F538F" w:rsidRDefault="008F538F">
          <w:pPr>
            <w:pStyle w:val="TOC1"/>
            <w:tabs>
              <w:tab w:val="right" w:leader="dot" w:pos="9350"/>
            </w:tabs>
            <w:rPr>
              <w:rFonts w:asciiTheme="minorHAnsi" w:eastAsiaTheme="minorEastAsia" w:hAnsiTheme="minorHAnsi"/>
              <w:noProof/>
              <w:sz w:val="22"/>
              <w:lang w:eastAsia="en-GB"/>
            </w:rPr>
          </w:pPr>
          <w:hyperlink w:anchor="_Toc120175473" w:history="1">
            <w:r w:rsidRPr="00C93A49">
              <w:rPr>
                <w:rStyle w:val="Hyperlink"/>
                <w:noProof/>
              </w:rPr>
              <w:t>References</w:t>
            </w:r>
            <w:r>
              <w:rPr>
                <w:noProof/>
                <w:webHidden/>
              </w:rPr>
              <w:tab/>
            </w:r>
            <w:r>
              <w:rPr>
                <w:noProof/>
                <w:webHidden/>
              </w:rPr>
              <w:fldChar w:fldCharType="begin"/>
            </w:r>
            <w:r>
              <w:rPr>
                <w:noProof/>
                <w:webHidden/>
              </w:rPr>
              <w:instrText xml:space="preserve"> PAGEREF _Toc120175473 \h </w:instrText>
            </w:r>
            <w:r>
              <w:rPr>
                <w:noProof/>
                <w:webHidden/>
              </w:rPr>
            </w:r>
            <w:r>
              <w:rPr>
                <w:noProof/>
                <w:webHidden/>
              </w:rPr>
              <w:fldChar w:fldCharType="separate"/>
            </w:r>
            <w:r>
              <w:rPr>
                <w:noProof/>
                <w:webHidden/>
              </w:rPr>
              <w:t>21</w:t>
            </w:r>
            <w:r>
              <w:rPr>
                <w:noProof/>
                <w:webHidden/>
              </w:rPr>
              <w:fldChar w:fldCharType="end"/>
            </w:r>
          </w:hyperlink>
        </w:p>
        <w:p w14:paraId="25B78654" w14:textId="1429A418" w:rsidR="00F23831" w:rsidRPr="00705716" w:rsidRDefault="00F23831">
          <w:r w:rsidRPr="00705716">
            <w:rPr>
              <w:b/>
              <w:bCs/>
            </w:rPr>
            <w:fldChar w:fldCharType="end"/>
          </w:r>
        </w:p>
      </w:sdtContent>
    </w:sdt>
    <w:p w14:paraId="6444EBF9" w14:textId="431DADC9" w:rsidR="00312556" w:rsidRPr="00705716" w:rsidRDefault="00312556" w:rsidP="00FF1696"/>
    <w:p w14:paraId="64A0DB4C" w14:textId="0A09E64D" w:rsidR="00312556" w:rsidRPr="00705716" w:rsidRDefault="00312556" w:rsidP="00FF1696"/>
    <w:p w14:paraId="38D4DCD5" w14:textId="5928AE72" w:rsidR="00312556" w:rsidRPr="00705716" w:rsidRDefault="00312556" w:rsidP="00FF1696"/>
    <w:p w14:paraId="08B927CE" w14:textId="4238BBE3" w:rsidR="00312556" w:rsidRPr="00705716" w:rsidRDefault="00312556" w:rsidP="00FF1696"/>
    <w:p w14:paraId="158CDA32" w14:textId="579B64C3" w:rsidR="00312556" w:rsidRPr="00705716" w:rsidRDefault="00312556" w:rsidP="00FF1696"/>
    <w:p w14:paraId="05132648" w14:textId="77777777" w:rsidR="00312556" w:rsidRPr="00705716" w:rsidRDefault="00312556" w:rsidP="00A027F1">
      <w:pPr>
        <w:ind w:firstLine="0"/>
      </w:pPr>
    </w:p>
    <w:p w14:paraId="758E5E8A" w14:textId="58F411BE" w:rsidR="00A027F1" w:rsidRDefault="00FF60D9" w:rsidP="00253D72">
      <w:pPr>
        <w:pStyle w:val="Heading1"/>
      </w:pPr>
      <w:bookmarkStart w:id="0" w:name="_Toc120175462"/>
      <w:r>
        <w:t>Introduction</w:t>
      </w:r>
      <w:bookmarkEnd w:id="0"/>
    </w:p>
    <w:p w14:paraId="11BE67E3" w14:textId="5626A34A" w:rsidR="00DE5BDC" w:rsidRDefault="00DE5BDC" w:rsidP="00727170">
      <w:pPr>
        <w:rPr>
          <w:lang w:val="en-US"/>
        </w:rPr>
      </w:pPr>
      <w:r w:rsidRPr="00DE5BDC">
        <w:rPr>
          <w:lang w:val="en-US"/>
        </w:rPr>
        <w:t>Regression analysis is a statistical tool used to model the relationship between a dependent variable and one or more independent variables (Koto, 2013). This research aims to est</w:t>
      </w:r>
      <w:r w:rsidR="00F612FE">
        <w:rPr>
          <w:lang w:val="en-US"/>
        </w:rPr>
        <w:t xml:space="preserve">imate </w:t>
      </w:r>
      <w:r w:rsidRPr="00DE5BDC">
        <w:rPr>
          <w:lang w:val="en-US"/>
        </w:rPr>
        <w:t xml:space="preserve">the relationship between </w:t>
      </w:r>
      <w:r w:rsidR="0098026F">
        <w:rPr>
          <w:lang w:val="en-US"/>
        </w:rPr>
        <w:t xml:space="preserve">the </w:t>
      </w:r>
      <w:r w:rsidR="0053700A">
        <w:rPr>
          <w:lang w:val="en-US"/>
        </w:rPr>
        <w:t xml:space="preserve">Jamaican </w:t>
      </w:r>
      <w:r w:rsidR="0098026F">
        <w:rPr>
          <w:lang w:val="en-US"/>
        </w:rPr>
        <w:t>inflation</w:t>
      </w:r>
      <w:r w:rsidR="000007EA">
        <w:rPr>
          <w:lang w:val="en-US"/>
        </w:rPr>
        <w:t xml:space="preserve"> rate</w:t>
      </w:r>
      <w:r w:rsidR="002665F7">
        <w:rPr>
          <w:lang w:val="en-US"/>
        </w:rPr>
        <w:t xml:space="preserve">, the </w:t>
      </w:r>
      <w:r w:rsidR="00AC43C4">
        <w:rPr>
          <w:lang w:val="en-US"/>
        </w:rPr>
        <w:t xml:space="preserve">Bank of Jamaica’s </w:t>
      </w:r>
      <w:r w:rsidR="002665F7">
        <w:rPr>
          <w:lang w:val="en-US"/>
        </w:rPr>
        <w:t>treasury bill rate</w:t>
      </w:r>
      <w:r w:rsidR="00C31C8B">
        <w:rPr>
          <w:lang w:val="en-US"/>
        </w:rPr>
        <w:t xml:space="preserve">, </w:t>
      </w:r>
      <w:r w:rsidR="00FE37B8">
        <w:rPr>
          <w:lang w:val="en-US"/>
        </w:rPr>
        <w:t>the</w:t>
      </w:r>
      <w:r w:rsidR="00AC43C4">
        <w:rPr>
          <w:lang w:val="en-US"/>
        </w:rPr>
        <w:t xml:space="preserve"> Bank of Jamaica's policy</w:t>
      </w:r>
      <w:r w:rsidR="00C31C8B">
        <w:rPr>
          <w:lang w:val="en-US"/>
        </w:rPr>
        <w:t xml:space="preserve"> rate </w:t>
      </w:r>
      <w:r w:rsidR="002665F7">
        <w:rPr>
          <w:lang w:val="en-US"/>
        </w:rPr>
        <w:t>and the JMD</w:t>
      </w:r>
      <w:r w:rsidR="000007EA">
        <w:rPr>
          <w:lang w:val="en-US"/>
        </w:rPr>
        <w:t xml:space="preserve">/USD </w:t>
      </w:r>
      <w:r w:rsidR="00E02C39">
        <w:rPr>
          <w:lang w:val="en-US"/>
        </w:rPr>
        <w:t xml:space="preserve">monthly average </w:t>
      </w:r>
      <w:r w:rsidR="000007EA">
        <w:rPr>
          <w:lang w:val="en-US"/>
        </w:rPr>
        <w:t xml:space="preserve">exchange </w:t>
      </w:r>
      <w:r w:rsidR="008C6D8C">
        <w:rPr>
          <w:lang w:val="en-US"/>
        </w:rPr>
        <w:t>over sample</w:t>
      </w:r>
      <w:r w:rsidR="000350E6">
        <w:rPr>
          <w:lang w:val="en-US"/>
        </w:rPr>
        <w:t xml:space="preserve"> the</w:t>
      </w:r>
      <w:r w:rsidR="008C6D8C">
        <w:rPr>
          <w:lang w:val="en-US"/>
        </w:rPr>
        <w:t xml:space="preserve"> period of </w:t>
      </w:r>
      <w:r w:rsidRPr="00DE5BDC">
        <w:rPr>
          <w:lang w:val="en-US"/>
        </w:rPr>
        <w:t>March 2020 to March 2022</w:t>
      </w:r>
      <w:r w:rsidR="00801365">
        <w:rPr>
          <w:lang w:val="en-US"/>
        </w:rPr>
        <w:t xml:space="preserve"> using regression analysis</w:t>
      </w:r>
      <w:r w:rsidRPr="00DE5BDC">
        <w:rPr>
          <w:lang w:val="en-US"/>
        </w:rPr>
        <w:t xml:space="preserve">. For </w:t>
      </w:r>
      <w:r w:rsidR="000E28B4">
        <w:rPr>
          <w:lang w:val="en-US"/>
        </w:rPr>
        <w:t>our analysis</w:t>
      </w:r>
      <w:r w:rsidR="00E245AB">
        <w:rPr>
          <w:lang w:val="en-US"/>
        </w:rPr>
        <w:t>,</w:t>
      </w:r>
      <w:r w:rsidR="0064172A">
        <w:rPr>
          <w:lang w:val="en-US"/>
        </w:rPr>
        <w:t xml:space="preserve"> </w:t>
      </w:r>
      <w:r w:rsidRPr="00DE5BDC">
        <w:rPr>
          <w:lang w:val="en-US"/>
        </w:rPr>
        <w:t xml:space="preserve">the </w:t>
      </w:r>
      <w:r w:rsidR="006B1EDE">
        <w:rPr>
          <w:lang w:val="en-US"/>
        </w:rPr>
        <w:t xml:space="preserve">inflation rate was regressed </w:t>
      </w:r>
      <w:r w:rsidR="000E28B4">
        <w:rPr>
          <w:lang w:val="en-US"/>
        </w:rPr>
        <w:t>upon the following variables</w:t>
      </w:r>
      <w:r w:rsidR="00AC43C4">
        <w:rPr>
          <w:lang w:val="en-US"/>
        </w:rPr>
        <w:t xml:space="preserve">: the </w:t>
      </w:r>
      <w:r w:rsidR="00E245AB">
        <w:rPr>
          <w:lang w:val="en-US"/>
        </w:rPr>
        <w:t xml:space="preserve">BOJ </w:t>
      </w:r>
      <w:r w:rsidR="00AC43C4">
        <w:rPr>
          <w:lang w:val="en-US"/>
        </w:rPr>
        <w:t>treasury bill rate, the</w:t>
      </w:r>
      <w:r w:rsidR="00E245AB">
        <w:rPr>
          <w:lang w:val="en-US"/>
        </w:rPr>
        <w:t xml:space="preserve"> BOJ p</w:t>
      </w:r>
      <w:r w:rsidR="00E50C41">
        <w:rPr>
          <w:lang w:val="en-US"/>
        </w:rPr>
        <w:t xml:space="preserve">olicy rate, and </w:t>
      </w:r>
      <w:r w:rsidR="00770CA3">
        <w:rPr>
          <w:lang w:val="en-US"/>
        </w:rPr>
        <w:t xml:space="preserve">the </w:t>
      </w:r>
      <w:r w:rsidR="00E50C41">
        <w:rPr>
          <w:lang w:val="en-US"/>
        </w:rPr>
        <w:t>JMD</w:t>
      </w:r>
      <w:r w:rsidR="00770CA3">
        <w:rPr>
          <w:lang w:val="en-US"/>
        </w:rPr>
        <w:t>/</w:t>
      </w:r>
      <w:r w:rsidR="00E50C41">
        <w:rPr>
          <w:lang w:val="en-US"/>
        </w:rPr>
        <w:t xml:space="preserve">USD </w:t>
      </w:r>
      <w:r w:rsidR="00E02C39">
        <w:rPr>
          <w:lang w:val="en-US"/>
        </w:rPr>
        <w:t>monthly average exchan</w:t>
      </w:r>
      <w:r w:rsidR="0053700A">
        <w:rPr>
          <w:lang w:val="en-US"/>
        </w:rPr>
        <w:t xml:space="preserve">ge </w:t>
      </w:r>
      <w:r w:rsidR="00770CA3">
        <w:rPr>
          <w:lang w:val="en-US"/>
        </w:rPr>
        <w:t>rate</w:t>
      </w:r>
      <w:r w:rsidRPr="00DE5BDC">
        <w:rPr>
          <w:lang w:val="en-US"/>
        </w:rPr>
        <w:t xml:space="preserve">. </w:t>
      </w:r>
      <w:r w:rsidR="00727170">
        <w:rPr>
          <w:lang w:val="en-US"/>
        </w:rPr>
        <w:t xml:space="preserve">From </w:t>
      </w:r>
      <w:r w:rsidR="00D81B85">
        <w:rPr>
          <w:lang w:val="en-US"/>
        </w:rPr>
        <w:t xml:space="preserve">this </w:t>
      </w:r>
      <w:r w:rsidR="00727170">
        <w:rPr>
          <w:lang w:val="en-US"/>
        </w:rPr>
        <w:t>analysis</w:t>
      </w:r>
      <w:r w:rsidR="00A21C3B">
        <w:rPr>
          <w:lang w:val="en-US"/>
        </w:rPr>
        <w:t xml:space="preserve">, </w:t>
      </w:r>
      <w:r w:rsidR="00D81B85">
        <w:rPr>
          <w:lang w:val="en-US"/>
        </w:rPr>
        <w:t xml:space="preserve">the researchers </w:t>
      </w:r>
      <w:r w:rsidR="00F62387">
        <w:rPr>
          <w:lang w:val="en-US"/>
        </w:rPr>
        <w:t xml:space="preserve">want to </w:t>
      </w:r>
      <w:r w:rsidR="00A772A8">
        <w:rPr>
          <w:lang w:val="en-US"/>
        </w:rPr>
        <w:t xml:space="preserve">test </w:t>
      </w:r>
      <w:r w:rsidR="00BC61D2">
        <w:rPr>
          <w:lang w:val="en-US"/>
        </w:rPr>
        <w:t xml:space="preserve">whether </w:t>
      </w:r>
      <w:r w:rsidR="008D5EFA">
        <w:rPr>
          <w:lang w:val="en-US"/>
        </w:rPr>
        <w:t xml:space="preserve">established principles such as </w:t>
      </w:r>
      <w:r w:rsidR="00CB5880">
        <w:rPr>
          <w:lang w:val="en-US"/>
        </w:rPr>
        <w:t>the Fisher effect and th</w:t>
      </w:r>
      <w:r w:rsidR="00031C57">
        <w:rPr>
          <w:lang w:val="en-US"/>
        </w:rPr>
        <w:t xml:space="preserve">e Taylor rule </w:t>
      </w:r>
      <w:r w:rsidR="00740F53">
        <w:rPr>
          <w:lang w:val="en-US"/>
        </w:rPr>
        <w:t xml:space="preserve">hold for </w:t>
      </w:r>
      <w:r w:rsidR="00031C57">
        <w:rPr>
          <w:lang w:val="en-US"/>
        </w:rPr>
        <w:t xml:space="preserve">the </w:t>
      </w:r>
      <w:r w:rsidR="00DC3FDC">
        <w:rPr>
          <w:lang w:val="en-US"/>
        </w:rPr>
        <w:t xml:space="preserve">estimated </w:t>
      </w:r>
      <w:r w:rsidR="00031C57">
        <w:rPr>
          <w:lang w:val="en-US"/>
        </w:rPr>
        <w:t>relationship</w:t>
      </w:r>
      <w:r w:rsidR="0065444C">
        <w:rPr>
          <w:lang w:val="en-US"/>
        </w:rPr>
        <w:t xml:space="preserve"> </w:t>
      </w:r>
      <w:r w:rsidR="00DC3FDC">
        <w:rPr>
          <w:lang w:val="en-US"/>
        </w:rPr>
        <w:t xml:space="preserve">between some </w:t>
      </w:r>
      <w:r w:rsidR="00FD15F7">
        <w:rPr>
          <w:lang w:val="en-US"/>
        </w:rPr>
        <w:t xml:space="preserve">of the </w:t>
      </w:r>
      <w:r w:rsidR="00DD121E">
        <w:rPr>
          <w:lang w:val="en-US"/>
        </w:rPr>
        <w:t xml:space="preserve">variables used in the </w:t>
      </w:r>
      <w:r w:rsidR="0064000F">
        <w:rPr>
          <w:lang w:val="en-US"/>
        </w:rPr>
        <w:t>model</w:t>
      </w:r>
      <w:r w:rsidR="00446938">
        <w:rPr>
          <w:lang w:val="en-US"/>
        </w:rPr>
        <w:t xml:space="preserve"> and make recommendations</w:t>
      </w:r>
      <w:r w:rsidR="00FD15F7">
        <w:rPr>
          <w:lang w:val="en-US"/>
        </w:rPr>
        <w:t xml:space="preserve">. </w:t>
      </w:r>
      <w:r w:rsidR="003A271F">
        <w:rPr>
          <w:lang w:val="en-US"/>
        </w:rPr>
        <w:t xml:space="preserve">Higher global </w:t>
      </w:r>
      <w:r w:rsidR="00EA3791">
        <w:rPr>
          <w:lang w:val="en-US"/>
        </w:rPr>
        <w:t>inflation</w:t>
      </w:r>
      <w:r w:rsidR="00C7501F">
        <w:rPr>
          <w:lang w:val="en-US"/>
        </w:rPr>
        <w:t xml:space="preserve"> due to </w:t>
      </w:r>
      <w:r w:rsidR="004804C8">
        <w:rPr>
          <w:lang w:val="en-US"/>
        </w:rPr>
        <w:t>polic</w:t>
      </w:r>
      <w:r w:rsidR="00FE71C3">
        <w:rPr>
          <w:lang w:val="en-US"/>
        </w:rPr>
        <w:t>i</w:t>
      </w:r>
      <w:r w:rsidR="004804C8">
        <w:rPr>
          <w:lang w:val="en-US"/>
        </w:rPr>
        <w:t xml:space="preserve">es implemented </w:t>
      </w:r>
      <w:r w:rsidR="00FE71C3">
        <w:rPr>
          <w:lang w:val="en-US"/>
        </w:rPr>
        <w:t xml:space="preserve">in response </w:t>
      </w:r>
      <w:r w:rsidR="00E07E31">
        <w:rPr>
          <w:lang w:val="en-US"/>
        </w:rPr>
        <w:t xml:space="preserve">to COVID-19 </w:t>
      </w:r>
      <w:r w:rsidR="009E7D94">
        <w:rPr>
          <w:lang w:val="en-US"/>
        </w:rPr>
        <w:t>by gover</w:t>
      </w:r>
      <w:r w:rsidR="00FE71C3">
        <w:rPr>
          <w:lang w:val="en-US"/>
        </w:rPr>
        <w:t>n</w:t>
      </w:r>
      <w:r w:rsidR="009E7D94">
        <w:rPr>
          <w:lang w:val="en-US"/>
        </w:rPr>
        <w:t>ments around the world and certain geopolitical events</w:t>
      </w:r>
      <w:r w:rsidR="00230ADC">
        <w:rPr>
          <w:lang w:val="en-US"/>
        </w:rPr>
        <w:t xml:space="preserve"> served as m</w:t>
      </w:r>
      <w:r w:rsidR="004D643A">
        <w:rPr>
          <w:lang w:val="en-US"/>
        </w:rPr>
        <w:t>otivation for this research</w:t>
      </w:r>
      <w:r w:rsidR="00230ADC">
        <w:rPr>
          <w:lang w:val="en-US"/>
        </w:rPr>
        <w:t xml:space="preserve">. </w:t>
      </w:r>
      <w:r w:rsidR="004D643A">
        <w:rPr>
          <w:lang w:val="en-US"/>
        </w:rPr>
        <w:t xml:space="preserve"> </w:t>
      </w:r>
    </w:p>
    <w:p w14:paraId="6C5E491C" w14:textId="78279954" w:rsidR="00DE5BDC" w:rsidRDefault="00DE5BDC" w:rsidP="00DE5BDC">
      <w:pPr>
        <w:rPr>
          <w:lang w:val="en-US"/>
        </w:rPr>
      </w:pPr>
    </w:p>
    <w:p w14:paraId="22321A7D" w14:textId="772EE155" w:rsidR="00DE5BDC" w:rsidRDefault="00DE5BDC" w:rsidP="00DE5BDC">
      <w:pPr>
        <w:rPr>
          <w:lang w:val="en-US"/>
        </w:rPr>
      </w:pPr>
    </w:p>
    <w:p w14:paraId="5C87755C" w14:textId="53AE3173" w:rsidR="00DE5BDC" w:rsidRDefault="00DE5BDC" w:rsidP="00DE5BDC">
      <w:pPr>
        <w:rPr>
          <w:lang w:val="en-US"/>
        </w:rPr>
      </w:pPr>
    </w:p>
    <w:p w14:paraId="270CBA91" w14:textId="77777777" w:rsidR="00DE5BDC" w:rsidRPr="00DE5BDC" w:rsidRDefault="00DE5BDC" w:rsidP="00DE5BDC">
      <w:pPr>
        <w:rPr>
          <w:lang w:val="en-US"/>
        </w:rPr>
      </w:pPr>
    </w:p>
    <w:p w14:paraId="26599BF6" w14:textId="229A9DBE" w:rsidR="00DE5BDC" w:rsidRDefault="00DE5BDC" w:rsidP="00DE5BDC"/>
    <w:p w14:paraId="20A24D7A" w14:textId="77777777" w:rsidR="00712F14" w:rsidRPr="00DE5BDC" w:rsidRDefault="00712F14" w:rsidP="00DE5BDC"/>
    <w:p w14:paraId="49AAAD76" w14:textId="538472DF" w:rsidR="00F212E3" w:rsidRDefault="00FF60D9" w:rsidP="00253D72">
      <w:pPr>
        <w:pStyle w:val="Heading1"/>
      </w:pPr>
      <w:bookmarkStart w:id="1" w:name="_Toc120175463"/>
      <w:r>
        <w:lastRenderedPageBreak/>
        <w:t>Literature R</w:t>
      </w:r>
      <w:r w:rsidR="00B31F0D">
        <w:t>e</w:t>
      </w:r>
      <w:r>
        <w:t>view</w:t>
      </w:r>
      <w:bookmarkEnd w:id="1"/>
    </w:p>
    <w:p w14:paraId="66E431CE" w14:textId="7A5699DB" w:rsidR="00A027F1" w:rsidRDefault="009B51DF" w:rsidP="00AE25D6">
      <w:pPr>
        <w:rPr>
          <w:lang w:val="en-US"/>
        </w:rPr>
      </w:pPr>
      <w:r w:rsidRPr="009B51DF">
        <w:rPr>
          <w:b/>
          <w:bCs/>
          <w:lang w:val="en-US"/>
        </w:rPr>
        <w:t xml:space="preserve">        </w:t>
      </w:r>
      <w:r w:rsidRPr="00996E52">
        <w:rPr>
          <w:lang w:val="en-US"/>
        </w:rPr>
        <w:t>Inflation refers</w:t>
      </w:r>
      <w:r w:rsidRPr="009B51DF">
        <w:rPr>
          <w:b/>
          <w:lang w:val="en-US"/>
        </w:rPr>
        <w:t> </w:t>
      </w:r>
      <w:r w:rsidRPr="009B51DF">
        <w:rPr>
          <w:lang w:val="en-US"/>
        </w:rPr>
        <w:t xml:space="preserve">to a broad rise in the prices of goods and services across the economy over time, eroding purchasing power for both consumers and businesses (McKinsey &amp; Company, 2022).  According to The Economic Times (2022), </w:t>
      </w:r>
      <w:r w:rsidR="002304DC">
        <w:rPr>
          <w:iCs/>
          <w:lang w:val="en-US"/>
        </w:rPr>
        <w:t>t</w:t>
      </w:r>
      <w:r w:rsidRPr="009B51DF">
        <w:rPr>
          <w:iCs/>
          <w:lang w:val="en-US"/>
        </w:rPr>
        <w:t>reasury bills</w:t>
      </w:r>
      <w:r w:rsidRPr="009B51DF">
        <w:rPr>
          <w:b/>
          <w:bCs/>
          <w:i/>
          <w:iCs/>
          <w:lang w:val="en-US"/>
        </w:rPr>
        <w:t xml:space="preserve"> </w:t>
      </w:r>
      <w:r w:rsidRPr="009B51DF">
        <w:rPr>
          <w:lang w:val="en-US"/>
        </w:rPr>
        <w:t xml:space="preserve">are government bonds or debt securities with </w:t>
      </w:r>
      <w:r w:rsidR="001E6809">
        <w:rPr>
          <w:lang w:val="en-US"/>
        </w:rPr>
        <w:t xml:space="preserve">a </w:t>
      </w:r>
      <w:r w:rsidRPr="009B51DF">
        <w:rPr>
          <w:lang w:val="en-US"/>
        </w:rPr>
        <w:t>maturity of less than a year. Treasury bill</w:t>
      </w:r>
      <w:r w:rsidR="00175C6E">
        <w:rPr>
          <w:lang w:val="en-US"/>
        </w:rPr>
        <w:t xml:space="preserve">s are </w:t>
      </w:r>
      <w:r w:rsidR="00B82DAD">
        <w:rPr>
          <w:lang w:val="en-US"/>
        </w:rPr>
        <w:t>usu</w:t>
      </w:r>
      <w:r w:rsidR="002F12DA">
        <w:rPr>
          <w:lang w:val="en-US"/>
        </w:rPr>
        <w:t xml:space="preserve">ally sold at a discount from the bill’s face </w:t>
      </w:r>
      <w:r w:rsidR="002D27C1">
        <w:rPr>
          <w:lang w:val="en-US"/>
        </w:rPr>
        <w:t>value</w:t>
      </w:r>
      <w:r w:rsidRPr="009B51DF">
        <w:rPr>
          <w:lang w:val="en-US"/>
        </w:rPr>
        <w:t xml:space="preserve">. </w:t>
      </w:r>
      <w:r w:rsidR="002D27C1">
        <w:rPr>
          <w:lang w:val="en-US"/>
        </w:rPr>
        <w:t xml:space="preserve">The difference between the discount </w:t>
      </w:r>
      <w:r w:rsidR="0058560A">
        <w:rPr>
          <w:lang w:val="en-US"/>
        </w:rPr>
        <w:t xml:space="preserve">and the face value determines </w:t>
      </w:r>
      <w:r w:rsidR="002F61E6">
        <w:rPr>
          <w:lang w:val="en-US"/>
        </w:rPr>
        <w:t xml:space="preserve">the yield/rate for the treasury bill. </w:t>
      </w:r>
      <w:r w:rsidRPr="009B51DF">
        <w:rPr>
          <w:lang w:val="en-US"/>
        </w:rPr>
        <w:t xml:space="preserve">Treasury bills are considered very liquid due to </w:t>
      </w:r>
      <w:r w:rsidR="00C22931">
        <w:rPr>
          <w:lang w:val="en-US"/>
        </w:rPr>
        <w:t>their</w:t>
      </w:r>
      <w:r w:rsidRPr="009B51DF">
        <w:rPr>
          <w:lang w:val="en-US"/>
        </w:rPr>
        <w:t xml:space="preserve"> </w:t>
      </w:r>
      <w:r w:rsidR="00C22931">
        <w:rPr>
          <w:lang w:val="en-US"/>
        </w:rPr>
        <w:t xml:space="preserve">short </w:t>
      </w:r>
      <w:r w:rsidRPr="009B51DF">
        <w:rPr>
          <w:lang w:val="en-US"/>
        </w:rPr>
        <w:t xml:space="preserve">period of maturity. </w:t>
      </w:r>
      <w:r w:rsidR="0009535F">
        <w:rPr>
          <w:lang w:val="en-US"/>
        </w:rPr>
        <w:t xml:space="preserve">Treasury bills sold by reputable governments </w:t>
      </w:r>
      <w:r w:rsidRPr="009B51DF">
        <w:rPr>
          <w:lang w:val="en-US"/>
        </w:rPr>
        <w:t xml:space="preserve">are considered very safe </w:t>
      </w:r>
      <w:r w:rsidR="00EF09A7">
        <w:rPr>
          <w:lang w:val="en-US"/>
        </w:rPr>
        <w:t>investments</w:t>
      </w:r>
      <w:r w:rsidR="00E036A3">
        <w:rPr>
          <w:lang w:val="en-US"/>
        </w:rPr>
        <w:t xml:space="preserve"> </w:t>
      </w:r>
      <w:r w:rsidR="00A339F4">
        <w:rPr>
          <w:lang w:val="en-US"/>
        </w:rPr>
        <w:t>due to the low risk of these governments defaulting on their debt</w:t>
      </w:r>
      <w:r w:rsidRPr="009B51DF">
        <w:rPr>
          <w:lang w:val="en-US"/>
        </w:rPr>
        <w:t xml:space="preserve">. Numerous governments around the </w:t>
      </w:r>
      <w:r w:rsidR="00A012EF">
        <w:rPr>
          <w:lang w:val="en-US"/>
        </w:rPr>
        <w:t>used expansio</w:t>
      </w:r>
      <w:r w:rsidR="00DB0F18">
        <w:rPr>
          <w:lang w:val="en-US"/>
        </w:rPr>
        <w:t>n</w:t>
      </w:r>
      <w:r w:rsidR="00A012EF">
        <w:rPr>
          <w:lang w:val="en-US"/>
        </w:rPr>
        <w:t>ary moneta</w:t>
      </w:r>
      <w:r w:rsidR="00DB0F18">
        <w:rPr>
          <w:lang w:val="en-US"/>
        </w:rPr>
        <w:t>ry policy</w:t>
      </w:r>
      <w:r w:rsidR="00CD54CC">
        <w:rPr>
          <w:lang w:val="en-US"/>
        </w:rPr>
        <w:t xml:space="preserve"> in the form of stimulus packages, tax cuts</w:t>
      </w:r>
      <w:r w:rsidR="00D146E7">
        <w:rPr>
          <w:lang w:val="en-US"/>
        </w:rPr>
        <w:t xml:space="preserve">, </w:t>
      </w:r>
      <w:r w:rsidR="00CD54CC">
        <w:rPr>
          <w:lang w:val="en-US"/>
        </w:rPr>
        <w:t>and</w:t>
      </w:r>
      <w:r w:rsidR="00D146E7">
        <w:rPr>
          <w:lang w:val="en-US"/>
        </w:rPr>
        <w:t xml:space="preserve"> low-interest rates</w:t>
      </w:r>
      <w:r w:rsidR="00CD54CC">
        <w:rPr>
          <w:lang w:val="en-US"/>
        </w:rPr>
        <w:t xml:space="preserve"> </w:t>
      </w:r>
      <w:r w:rsidR="00DB0F18">
        <w:rPr>
          <w:lang w:val="en-US"/>
        </w:rPr>
        <w:t>t</w:t>
      </w:r>
      <w:r w:rsidRPr="009B51DF">
        <w:rPr>
          <w:lang w:val="en-US"/>
        </w:rPr>
        <w:t xml:space="preserve">o offset the effects of COVID-19 and the consequences </w:t>
      </w:r>
      <w:r w:rsidR="00DB0F18">
        <w:rPr>
          <w:lang w:val="en-US"/>
        </w:rPr>
        <w:t>were far</w:t>
      </w:r>
      <w:r w:rsidR="00D146E7">
        <w:rPr>
          <w:lang w:val="en-US"/>
        </w:rPr>
        <w:t>-</w:t>
      </w:r>
      <w:r w:rsidR="00DB0F18">
        <w:rPr>
          <w:lang w:val="en-US"/>
        </w:rPr>
        <w:t>reaching</w:t>
      </w:r>
      <w:r w:rsidRPr="009B51DF">
        <w:rPr>
          <w:lang w:val="en-US"/>
        </w:rPr>
        <w:t xml:space="preserve">. </w:t>
      </w:r>
      <w:r w:rsidR="00EF3842">
        <w:rPr>
          <w:lang w:val="en-US"/>
        </w:rPr>
        <w:t>Small e</w:t>
      </w:r>
      <w:r w:rsidR="00D146E7">
        <w:rPr>
          <w:lang w:val="en-US"/>
        </w:rPr>
        <w:t xml:space="preserve">conomies like </w:t>
      </w:r>
      <w:r w:rsidR="00446A58">
        <w:rPr>
          <w:lang w:val="en-US"/>
        </w:rPr>
        <w:t xml:space="preserve">that of </w:t>
      </w:r>
      <w:r w:rsidRPr="009B51DF">
        <w:rPr>
          <w:lang w:val="en-US"/>
        </w:rPr>
        <w:t>Jamaica</w:t>
      </w:r>
      <w:r w:rsidR="00446A58">
        <w:rPr>
          <w:lang w:val="en-US"/>
        </w:rPr>
        <w:t xml:space="preserve"> are </w:t>
      </w:r>
      <w:r w:rsidR="00804E81">
        <w:rPr>
          <w:lang w:val="en-US"/>
        </w:rPr>
        <w:t xml:space="preserve">susceptible to </w:t>
      </w:r>
      <w:r w:rsidR="00C300C4">
        <w:rPr>
          <w:lang w:val="en-US"/>
        </w:rPr>
        <w:t xml:space="preserve">exogenous </w:t>
      </w:r>
      <w:r w:rsidRPr="009B51DF">
        <w:rPr>
          <w:lang w:val="en-US"/>
        </w:rPr>
        <w:t xml:space="preserve">shocks. CFI (2022) highlighted that an increase in inflation would result in a fall in the </w:t>
      </w:r>
      <w:r w:rsidR="00611971">
        <w:rPr>
          <w:lang w:val="en-US"/>
        </w:rPr>
        <w:t xml:space="preserve">prices </w:t>
      </w:r>
      <w:r w:rsidRPr="009B51DF">
        <w:rPr>
          <w:lang w:val="en-US"/>
        </w:rPr>
        <w:t>o</w:t>
      </w:r>
      <w:r w:rsidR="00611971">
        <w:rPr>
          <w:lang w:val="en-US"/>
        </w:rPr>
        <w:t>f</w:t>
      </w:r>
      <w:r w:rsidRPr="009B51DF">
        <w:rPr>
          <w:lang w:val="en-US"/>
        </w:rPr>
        <w:t xml:space="preserve"> </w:t>
      </w:r>
      <w:r w:rsidR="00611971">
        <w:rPr>
          <w:lang w:val="en-US"/>
        </w:rPr>
        <w:t>t</w:t>
      </w:r>
      <w:r w:rsidRPr="009B51DF">
        <w:rPr>
          <w:lang w:val="en-US"/>
        </w:rPr>
        <w:t>reasury bills due to a fall in demand and ultimately a</w:t>
      </w:r>
      <w:r w:rsidR="00EE404A">
        <w:rPr>
          <w:lang w:val="en-US"/>
        </w:rPr>
        <w:t>n</w:t>
      </w:r>
      <w:r w:rsidRPr="009B51DF">
        <w:rPr>
          <w:lang w:val="en-US"/>
        </w:rPr>
        <w:t xml:space="preserve"> </w:t>
      </w:r>
      <w:r w:rsidR="00611971">
        <w:rPr>
          <w:lang w:val="en-US"/>
        </w:rPr>
        <w:t>increase</w:t>
      </w:r>
      <w:r w:rsidRPr="009B51DF">
        <w:rPr>
          <w:lang w:val="en-US"/>
        </w:rPr>
        <w:t xml:space="preserve"> in </w:t>
      </w:r>
      <w:r w:rsidR="000A74CB">
        <w:rPr>
          <w:lang w:val="en-US"/>
        </w:rPr>
        <w:t xml:space="preserve">the </w:t>
      </w:r>
      <w:r w:rsidR="00611971">
        <w:rPr>
          <w:lang w:val="en-US"/>
        </w:rPr>
        <w:t>rate (</w:t>
      </w:r>
      <w:r w:rsidR="00EE404A">
        <w:rPr>
          <w:lang w:val="en-US"/>
        </w:rPr>
        <w:t>recall how</w:t>
      </w:r>
      <w:r w:rsidR="00611971">
        <w:rPr>
          <w:lang w:val="en-US"/>
        </w:rPr>
        <w:t xml:space="preserve"> the </w:t>
      </w:r>
      <w:r w:rsidR="00EE404A">
        <w:rPr>
          <w:lang w:val="en-US"/>
        </w:rPr>
        <w:t xml:space="preserve">rate of treasury bills </w:t>
      </w:r>
      <w:r w:rsidR="00504A73">
        <w:rPr>
          <w:lang w:val="en-US"/>
        </w:rPr>
        <w:t>is</w:t>
      </w:r>
      <w:r w:rsidR="00BE425E">
        <w:rPr>
          <w:lang w:val="en-US"/>
        </w:rPr>
        <w:t xml:space="preserve"> </w:t>
      </w:r>
      <w:r w:rsidR="00EE404A">
        <w:rPr>
          <w:lang w:val="en-US"/>
        </w:rPr>
        <w:t>determined)</w:t>
      </w:r>
      <w:r w:rsidRPr="009B51DF">
        <w:rPr>
          <w:lang w:val="en-US"/>
        </w:rPr>
        <w:t xml:space="preserve"> since they are now less attractive.</w:t>
      </w:r>
      <w:r w:rsidR="00570157">
        <w:rPr>
          <w:lang w:val="en-US"/>
        </w:rPr>
        <w:t xml:space="preserve"> </w:t>
      </w:r>
      <w:r w:rsidR="000F4F82">
        <w:rPr>
          <w:lang w:val="en-US"/>
        </w:rPr>
        <w:t>The</w:t>
      </w:r>
      <w:r w:rsidR="00570157">
        <w:rPr>
          <w:lang w:val="en-US"/>
        </w:rPr>
        <w:t xml:space="preserve"> treasury</w:t>
      </w:r>
      <w:r w:rsidR="004653C5">
        <w:rPr>
          <w:lang w:val="en-US"/>
        </w:rPr>
        <w:t xml:space="preserve"> bill </w:t>
      </w:r>
      <w:r w:rsidR="00570157">
        <w:rPr>
          <w:lang w:val="en-US"/>
        </w:rPr>
        <w:t>becomes a less attractive investment if the rate of return is not more than the inflation rate.</w:t>
      </w:r>
    </w:p>
    <w:p w14:paraId="46C0C90D" w14:textId="5AEDE324" w:rsidR="00282856" w:rsidRPr="00282856" w:rsidRDefault="00282856" w:rsidP="00467552">
      <w:pPr>
        <w:rPr>
          <w:lang w:val="en-US"/>
        </w:rPr>
      </w:pPr>
      <w:r w:rsidRPr="00282856">
        <w:rPr>
          <w:lang w:val="en-US"/>
        </w:rPr>
        <w:t xml:space="preserve">The </w:t>
      </w:r>
      <w:r w:rsidR="00ED2AA7">
        <w:rPr>
          <w:lang w:val="en-US"/>
        </w:rPr>
        <w:t>p</w:t>
      </w:r>
      <w:r w:rsidRPr="00282856">
        <w:rPr>
          <w:lang w:val="en-US"/>
        </w:rPr>
        <w:t xml:space="preserve">olicy rate is </w:t>
      </w:r>
      <w:r w:rsidRPr="00B53C88">
        <w:rPr>
          <w:bCs/>
          <w:lang w:val="en-US"/>
        </w:rPr>
        <w:t xml:space="preserve">the interest rate that </w:t>
      </w:r>
      <w:r w:rsidR="00ED2AA7">
        <w:rPr>
          <w:bCs/>
          <w:lang w:val="en-US"/>
        </w:rPr>
        <w:t>c</w:t>
      </w:r>
      <w:r w:rsidRPr="00B53C88">
        <w:rPr>
          <w:bCs/>
          <w:lang w:val="en-US"/>
        </w:rPr>
        <w:t xml:space="preserve">entral </w:t>
      </w:r>
      <w:r w:rsidR="00ED2AA7">
        <w:rPr>
          <w:bCs/>
          <w:lang w:val="en-US"/>
        </w:rPr>
        <w:t>b</w:t>
      </w:r>
      <w:r w:rsidRPr="00B53C88">
        <w:rPr>
          <w:bCs/>
          <w:lang w:val="en-US"/>
        </w:rPr>
        <w:t>ank</w:t>
      </w:r>
      <w:r w:rsidR="00ED2AA7">
        <w:rPr>
          <w:bCs/>
          <w:lang w:val="en-US"/>
        </w:rPr>
        <w:t>s</w:t>
      </w:r>
      <w:r w:rsidRPr="00282856">
        <w:rPr>
          <w:bCs/>
          <w:i/>
          <w:iCs/>
          <w:lang w:val="en-US"/>
        </w:rPr>
        <w:t xml:space="preserve"> </w:t>
      </w:r>
      <w:r w:rsidRPr="00B53C88">
        <w:rPr>
          <w:bCs/>
          <w:lang w:val="en-US"/>
        </w:rPr>
        <w:t xml:space="preserve">charge deposit‐taking institutions for borrowing or deposits. This is a monetary instrument that is used to achieve inflation objectives. Central </w:t>
      </w:r>
      <w:r w:rsidR="004E655B">
        <w:rPr>
          <w:bCs/>
          <w:lang w:val="en-US"/>
        </w:rPr>
        <w:t>b</w:t>
      </w:r>
      <w:r w:rsidRPr="00B53C88">
        <w:rPr>
          <w:bCs/>
          <w:lang w:val="en-US"/>
        </w:rPr>
        <w:t>ank</w:t>
      </w:r>
      <w:r w:rsidR="004E655B">
        <w:rPr>
          <w:bCs/>
          <w:lang w:val="en-US"/>
        </w:rPr>
        <w:t>s</w:t>
      </w:r>
      <w:r w:rsidRPr="00B53C88">
        <w:rPr>
          <w:bCs/>
          <w:lang w:val="en-US"/>
        </w:rPr>
        <w:t xml:space="preserve"> ha</w:t>
      </w:r>
      <w:r w:rsidR="004E655B">
        <w:rPr>
          <w:bCs/>
          <w:lang w:val="en-US"/>
        </w:rPr>
        <w:t>ve</w:t>
      </w:r>
      <w:r w:rsidRPr="00B53C88">
        <w:rPr>
          <w:bCs/>
          <w:lang w:val="en-US"/>
        </w:rPr>
        <w:t xml:space="preserve"> the authority to adjust interest rates to ensure that consumers and businesses are protected. In recent times, </w:t>
      </w:r>
      <w:r w:rsidR="00A7579B">
        <w:rPr>
          <w:bCs/>
          <w:lang w:val="en-US"/>
        </w:rPr>
        <w:t>c</w:t>
      </w:r>
      <w:r w:rsidRPr="00B53C88">
        <w:rPr>
          <w:bCs/>
          <w:lang w:val="en-US"/>
        </w:rPr>
        <w:t xml:space="preserve">entral </w:t>
      </w:r>
      <w:r w:rsidR="00A7579B">
        <w:rPr>
          <w:bCs/>
          <w:lang w:val="en-US"/>
        </w:rPr>
        <w:t>b</w:t>
      </w:r>
      <w:r w:rsidRPr="00B53C88">
        <w:rPr>
          <w:bCs/>
          <w:lang w:val="en-US"/>
        </w:rPr>
        <w:t>anks around the world ha</w:t>
      </w:r>
      <w:r w:rsidR="00A7579B">
        <w:rPr>
          <w:bCs/>
          <w:lang w:val="en-US"/>
        </w:rPr>
        <w:t>ve</w:t>
      </w:r>
      <w:r w:rsidRPr="00B53C88">
        <w:rPr>
          <w:bCs/>
          <w:lang w:val="en-US"/>
        </w:rPr>
        <w:t xml:space="preserve"> increased the policy rate which resulted in investment uncertainties as the cost of borrowing is now more expensive. An increase in the policy rate aims to reduce inflation (Adrian and</w:t>
      </w:r>
      <w:r w:rsidR="00D77B46">
        <w:rPr>
          <w:bCs/>
          <w:lang w:val="en-US"/>
        </w:rPr>
        <w:t xml:space="preserve"> </w:t>
      </w:r>
      <w:proofErr w:type="spellStart"/>
      <w:r w:rsidR="00D77B46">
        <w:rPr>
          <w:lang w:val="en-US"/>
        </w:rPr>
        <w:t>Natalucci</w:t>
      </w:r>
      <w:proofErr w:type="spellEnd"/>
      <w:r w:rsidRPr="00B53C88">
        <w:rPr>
          <w:bCs/>
          <w:lang w:val="en-US"/>
        </w:rPr>
        <w:t>, 2022)</w:t>
      </w:r>
      <w:r w:rsidRPr="00282856">
        <w:rPr>
          <w:bCs/>
          <w:i/>
          <w:iCs/>
          <w:lang w:val="en-US"/>
        </w:rPr>
        <w:t xml:space="preserve">. </w:t>
      </w:r>
      <w:r w:rsidR="008A7195">
        <w:rPr>
          <w:bCs/>
          <w:lang w:val="en-US"/>
        </w:rPr>
        <w:t>Central banks</w:t>
      </w:r>
      <w:r w:rsidR="00017CD6">
        <w:rPr>
          <w:bCs/>
          <w:lang w:val="en-US"/>
        </w:rPr>
        <w:t xml:space="preserve">, however, face </w:t>
      </w:r>
      <w:r w:rsidR="001527CE">
        <w:rPr>
          <w:bCs/>
          <w:lang w:val="en-US"/>
        </w:rPr>
        <w:t xml:space="preserve">a </w:t>
      </w:r>
      <w:r w:rsidR="00017CD6">
        <w:rPr>
          <w:bCs/>
          <w:lang w:val="en-US"/>
        </w:rPr>
        <w:t>certain dil</w:t>
      </w:r>
      <w:r w:rsidR="001527CE">
        <w:rPr>
          <w:bCs/>
          <w:lang w:val="en-US"/>
        </w:rPr>
        <w:t>emma</w:t>
      </w:r>
      <w:r w:rsidR="00AD13B8">
        <w:rPr>
          <w:bCs/>
          <w:lang w:val="en-US"/>
        </w:rPr>
        <w:t>.</w:t>
      </w:r>
      <w:r w:rsidR="001527CE">
        <w:rPr>
          <w:bCs/>
          <w:lang w:val="en-US"/>
        </w:rPr>
        <w:t xml:space="preserve">  </w:t>
      </w:r>
      <w:r w:rsidR="009C004B">
        <w:rPr>
          <w:bCs/>
          <w:lang w:val="en-US"/>
        </w:rPr>
        <w:t>I</w:t>
      </w:r>
      <w:r w:rsidR="001527CE">
        <w:rPr>
          <w:bCs/>
          <w:lang w:val="en-US"/>
        </w:rPr>
        <w:t>f</w:t>
      </w:r>
      <w:r w:rsidRPr="00282856">
        <w:rPr>
          <w:lang w:val="en-US"/>
        </w:rPr>
        <w:t xml:space="preserve"> </w:t>
      </w:r>
      <w:r w:rsidR="009C004B">
        <w:rPr>
          <w:lang w:val="en-US"/>
        </w:rPr>
        <w:t>central banks</w:t>
      </w:r>
      <w:r w:rsidR="00F337ED">
        <w:rPr>
          <w:lang w:val="en-US"/>
        </w:rPr>
        <w:t xml:space="preserve"> </w:t>
      </w:r>
      <w:r w:rsidRPr="00282856">
        <w:rPr>
          <w:lang w:val="en-US"/>
        </w:rPr>
        <w:t xml:space="preserve">wanted to set interest rates to achieve low, </w:t>
      </w:r>
      <w:r w:rsidRPr="00282856">
        <w:rPr>
          <w:lang w:val="en-US"/>
        </w:rPr>
        <w:lastRenderedPageBreak/>
        <w:t xml:space="preserve">stable inflation while avoiding large fluctuations in output and employment, how would </w:t>
      </w:r>
      <w:r w:rsidR="00F337ED">
        <w:rPr>
          <w:lang w:val="en-US"/>
        </w:rPr>
        <w:t xml:space="preserve">they </w:t>
      </w:r>
      <w:r w:rsidRPr="00282856">
        <w:rPr>
          <w:lang w:val="en-US"/>
        </w:rPr>
        <w:t>do it?</w:t>
      </w:r>
      <w:r w:rsidR="008D6B1B">
        <w:rPr>
          <w:lang w:val="en-US"/>
        </w:rPr>
        <w:t xml:space="preserve"> (Mankiw, 2013)</w:t>
      </w:r>
      <w:r w:rsidRPr="00282856">
        <w:rPr>
          <w:lang w:val="en-US"/>
        </w:rPr>
        <w:t xml:space="preserve"> </w:t>
      </w:r>
      <w:r w:rsidR="00F337ED">
        <w:rPr>
          <w:lang w:val="en-US"/>
        </w:rPr>
        <w:t xml:space="preserve">Considering the tradeoff </w:t>
      </w:r>
      <w:r w:rsidR="002E408A">
        <w:rPr>
          <w:lang w:val="en-US"/>
        </w:rPr>
        <w:t>between high</w:t>
      </w:r>
      <w:r w:rsidR="00482146">
        <w:rPr>
          <w:lang w:val="en-US"/>
        </w:rPr>
        <w:t>-interest rates an</w:t>
      </w:r>
      <w:r w:rsidR="005B526E">
        <w:rPr>
          <w:lang w:val="en-US"/>
        </w:rPr>
        <w:t xml:space="preserve">d high unemployment </w:t>
      </w:r>
      <w:r w:rsidR="005F76D3">
        <w:rPr>
          <w:lang w:val="en-US"/>
        </w:rPr>
        <w:t>employment</w:t>
      </w:r>
      <w:r w:rsidR="00482146">
        <w:rPr>
          <w:lang w:val="en-US"/>
        </w:rPr>
        <w:t xml:space="preserve"> </w:t>
      </w:r>
      <w:r w:rsidR="00F337ED">
        <w:rPr>
          <w:lang w:val="en-US"/>
        </w:rPr>
        <w:t>as explained by the Phillips curve</w:t>
      </w:r>
      <w:r w:rsidR="005B526E">
        <w:rPr>
          <w:lang w:val="en-US"/>
        </w:rPr>
        <w:t>.</w:t>
      </w:r>
      <w:r w:rsidR="00086DD6">
        <w:rPr>
          <w:lang w:val="en-US"/>
        </w:rPr>
        <w:t xml:space="preserve"> However, most economists believe that monetary </w:t>
      </w:r>
      <w:r w:rsidRPr="00282856">
        <w:rPr>
          <w:lang w:val="en-US"/>
        </w:rPr>
        <w:t>policy should be focused on the control of inflation, and inflation can be reduced by increasing short-term interest rates (Alvarez et al., 2001).</w:t>
      </w:r>
      <w:r w:rsidR="00722A13">
        <w:rPr>
          <w:lang w:val="en-US"/>
        </w:rPr>
        <w:t xml:space="preserve"> Th</w:t>
      </w:r>
      <w:r w:rsidR="00FA3EB4">
        <w:rPr>
          <w:lang w:val="en-US"/>
        </w:rPr>
        <w:t xml:space="preserve">e </w:t>
      </w:r>
      <w:r w:rsidR="00722A13">
        <w:rPr>
          <w:lang w:val="en-US"/>
        </w:rPr>
        <w:t>relationship between the nomi</w:t>
      </w:r>
      <w:r w:rsidR="00CD6874">
        <w:rPr>
          <w:lang w:val="en-US"/>
        </w:rPr>
        <w:t>nal</w:t>
      </w:r>
      <w:r w:rsidR="001A79EF">
        <w:rPr>
          <w:lang w:val="en-US"/>
        </w:rPr>
        <w:t xml:space="preserve"> interest rates,</w:t>
      </w:r>
      <w:r w:rsidR="00CD6874">
        <w:rPr>
          <w:lang w:val="en-US"/>
        </w:rPr>
        <w:t xml:space="preserve"> real</w:t>
      </w:r>
      <w:r w:rsidR="0043198D">
        <w:rPr>
          <w:lang w:val="en-US"/>
        </w:rPr>
        <w:t xml:space="preserve"> </w:t>
      </w:r>
      <w:r w:rsidR="00CD6874">
        <w:rPr>
          <w:lang w:val="en-US"/>
        </w:rPr>
        <w:t xml:space="preserve">interest </w:t>
      </w:r>
      <w:r w:rsidR="0043198D">
        <w:rPr>
          <w:lang w:val="en-US"/>
        </w:rPr>
        <w:t>rates</w:t>
      </w:r>
      <w:r w:rsidR="001A79EF">
        <w:rPr>
          <w:lang w:val="en-US"/>
        </w:rPr>
        <w:t xml:space="preserve">, and inflation </w:t>
      </w:r>
      <w:r w:rsidR="0043198D">
        <w:rPr>
          <w:lang w:val="en-US"/>
        </w:rPr>
        <w:t>is</w:t>
      </w:r>
      <w:r w:rsidR="001A79EF">
        <w:rPr>
          <w:lang w:val="en-US"/>
        </w:rPr>
        <w:t xml:space="preserve"> described</w:t>
      </w:r>
      <w:r w:rsidR="0043198D">
        <w:rPr>
          <w:lang w:val="en-US"/>
        </w:rPr>
        <w:t xml:space="preserve"> by the Fisher effect</w:t>
      </w:r>
      <w:r w:rsidR="005F13E0">
        <w:rPr>
          <w:lang w:val="en-US"/>
        </w:rPr>
        <w:t>.</w:t>
      </w:r>
      <w:r w:rsidR="00F711BC" w:rsidRPr="00F711BC">
        <w:t xml:space="preserve"> </w:t>
      </w:r>
      <w:r w:rsidR="00F711BC">
        <w:t>The Fisher effect says that the nominal interest rate moves one-for-one with expected inflation</w:t>
      </w:r>
      <w:r w:rsidR="00E04794">
        <w:t xml:space="preserve"> and that real interest rates fall as </w:t>
      </w:r>
      <w:r w:rsidR="005F76D3">
        <w:t>inflation increases</w:t>
      </w:r>
      <w:r w:rsidR="00F711BC">
        <w:t xml:space="preserve"> (Mankiw,</w:t>
      </w:r>
      <w:r w:rsidR="00FC7AB5">
        <w:t xml:space="preserve"> 2013)</w:t>
      </w:r>
      <w:r w:rsidR="00F711BC">
        <w:t>.</w:t>
      </w:r>
      <w:r w:rsidRPr="00282856">
        <w:rPr>
          <w:lang w:val="en-US"/>
        </w:rPr>
        <w:t xml:space="preserve"> </w:t>
      </w:r>
      <w:r w:rsidR="00841A60">
        <w:rPr>
          <w:lang w:val="en-US"/>
        </w:rPr>
        <w:t>Considering t</w:t>
      </w:r>
      <w:r w:rsidR="00BD42A5">
        <w:rPr>
          <w:lang w:val="en-US"/>
        </w:rPr>
        <w:t>he dilemma</w:t>
      </w:r>
      <w:r w:rsidR="00B03E16">
        <w:rPr>
          <w:lang w:val="en-US"/>
        </w:rPr>
        <w:t xml:space="preserve"> earlier mentioned</w:t>
      </w:r>
      <w:r w:rsidR="00BD42A5">
        <w:rPr>
          <w:lang w:val="en-US"/>
        </w:rPr>
        <w:t xml:space="preserve"> that </w:t>
      </w:r>
      <w:r w:rsidR="00A2110F">
        <w:rPr>
          <w:lang w:val="en-US"/>
        </w:rPr>
        <w:t xml:space="preserve">exists when </w:t>
      </w:r>
      <w:r w:rsidR="00BD42A5">
        <w:rPr>
          <w:lang w:val="en-US"/>
        </w:rPr>
        <w:t xml:space="preserve">central bankers </w:t>
      </w:r>
      <w:r w:rsidR="00A2110F">
        <w:rPr>
          <w:lang w:val="en-US"/>
        </w:rPr>
        <w:t>are</w:t>
      </w:r>
      <w:r w:rsidR="00B03E16">
        <w:rPr>
          <w:lang w:val="en-US"/>
        </w:rPr>
        <w:t xml:space="preserve"> setting </w:t>
      </w:r>
      <w:r w:rsidR="00BC36EB">
        <w:rPr>
          <w:lang w:val="en-US"/>
        </w:rPr>
        <w:t>interest rate</w:t>
      </w:r>
      <w:r w:rsidR="007F7A7D">
        <w:rPr>
          <w:lang w:val="en-US"/>
        </w:rPr>
        <w:t>s</w:t>
      </w:r>
      <w:r w:rsidR="00BC36EB">
        <w:rPr>
          <w:lang w:val="en-US"/>
        </w:rPr>
        <w:t xml:space="preserve"> </w:t>
      </w:r>
      <w:r w:rsidR="00B03E16">
        <w:rPr>
          <w:lang w:val="en-US"/>
        </w:rPr>
        <w:t xml:space="preserve">there </w:t>
      </w:r>
      <w:r w:rsidRPr="00282856">
        <w:rPr>
          <w:lang w:val="en-US"/>
        </w:rPr>
        <w:t xml:space="preserve">exists some discord about the effect of monetary policy and its use in the short run </w:t>
      </w:r>
      <w:bookmarkStart w:id="2" w:name="_Hlk120166118"/>
      <w:r w:rsidRPr="00282856">
        <w:rPr>
          <w:lang w:val="en-US"/>
        </w:rPr>
        <w:t>(Abel et al., 2011)</w:t>
      </w:r>
      <w:bookmarkEnd w:id="2"/>
      <w:r w:rsidRPr="00282856">
        <w:rPr>
          <w:lang w:val="en-US"/>
        </w:rPr>
        <w:t>. Classical macroeconomists believe that monetary policy should be essentially automatic. In its control of the money supply, the central bank should be required to follow a set of simple, pre-specified, and publicly announced rules</w:t>
      </w:r>
      <w:r w:rsidR="00CE4D26">
        <w:rPr>
          <w:lang w:val="en-US"/>
        </w:rPr>
        <w:t xml:space="preserve"> </w:t>
      </w:r>
      <w:r w:rsidR="00AD1980" w:rsidRPr="00AD1980">
        <w:rPr>
          <w:lang w:val="en-US"/>
        </w:rPr>
        <w:t>(Abel et al., 2011)</w:t>
      </w:r>
      <w:r w:rsidRPr="00282856">
        <w:rPr>
          <w:lang w:val="en-US"/>
        </w:rPr>
        <w:t>. The opposite of the rules approach, which has been supported by most (though not all) Keynesian economists, is called discretion</w:t>
      </w:r>
      <w:r w:rsidR="00755403">
        <w:rPr>
          <w:lang w:val="en-US"/>
        </w:rPr>
        <w:t xml:space="preserve"> </w:t>
      </w:r>
      <w:r w:rsidR="00AD1980" w:rsidRPr="00AD1980">
        <w:rPr>
          <w:lang w:val="en-US"/>
        </w:rPr>
        <w:t>(Abel et al., 2011)</w:t>
      </w:r>
      <w:r w:rsidRPr="00282856">
        <w:rPr>
          <w:lang w:val="en-US"/>
        </w:rPr>
        <w:t xml:space="preserve">. The idea behind discretion is that the central bank should be free to conduct monetary policy in any way it believes will advance the ultimate objectives of low and stable inflation, high economic growth, and low unemployment. Taylor’s Rule provides a middle ground between the two opposing views because although it is a rule, it allows for the consideration of economic conditions, in other words, it allows for some discretion. Taylor (1993) believes it is practically impossible to follow mechanically any particular algebraic formula that describes the monetary policy rule. The Taylor Rule adjusts the equilibrium rate based on divergence in inflation and real GDP growth from the central bank's targets. The rule prescribes a higher interest rate when inflation is above target, and a lower one if inflation is lagging. Critics argued that the basic </w:t>
      </w:r>
      <w:r w:rsidRPr="00282856">
        <w:rPr>
          <w:lang w:val="en-US"/>
        </w:rPr>
        <w:lastRenderedPageBreak/>
        <w:t xml:space="preserve">Taylor Rule formula doesn't account for the ineffectiveness of negative interest rates or alternative monetary policy tools like asset purchases </w:t>
      </w:r>
      <w:r w:rsidR="00FF3AFC">
        <w:rPr>
          <w:lang w:val="en-US"/>
        </w:rPr>
        <w:t>(</w:t>
      </w:r>
      <w:proofErr w:type="spellStart"/>
      <w:r w:rsidRPr="00282856">
        <w:rPr>
          <w:lang w:val="en-US"/>
        </w:rPr>
        <w:t>Nikolsko‐Rzhevskyy</w:t>
      </w:r>
      <w:proofErr w:type="spellEnd"/>
      <w:r w:rsidR="00FF3AFC">
        <w:rPr>
          <w:lang w:val="en-US"/>
        </w:rPr>
        <w:t xml:space="preserve"> and </w:t>
      </w:r>
      <w:r w:rsidRPr="00282856">
        <w:rPr>
          <w:lang w:val="en-US"/>
        </w:rPr>
        <w:t>Papell</w:t>
      </w:r>
      <w:r w:rsidR="00FF3AFC">
        <w:rPr>
          <w:lang w:val="en-US"/>
        </w:rPr>
        <w:t xml:space="preserve">, </w:t>
      </w:r>
      <w:r w:rsidRPr="00282856">
        <w:rPr>
          <w:lang w:val="en-US"/>
        </w:rPr>
        <w:t xml:space="preserve">2013). </w:t>
      </w:r>
    </w:p>
    <w:p w14:paraId="6CEDD5D5" w14:textId="4BBC6052" w:rsidR="00282856" w:rsidRPr="00282856" w:rsidRDefault="00282856" w:rsidP="00467552">
      <w:pPr>
        <w:rPr>
          <w:lang w:val="en-US"/>
        </w:rPr>
      </w:pPr>
      <w:r w:rsidRPr="00282856">
        <w:rPr>
          <w:lang w:val="en-US"/>
        </w:rPr>
        <w:t xml:space="preserve">The exchange rate is the price of one country’s </w:t>
      </w:r>
      <w:r w:rsidR="001E296E">
        <w:rPr>
          <w:lang w:val="en-US"/>
        </w:rPr>
        <w:t>currency</w:t>
      </w:r>
      <w:r w:rsidRPr="00282856">
        <w:rPr>
          <w:lang w:val="en-US"/>
        </w:rPr>
        <w:t xml:space="preserve"> in terms of another. </w:t>
      </w:r>
      <w:r w:rsidR="003633EE">
        <w:rPr>
          <w:lang w:val="en-US"/>
        </w:rPr>
        <w:t xml:space="preserve">As Jamaica is </w:t>
      </w:r>
      <w:r w:rsidR="00D34DDA">
        <w:rPr>
          <w:lang w:val="en-US"/>
        </w:rPr>
        <w:t xml:space="preserve">a </w:t>
      </w:r>
      <w:r w:rsidR="003633EE">
        <w:rPr>
          <w:lang w:val="en-US"/>
        </w:rPr>
        <w:t xml:space="preserve">net importer </w:t>
      </w:r>
      <w:r w:rsidR="0095564D">
        <w:rPr>
          <w:lang w:val="en-US"/>
        </w:rPr>
        <w:t xml:space="preserve">the exchange </w:t>
      </w:r>
      <w:r w:rsidR="000912D0">
        <w:rPr>
          <w:lang w:val="en-US"/>
        </w:rPr>
        <w:t xml:space="preserve">is </w:t>
      </w:r>
      <w:r w:rsidR="00AA2565">
        <w:rPr>
          <w:lang w:val="en-US"/>
        </w:rPr>
        <w:t xml:space="preserve">a </w:t>
      </w:r>
      <w:r w:rsidR="006514DC">
        <w:rPr>
          <w:lang w:val="en-US"/>
        </w:rPr>
        <w:t>particula</w:t>
      </w:r>
      <w:r w:rsidR="00C93573">
        <w:rPr>
          <w:lang w:val="en-US"/>
        </w:rPr>
        <w:t>rly importan</w:t>
      </w:r>
      <w:r w:rsidR="00AA2565">
        <w:rPr>
          <w:lang w:val="en-US"/>
        </w:rPr>
        <w:t xml:space="preserve">t </w:t>
      </w:r>
      <w:r w:rsidR="000912D0">
        <w:rPr>
          <w:lang w:val="en-US"/>
        </w:rPr>
        <w:t>macroecon</w:t>
      </w:r>
      <w:r w:rsidR="00AA2565">
        <w:rPr>
          <w:lang w:val="en-US"/>
        </w:rPr>
        <w:t>o</w:t>
      </w:r>
      <w:r w:rsidR="000912D0">
        <w:rPr>
          <w:lang w:val="en-US"/>
        </w:rPr>
        <w:t xml:space="preserve">mic </w:t>
      </w:r>
      <w:r w:rsidR="00AA2565">
        <w:rPr>
          <w:lang w:val="en-US"/>
        </w:rPr>
        <w:t>variable</w:t>
      </w:r>
      <w:r w:rsidR="009957BF">
        <w:rPr>
          <w:lang w:val="en-US"/>
        </w:rPr>
        <w:t xml:space="preserve"> as a depreciation/</w:t>
      </w:r>
      <w:r w:rsidRPr="00282856">
        <w:rPr>
          <w:lang w:val="en-US"/>
        </w:rPr>
        <w:t xml:space="preserve">appreciation of the local dollar relative to the foreign </w:t>
      </w:r>
      <w:r w:rsidR="001E296E">
        <w:rPr>
          <w:lang w:val="en-US"/>
        </w:rPr>
        <w:t>currencies</w:t>
      </w:r>
      <w:r w:rsidRPr="00282856">
        <w:rPr>
          <w:lang w:val="en-US"/>
        </w:rPr>
        <w:t xml:space="preserve"> means th</w:t>
      </w:r>
      <w:r w:rsidR="001E296E">
        <w:rPr>
          <w:lang w:val="en-US"/>
        </w:rPr>
        <w:t>at the cost of imports will rise /fall</w:t>
      </w:r>
      <w:r w:rsidR="00E772F2">
        <w:rPr>
          <w:lang w:val="en-US"/>
        </w:rPr>
        <w:t xml:space="preserve"> </w:t>
      </w:r>
      <w:r w:rsidR="00E772F2" w:rsidRPr="00282856">
        <w:rPr>
          <w:lang w:val="en-US"/>
        </w:rPr>
        <w:t>(Seagal, 2021)</w:t>
      </w:r>
      <w:r w:rsidRPr="00282856">
        <w:rPr>
          <w:lang w:val="en-US"/>
        </w:rPr>
        <w:t xml:space="preserve">. </w:t>
      </w:r>
      <w:r w:rsidR="00991D31">
        <w:rPr>
          <w:lang w:val="en-US"/>
        </w:rPr>
        <w:t>A byproduct of increasing interest</w:t>
      </w:r>
      <w:r w:rsidR="008E526E">
        <w:rPr>
          <w:lang w:val="en-US"/>
        </w:rPr>
        <w:t xml:space="preserve"> </w:t>
      </w:r>
      <w:r w:rsidR="00991D31">
        <w:rPr>
          <w:lang w:val="en-US"/>
        </w:rPr>
        <w:t>rates is</w:t>
      </w:r>
      <w:r w:rsidR="008E526E">
        <w:rPr>
          <w:lang w:val="en-US"/>
        </w:rPr>
        <w:t xml:space="preserve"> a stronger currency as the money supply is reduced. </w:t>
      </w:r>
      <w:r w:rsidR="004851E9">
        <w:rPr>
          <w:lang w:val="en-US"/>
        </w:rPr>
        <w:t>Small economies such as Jamaica</w:t>
      </w:r>
      <w:r w:rsidR="00A73F51">
        <w:rPr>
          <w:lang w:val="en-US"/>
        </w:rPr>
        <w:t>, however, do not benefit from this</w:t>
      </w:r>
      <w:r w:rsidR="00CB4649">
        <w:rPr>
          <w:lang w:val="en-US"/>
        </w:rPr>
        <w:t>.</w:t>
      </w:r>
      <w:r w:rsidR="00A73F51">
        <w:rPr>
          <w:lang w:val="en-US"/>
        </w:rPr>
        <w:t xml:space="preserve"> </w:t>
      </w:r>
      <w:r w:rsidR="00CB4649">
        <w:rPr>
          <w:lang w:val="en-US"/>
        </w:rPr>
        <w:t xml:space="preserve">The </w:t>
      </w:r>
      <w:r w:rsidR="00D4711B">
        <w:rPr>
          <w:lang w:val="en-US"/>
        </w:rPr>
        <w:t xml:space="preserve">USD </w:t>
      </w:r>
      <w:r w:rsidR="00CB4649">
        <w:rPr>
          <w:lang w:val="en-US"/>
        </w:rPr>
        <w:t xml:space="preserve">appreciates </w:t>
      </w:r>
      <w:r w:rsidR="00D4711B">
        <w:rPr>
          <w:lang w:val="en-US"/>
        </w:rPr>
        <w:t>significantly more</w:t>
      </w:r>
      <w:r w:rsidR="00CB4649">
        <w:rPr>
          <w:lang w:val="en-US"/>
        </w:rPr>
        <w:t xml:space="preserve"> than the JMD </w:t>
      </w:r>
      <w:r w:rsidR="0032763C">
        <w:rPr>
          <w:lang w:val="en-US"/>
        </w:rPr>
        <w:t xml:space="preserve">as the demand for the USD is much greater due </w:t>
      </w:r>
      <w:r w:rsidR="00F31F58">
        <w:rPr>
          <w:lang w:val="en-US"/>
        </w:rPr>
        <w:t xml:space="preserve">to </w:t>
      </w:r>
      <w:r w:rsidR="0032763C">
        <w:rPr>
          <w:lang w:val="en-US"/>
        </w:rPr>
        <w:t>its place as a global reserve currency</w:t>
      </w:r>
      <w:r w:rsidR="00C50A50">
        <w:rPr>
          <w:lang w:val="en-US"/>
        </w:rPr>
        <w:t>.</w:t>
      </w:r>
      <w:r w:rsidR="00F31F58">
        <w:rPr>
          <w:lang w:val="en-US"/>
        </w:rPr>
        <w:t xml:space="preserve"> </w:t>
      </w:r>
      <w:r w:rsidR="00F70599">
        <w:rPr>
          <w:lang w:val="en-US"/>
        </w:rPr>
        <w:t xml:space="preserve">This rapid </w:t>
      </w:r>
      <w:r w:rsidR="005E25B1">
        <w:rPr>
          <w:lang w:val="en-US"/>
        </w:rPr>
        <w:t>appreciati</w:t>
      </w:r>
      <w:r w:rsidR="00F70599">
        <w:rPr>
          <w:lang w:val="en-US"/>
        </w:rPr>
        <w:t>on</w:t>
      </w:r>
      <w:r w:rsidR="005E25B1">
        <w:rPr>
          <w:lang w:val="en-US"/>
        </w:rPr>
        <w:t xml:space="preserve"> </w:t>
      </w:r>
      <w:r w:rsidR="00F70599">
        <w:rPr>
          <w:lang w:val="en-US"/>
        </w:rPr>
        <w:t xml:space="preserve">of </w:t>
      </w:r>
      <w:r w:rsidR="00B16629">
        <w:rPr>
          <w:lang w:val="en-US"/>
        </w:rPr>
        <w:t xml:space="preserve">the </w:t>
      </w:r>
      <w:r w:rsidR="00F70599">
        <w:rPr>
          <w:lang w:val="en-US"/>
        </w:rPr>
        <w:t>USD thus causes</w:t>
      </w:r>
      <w:r w:rsidR="00B16629">
        <w:rPr>
          <w:lang w:val="en-US"/>
        </w:rPr>
        <w:t xml:space="preserve"> the currencies of small </w:t>
      </w:r>
      <w:r w:rsidR="004E7B3A">
        <w:rPr>
          <w:lang w:val="en-US"/>
        </w:rPr>
        <w:t>economies to depreciate relative to the USD</w:t>
      </w:r>
      <w:r w:rsidRPr="00282856">
        <w:rPr>
          <w:lang w:val="en-US"/>
        </w:rPr>
        <w:t xml:space="preserve">, </w:t>
      </w:r>
      <w:r w:rsidR="004E7B3A">
        <w:rPr>
          <w:lang w:val="en-US"/>
        </w:rPr>
        <w:t>therefore,</w:t>
      </w:r>
      <w:r w:rsidRPr="00282856">
        <w:rPr>
          <w:lang w:val="en-US"/>
        </w:rPr>
        <w:t xml:space="preserve"> likely</w:t>
      </w:r>
      <w:r w:rsidR="009064BE">
        <w:rPr>
          <w:lang w:val="en-US"/>
        </w:rPr>
        <w:t xml:space="preserve"> </w:t>
      </w:r>
      <w:r w:rsidR="009A0F21">
        <w:rPr>
          <w:lang w:val="en-US"/>
        </w:rPr>
        <w:t>increasing</w:t>
      </w:r>
      <w:r w:rsidR="009064BE">
        <w:rPr>
          <w:lang w:val="en-US"/>
        </w:rPr>
        <w:t xml:space="preserve"> inflation</w:t>
      </w:r>
      <w:r w:rsidR="0061108D">
        <w:rPr>
          <w:lang w:val="en-US"/>
        </w:rPr>
        <w:t xml:space="preserve"> as imports get more expensive</w:t>
      </w:r>
      <w:r w:rsidR="00E772F2">
        <w:rPr>
          <w:lang w:val="en-US"/>
        </w:rPr>
        <w:t xml:space="preserve"> </w:t>
      </w:r>
      <w:r w:rsidRPr="00282856">
        <w:rPr>
          <w:lang w:val="en-US"/>
        </w:rPr>
        <w:t xml:space="preserve">(Pettinger, 2019). </w:t>
      </w:r>
    </w:p>
    <w:p w14:paraId="69CE5405" w14:textId="77777777" w:rsidR="0013081B" w:rsidRPr="001E7AD3" w:rsidRDefault="0013081B" w:rsidP="001E7AD3">
      <w:pPr>
        <w:rPr>
          <w:lang w:val="en-US"/>
        </w:rPr>
      </w:pPr>
    </w:p>
    <w:p w14:paraId="47DB2D94" w14:textId="77777777" w:rsidR="00A027F1" w:rsidRDefault="00A027F1" w:rsidP="006C4526"/>
    <w:p w14:paraId="2BE08100" w14:textId="77777777" w:rsidR="006C4526" w:rsidRDefault="006C4526" w:rsidP="00E76293">
      <w:pPr>
        <w:ind w:firstLine="0"/>
      </w:pPr>
    </w:p>
    <w:p w14:paraId="3567D332" w14:textId="36179189" w:rsidR="0097571D" w:rsidRPr="00705716" w:rsidRDefault="005537C1" w:rsidP="00253D72">
      <w:pPr>
        <w:pStyle w:val="Heading1"/>
      </w:pPr>
      <w:bookmarkStart w:id="3" w:name="_Toc120175464"/>
      <w:r w:rsidRPr="00705716">
        <w:lastRenderedPageBreak/>
        <w:t xml:space="preserve">Variables and </w:t>
      </w:r>
      <w:r w:rsidR="00901437" w:rsidRPr="00705716">
        <w:t>Data</w:t>
      </w:r>
      <w:r w:rsidR="007C6744" w:rsidRPr="00705716">
        <w:t xml:space="preserve"> Used </w:t>
      </w:r>
      <w:r w:rsidR="00546DCD" w:rsidRPr="00705716">
        <w:t>for Regression</w:t>
      </w:r>
      <w:r w:rsidR="00C61ABC" w:rsidRPr="00705716">
        <w:t>s</w:t>
      </w:r>
      <w:bookmarkEnd w:id="3"/>
    </w:p>
    <w:p w14:paraId="4136F535" w14:textId="317957F7" w:rsidR="00766AFC" w:rsidRDefault="001E7AD3" w:rsidP="00766AFC">
      <w:pPr>
        <w:ind w:firstLine="0"/>
      </w:pPr>
      <w:r w:rsidRPr="00766AFC">
        <w:rPr>
          <w:noProof/>
        </w:rPr>
        <w:drawing>
          <wp:inline distT="0" distB="0" distL="0" distR="0" wp14:anchorId="17305F19" wp14:editId="026C5797">
            <wp:extent cx="5943600" cy="441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14:paraId="1A1682AE" w14:textId="613B8E2A" w:rsidR="00766AFC" w:rsidRDefault="00FB6AD5" w:rsidP="00766AFC">
      <w:pPr>
        <w:ind w:firstLine="0"/>
      </w:pPr>
      <w:r>
        <w:t>InRate = Jamaican inflation rate</w:t>
      </w:r>
      <w:r w:rsidR="00123E55">
        <w:t xml:space="preserve"> (</w:t>
      </w:r>
      <w:r w:rsidR="00453CB3">
        <w:t>%</w:t>
      </w:r>
      <w:r w:rsidR="00123E55">
        <w:t>)</w:t>
      </w:r>
    </w:p>
    <w:p w14:paraId="656A5B14" w14:textId="45AE3CD3" w:rsidR="00FB6AD5" w:rsidRDefault="00FB6AD5" w:rsidP="00766AFC">
      <w:pPr>
        <w:ind w:firstLine="0"/>
      </w:pPr>
      <w:r>
        <w:t xml:space="preserve">TBRate = </w:t>
      </w:r>
      <w:r w:rsidR="008B7144">
        <w:t>Bank of Jamaica tr</w:t>
      </w:r>
      <w:r w:rsidR="00A428A2">
        <w:t>easury bill rate</w:t>
      </w:r>
      <w:r w:rsidR="005C3008">
        <w:t xml:space="preserve"> (3</w:t>
      </w:r>
      <w:r w:rsidR="00B62511">
        <w:t>-</w:t>
      </w:r>
      <w:r w:rsidR="005C3008">
        <w:t>month</w:t>
      </w:r>
      <w:r w:rsidR="008D346F">
        <w:t xml:space="preserve"> period)</w:t>
      </w:r>
      <w:r w:rsidR="00123E55">
        <w:t xml:space="preserve"> (</w:t>
      </w:r>
      <w:r w:rsidR="00453CB3">
        <w:t>%)</w:t>
      </w:r>
    </w:p>
    <w:p w14:paraId="7F66F85F" w14:textId="1BBC810C" w:rsidR="00A428A2" w:rsidRDefault="00A428A2" w:rsidP="00766AFC">
      <w:pPr>
        <w:ind w:firstLine="0"/>
      </w:pPr>
      <w:r>
        <w:t>Prate = B</w:t>
      </w:r>
      <w:r w:rsidR="000F7CDC">
        <w:t>ank of Jamaica Policy Rate</w:t>
      </w:r>
      <w:r w:rsidR="00453CB3">
        <w:t xml:space="preserve"> (%)</w:t>
      </w:r>
    </w:p>
    <w:p w14:paraId="02BB3EB3" w14:textId="78259820" w:rsidR="000F7CDC" w:rsidRPr="00766AFC" w:rsidRDefault="000F7CDC" w:rsidP="00766AFC">
      <w:pPr>
        <w:ind w:firstLine="0"/>
      </w:pPr>
      <w:proofErr w:type="spellStart"/>
      <w:r>
        <w:t>Fxrate</w:t>
      </w:r>
      <w:proofErr w:type="spellEnd"/>
      <w:r w:rsidR="005B1071">
        <w:t xml:space="preserve"> =JA/US Average Monthly</w:t>
      </w:r>
      <w:r w:rsidR="00D15E7E">
        <w:t xml:space="preserve"> Foreign</w:t>
      </w:r>
      <w:r w:rsidR="005B1071">
        <w:t xml:space="preserve"> Exchange Rate</w:t>
      </w:r>
      <w:r w:rsidR="00453CB3">
        <w:t xml:space="preserve"> ($)</w:t>
      </w:r>
    </w:p>
    <w:p w14:paraId="6523E3CB" w14:textId="677A9566" w:rsidR="009840D4" w:rsidRPr="00705716" w:rsidRDefault="00903DAF" w:rsidP="00253D72">
      <w:pPr>
        <w:pStyle w:val="Heading1"/>
      </w:pPr>
      <w:bookmarkStart w:id="4" w:name="_Toc120175465"/>
      <w:r w:rsidRPr="00705716">
        <w:lastRenderedPageBreak/>
        <w:t>Simple</w:t>
      </w:r>
      <w:r w:rsidR="005C70DF" w:rsidRPr="00705716">
        <w:t xml:space="preserve"> </w:t>
      </w:r>
      <w:r w:rsidRPr="00705716">
        <w:t>Regression</w:t>
      </w:r>
      <w:r w:rsidR="004A624E" w:rsidRPr="00705716">
        <w:t xml:space="preserve"> of Inflation on the Treasury Bill Rate</w:t>
      </w:r>
      <w:bookmarkEnd w:id="4"/>
    </w:p>
    <w:p w14:paraId="5480A828" w14:textId="6D862FB5" w:rsidR="007070E3" w:rsidRDefault="00C368D8" w:rsidP="007070E3">
      <w:pPr>
        <w:ind w:firstLine="0"/>
      </w:pPr>
      <w:r w:rsidRPr="00C368D8">
        <w:rPr>
          <w:noProof/>
        </w:rPr>
        <w:drawing>
          <wp:inline distT="0" distB="0" distL="0" distR="0" wp14:anchorId="61D6E572" wp14:editId="7380080F">
            <wp:extent cx="5943600" cy="6291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291580"/>
                    </a:xfrm>
                    <a:prstGeom prst="rect">
                      <a:avLst/>
                    </a:prstGeom>
                    <a:noFill/>
                    <a:ln>
                      <a:noFill/>
                    </a:ln>
                  </pic:spPr>
                </pic:pic>
              </a:graphicData>
            </a:graphic>
          </wp:inline>
        </w:drawing>
      </w:r>
    </w:p>
    <w:p w14:paraId="6C235B5F" w14:textId="458471B4" w:rsidR="00F84AE2" w:rsidRDefault="00676B37" w:rsidP="00253D72">
      <w:pPr>
        <w:pStyle w:val="Heading1"/>
      </w:pPr>
      <w:bookmarkStart w:id="5" w:name="_Hlk119994734"/>
      <w:bookmarkStart w:id="6" w:name="_Toc120175466"/>
      <w:r>
        <w:lastRenderedPageBreak/>
        <w:t xml:space="preserve">Treasury Bill </w:t>
      </w:r>
      <w:r w:rsidR="004123A7">
        <w:t xml:space="preserve">Rate </w:t>
      </w:r>
      <w:r>
        <w:t xml:space="preserve">Line of Best Fit </w:t>
      </w:r>
      <w:r w:rsidR="0072039C">
        <w:t>from Simple Regression</w:t>
      </w:r>
      <w:bookmarkEnd w:id="6"/>
    </w:p>
    <w:p w14:paraId="6B5D34D2" w14:textId="09B74B98" w:rsidR="000C3093" w:rsidRPr="000C3093" w:rsidRDefault="00491CA7" w:rsidP="00491CA7">
      <w:pPr>
        <w:ind w:firstLine="0"/>
        <w:jc w:val="center"/>
      </w:pPr>
      <w:r>
        <w:rPr>
          <w:noProof/>
        </w:rPr>
        <w:drawing>
          <wp:inline distT="0" distB="0" distL="0" distR="0" wp14:anchorId="57DBB5F2" wp14:editId="4D8DF02E">
            <wp:extent cx="5116195" cy="3761361"/>
            <wp:effectExtent l="0" t="0" r="8255" b="10795"/>
            <wp:docPr id="6" name="Chart 6">
              <a:extLst xmlns:a="http://schemas.openxmlformats.org/drawingml/2006/main">
                <a:ext uri="{FF2B5EF4-FFF2-40B4-BE49-F238E27FC236}">
                  <a16:creationId xmlns:a16="http://schemas.microsoft.com/office/drawing/2014/main" id="{60B71FE3-6287-72F5-A324-FC2AA400B2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9BE8ED" w14:textId="76D7722F" w:rsidR="005C70DF" w:rsidRPr="00705716" w:rsidRDefault="00D70C9C" w:rsidP="00253D72">
      <w:pPr>
        <w:pStyle w:val="Heading1"/>
      </w:pPr>
      <w:bookmarkStart w:id="7" w:name="_Toc120175467"/>
      <w:bookmarkEnd w:id="5"/>
      <w:r w:rsidRPr="00705716">
        <w:lastRenderedPageBreak/>
        <w:t xml:space="preserve">Multiple </w:t>
      </w:r>
      <w:r w:rsidR="00562FD9" w:rsidRPr="00705716">
        <w:t>R</w:t>
      </w:r>
      <w:r w:rsidR="00DF0C3D" w:rsidRPr="00705716">
        <w:t>egression</w:t>
      </w:r>
      <w:r w:rsidR="00DF5087" w:rsidRPr="00705716">
        <w:t xml:space="preserve"> of </w:t>
      </w:r>
      <w:r w:rsidR="00DC1834" w:rsidRPr="00705716">
        <w:t>Inflation</w:t>
      </w:r>
      <w:r w:rsidR="00DD384B" w:rsidRPr="00705716">
        <w:t xml:space="preserve"> on the </w:t>
      </w:r>
      <w:r w:rsidR="00D66B70" w:rsidRPr="00705716">
        <w:t xml:space="preserve">BOJ </w:t>
      </w:r>
      <w:r w:rsidR="00BC673C" w:rsidRPr="00705716">
        <w:t>Treasury Bill Rate</w:t>
      </w:r>
      <w:r w:rsidR="00FF215F" w:rsidRPr="00705716">
        <w:t xml:space="preserve">, BOJ Policy Rate, and </w:t>
      </w:r>
      <w:r w:rsidR="002B34E6" w:rsidRPr="00705716">
        <w:t xml:space="preserve">JA/US </w:t>
      </w:r>
      <w:proofErr w:type="spellStart"/>
      <w:r w:rsidR="002B34E6" w:rsidRPr="00705716">
        <w:t>Avg</w:t>
      </w:r>
      <w:proofErr w:type="spellEnd"/>
      <w:r w:rsidR="002B34E6" w:rsidRPr="00705716">
        <w:t xml:space="preserve"> Monthly FX Rates</w:t>
      </w:r>
      <w:bookmarkEnd w:id="7"/>
    </w:p>
    <w:p w14:paraId="42446CBC" w14:textId="5E4879D1" w:rsidR="00D54FCF" w:rsidRPr="00D54FCF" w:rsidRDefault="00F950E2" w:rsidP="00752DDC">
      <w:pPr>
        <w:ind w:firstLine="0"/>
      </w:pPr>
      <w:r w:rsidRPr="00F950E2">
        <w:rPr>
          <w:noProof/>
        </w:rPr>
        <w:drawing>
          <wp:inline distT="0" distB="0" distL="0" distR="0" wp14:anchorId="1A64875F" wp14:editId="34D54FB1">
            <wp:extent cx="5943600" cy="65062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506210"/>
                    </a:xfrm>
                    <a:prstGeom prst="rect">
                      <a:avLst/>
                    </a:prstGeom>
                    <a:noFill/>
                    <a:ln>
                      <a:noFill/>
                    </a:ln>
                  </pic:spPr>
                </pic:pic>
              </a:graphicData>
            </a:graphic>
          </wp:inline>
        </w:drawing>
      </w:r>
    </w:p>
    <w:p w14:paraId="45B4CAA3" w14:textId="030EE5D7" w:rsidR="00820D49" w:rsidRPr="00705716" w:rsidRDefault="00820D49" w:rsidP="00784D3E">
      <w:pPr>
        <w:ind w:firstLine="0"/>
      </w:pPr>
    </w:p>
    <w:p w14:paraId="7E1071A9" w14:textId="72F59AF8" w:rsidR="003743A9" w:rsidRDefault="003743A9" w:rsidP="00253D72">
      <w:pPr>
        <w:pStyle w:val="Heading1"/>
      </w:pPr>
      <w:bookmarkStart w:id="8" w:name="_Toc120175468"/>
      <w:r w:rsidRPr="00705716">
        <w:lastRenderedPageBreak/>
        <w:t>Line of Best Fit for each Independent Variable</w:t>
      </w:r>
      <w:r w:rsidR="00C74E3A">
        <w:t xml:space="preserve"> MLR</w:t>
      </w:r>
      <w:bookmarkEnd w:id="8"/>
    </w:p>
    <w:p w14:paraId="57E5634B" w14:textId="77777777" w:rsidR="003743A9" w:rsidRDefault="003743A9" w:rsidP="003743A9">
      <w:pPr>
        <w:ind w:firstLine="0"/>
      </w:pPr>
      <w:r>
        <w:t>Shown below are the lines of best fit for each independent variable from the multiple regression.</w:t>
      </w:r>
    </w:p>
    <w:p w14:paraId="424F1DF0" w14:textId="6A0E6534" w:rsidR="003743A9" w:rsidRDefault="003743A9" w:rsidP="00C00706">
      <w:pPr>
        <w:ind w:firstLine="0"/>
        <w:jc w:val="center"/>
      </w:pPr>
      <w:r>
        <w:rPr>
          <w:noProof/>
        </w:rPr>
        <w:drawing>
          <wp:inline distT="0" distB="0" distL="0" distR="0" wp14:anchorId="52840FA7" wp14:editId="40EC421F">
            <wp:extent cx="4675505" cy="2166425"/>
            <wp:effectExtent l="0" t="0" r="10795" b="5715"/>
            <wp:docPr id="1" name="Chart 1">
              <a:extLst xmlns:a="http://schemas.openxmlformats.org/drawingml/2006/main">
                <a:ext uri="{FF2B5EF4-FFF2-40B4-BE49-F238E27FC236}">
                  <a16:creationId xmlns:a16="http://schemas.microsoft.com/office/drawing/2014/main" id="{51B2C968-B2F3-35AC-13DA-202F62CED3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3C57C7" w14:textId="399F7072" w:rsidR="003743A9" w:rsidRDefault="003743A9" w:rsidP="003743A9">
      <w:pPr>
        <w:ind w:firstLine="0"/>
        <w:jc w:val="center"/>
        <w:rPr>
          <w:noProof/>
        </w:rPr>
      </w:pPr>
      <w:r>
        <w:rPr>
          <w:noProof/>
        </w:rPr>
        <w:drawing>
          <wp:inline distT="0" distB="0" distL="0" distR="0" wp14:anchorId="131E9A4C" wp14:editId="59A5684E">
            <wp:extent cx="4784090" cy="2286000"/>
            <wp:effectExtent l="0" t="0" r="16510" b="0"/>
            <wp:docPr id="3" name="Chart 3">
              <a:extLst xmlns:a="http://schemas.openxmlformats.org/drawingml/2006/main">
                <a:ext uri="{FF2B5EF4-FFF2-40B4-BE49-F238E27FC236}">
                  <a16:creationId xmlns:a16="http://schemas.microsoft.com/office/drawing/2014/main" id="{7978ABF2-5F2F-9202-36EB-F0ED279A3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005418" w14:textId="2B0EBBBD" w:rsidR="003743A9" w:rsidRDefault="00C00706" w:rsidP="0015421B">
      <w:pPr>
        <w:ind w:firstLine="0"/>
        <w:jc w:val="center"/>
      </w:pPr>
      <w:r>
        <w:rPr>
          <w:noProof/>
        </w:rPr>
        <w:lastRenderedPageBreak/>
        <w:drawing>
          <wp:inline distT="0" distB="0" distL="0" distR="0" wp14:anchorId="7C1D86D5" wp14:editId="0B70B02B">
            <wp:extent cx="5103495" cy="2806505"/>
            <wp:effectExtent l="0" t="0" r="1905" b="13335"/>
            <wp:docPr id="4" name="Chart 4">
              <a:extLst xmlns:a="http://schemas.openxmlformats.org/drawingml/2006/main">
                <a:ext uri="{FF2B5EF4-FFF2-40B4-BE49-F238E27FC236}">
                  <a16:creationId xmlns:a16="http://schemas.microsoft.com/office/drawing/2014/main" id="{78A50393-652A-963C-8D9C-BB484C9662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44FA87" w14:textId="444C0813" w:rsidR="00C00706" w:rsidRDefault="00C00706" w:rsidP="00C00706">
      <w:pPr>
        <w:ind w:firstLine="0"/>
      </w:pPr>
    </w:p>
    <w:p w14:paraId="33DEA4A2" w14:textId="685E0C26" w:rsidR="00C00706" w:rsidRDefault="00C00706" w:rsidP="00C00706">
      <w:pPr>
        <w:ind w:firstLine="0"/>
      </w:pPr>
    </w:p>
    <w:p w14:paraId="7B050277" w14:textId="57F5D269" w:rsidR="00C00706" w:rsidRDefault="00C00706" w:rsidP="00C00706">
      <w:pPr>
        <w:ind w:firstLine="0"/>
      </w:pPr>
    </w:p>
    <w:p w14:paraId="0C95FD82" w14:textId="2C3EEB7D" w:rsidR="00C00706" w:rsidRDefault="00C00706" w:rsidP="00C00706">
      <w:pPr>
        <w:ind w:firstLine="0"/>
      </w:pPr>
    </w:p>
    <w:p w14:paraId="04DCE6B1" w14:textId="091B4C27" w:rsidR="00C00706" w:rsidRDefault="00C00706" w:rsidP="00C00706">
      <w:pPr>
        <w:ind w:firstLine="0"/>
      </w:pPr>
    </w:p>
    <w:p w14:paraId="77453128" w14:textId="3D5D9372" w:rsidR="00C00706" w:rsidRDefault="00C00706" w:rsidP="00C00706">
      <w:pPr>
        <w:ind w:firstLine="0"/>
      </w:pPr>
    </w:p>
    <w:p w14:paraId="49EE5128" w14:textId="3E856515" w:rsidR="00C00706" w:rsidRDefault="00C00706" w:rsidP="00C00706">
      <w:pPr>
        <w:ind w:firstLine="0"/>
      </w:pPr>
    </w:p>
    <w:p w14:paraId="1E83ABAD" w14:textId="107160F8" w:rsidR="00C00706" w:rsidRDefault="00C00706" w:rsidP="00C00706">
      <w:pPr>
        <w:ind w:firstLine="0"/>
      </w:pPr>
    </w:p>
    <w:p w14:paraId="68A1D10C" w14:textId="2E47742C" w:rsidR="00C00706" w:rsidRDefault="00C00706" w:rsidP="00C00706">
      <w:pPr>
        <w:ind w:firstLine="0"/>
      </w:pPr>
    </w:p>
    <w:p w14:paraId="7B9D4438" w14:textId="6941035C" w:rsidR="00C00706" w:rsidRDefault="00C00706" w:rsidP="00C00706">
      <w:pPr>
        <w:ind w:firstLine="0"/>
      </w:pPr>
    </w:p>
    <w:p w14:paraId="7E2AD395" w14:textId="77777777" w:rsidR="00C00706" w:rsidRDefault="00C00706" w:rsidP="00C00706">
      <w:pPr>
        <w:ind w:firstLine="0"/>
      </w:pPr>
    </w:p>
    <w:p w14:paraId="03DA6DE2" w14:textId="0B023D72" w:rsidR="00F875D0" w:rsidRDefault="00F875D0" w:rsidP="00253D72">
      <w:pPr>
        <w:pStyle w:val="Heading1"/>
      </w:pPr>
      <w:bookmarkStart w:id="9" w:name="_Toc120175469"/>
      <w:r>
        <w:lastRenderedPageBreak/>
        <w:t>Discussion of Findings</w:t>
      </w:r>
      <w:bookmarkEnd w:id="9"/>
    </w:p>
    <w:p w14:paraId="6FFBF2C9" w14:textId="08F3BB98" w:rsidR="00A570D6" w:rsidRPr="00A570D6" w:rsidRDefault="00A570D6" w:rsidP="00A570D6">
      <w:pPr>
        <w:ind w:firstLine="0"/>
        <w:jc w:val="center"/>
        <w:rPr>
          <w:b/>
          <w:bCs/>
        </w:rPr>
      </w:pPr>
      <w:r w:rsidRPr="00A570D6">
        <w:rPr>
          <w:b/>
          <w:bCs/>
        </w:rPr>
        <w:t>Simple Regression Model</w:t>
      </w:r>
    </w:p>
    <w:p w14:paraId="34CE55D6" w14:textId="77777777" w:rsidR="00B81544" w:rsidRPr="007070E3" w:rsidRDefault="00B81544" w:rsidP="00B81544">
      <w:pPr>
        <w:ind w:firstLine="0"/>
      </w:pPr>
      <w:r>
        <w:t>Shown below is the model estimating the relationship between the Jamaican inflation rate and the BOJ treasury bill rate.</w:t>
      </w:r>
    </w:p>
    <w:p w14:paraId="6ABFCA7B" w14:textId="77777777" w:rsidR="00B81544" w:rsidRPr="008D4961" w:rsidRDefault="00000000" w:rsidP="00B81544">
      <w:pPr>
        <w:pStyle w:val="ListParagraph"/>
        <w:numPr>
          <w:ilvl w:val="0"/>
          <w:numId w:val="11"/>
        </w:numPr>
        <w:jc w:val="center"/>
        <w:rPr>
          <w:rFonts w:eastAsiaTheme="minorEastAsia"/>
        </w:rPr>
      </w:pPr>
      <m:oMath>
        <m:acc>
          <m:accPr>
            <m:ctrlPr>
              <w:rPr>
                <w:rFonts w:ascii="Cambria Math" w:hAnsi="Cambria Math"/>
                <w:i/>
              </w:rPr>
            </m:ctrlPr>
          </m:accPr>
          <m:e>
            <m:sSub>
              <m:sSubPr>
                <m:ctrlPr>
                  <w:rPr>
                    <w:rFonts w:ascii="Cambria Math" w:hAnsi="Cambria Math"/>
                    <w:i/>
                  </w:rPr>
                </m:ctrlPr>
              </m:sSubPr>
              <m:e>
                <m:r>
                  <w:rPr>
                    <w:rFonts w:ascii="Cambria Math" w:hAnsi="Cambria Math"/>
                  </w:rPr>
                  <m:t>InRate</m:t>
                </m:r>
              </m:e>
              <m:sub>
                <m:r>
                  <w:rPr>
                    <w:rFonts w:ascii="Cambria Math" w:hAnsi="Cambria Math"/>
                  </w:rPr>
                  <m:t>i</m:t>
                </m:r>
              </m:sub>
            </m:sSub>
          </m:e>
        </m:acc>
        <m:r>
          <w:rPr>
            <w:rFonts w:ascii="Cambria Math" w:hAnsi="Cambria Math"/>
          </w:rPr>
          <m:t>=3.8573+1.2301(</m:t>
        </m:r>
        <m:sSub>
          <m:sSubPr>
            <m:ctrlPr>
              <w:rPr>
                <w:rFonts w:ascii="Cambria Math" w:hAnsi="Cambria Math"/>
                <w:i/>
              </w:rPr>
            </m:ctrlPr>
          </m:sSubPr>
          <m:e>
            <m:r>
              <w:rPr>
                <w:rFonts w:ascii="Cambria Math" w:hAnsi="Cambria Math"/>
              </w:rPr>
              <m:t>TBRate</m:t>
            </m:r>
          </m:e>
          <m:sub>
            <m:r>
              <w:rPr>
                <w:rFonts w:ascii="Cambria Math" w:hAnsi="Cambria Math"/>
              </w:rPr>
              <m:t>i</m:t>
            </m:r>
          </m:sub>
        </m:sSub>
        <m:r>
          <w:rPr>
            <w:rFonts w:ascii="Cambria Math" w:hAnsi="Cambria Math"/>
          </w:rPr>
          <m:t>)</m:t>
        </m:r>
      </m:oMath>
    </w:p>
    <w:p w14:paraId="5AC7C56C" w14:textId="77777777" w:rsidR="00B81544" w:rsidRPr="00705716" w:rsidRDefault="00B81544" w:rsidP="00B81544">
      <w:pPr>
        <w:ind w:firstLine="0"/>
      </w:pPr>
      <w:r>
        <w:rPr>
          <w:rFonts w:eastAsiaTheme="minorEastAsia"/>
        </w:rPr>
        <w:t xml:space="preserve"> Equation (1) can be interpreted: If the predicted treasury bill rate is zero, </w:t>
      </w:r>
      <w:proofErr w:type="spellStart"/>
      <w:r>
        <w:rPr>
          <w:rFonts w:eastAsiaTheme="minorEastAsia"/>
        </w:rPr>
        <w:t>TBRate</w:t>
      </w:r>
      <w:proofErr w:type="spellEnd"/>
      <w:r>
        <w:rPr>
          <w:rFonts w:eastAsiaTheme="minorEastAsia"/>
        </w:rPr>
        <w:t xml:space="preserve"> = 0, then the predicted inflation rate is the intercept, 3.8573%. </w:t>
      </w:r>
      <w:r>
        <w:t xml:space="preserve">We can also write the predicted change in the inflation rate as a function of the change in the treasury bill rate: </w:t>
      </w:r>
      <m:oMath>
        <m:acc>
          <m:accPr>
            <m:ctrlPr>
              <w:rPr>
                <w:rFonts w:ascii="Cambria Math" w:hAnsi="Cambria Math"/>
                <w:i/>
              </w:rPr>
            </m:ctrlPr>
          </m:accPr>
          <m:e>
            <m:r>
              <w:rPr>
                <w:rFonts w:ascii="Cambria Math" w:hAnsi="Cambria Math"/>
              </w:rPr>
              <m:t>∆InRate</m:t>
            </m:r>
          </m:e>
        </m:acc>
        <m:r>
          <w:rPr>
            <w:rFonts w:ascii="Cambria Math" w:hAnsi="Cambria Math"/>
          </w:rPr>
          <m:t>=1.2301 (∆TBRate)</m:t>
        </m:r>
      </m:oMath>
      <w:r>
        <w:rPr>
          <w:rFonts w:eastAsiaTheme="minorEastAsia"/>
        </w:rPr>
        <w:t xml:space="preserve">. </w:t>
      </w:r>
      <w:r>
        <w:t xml:space="preserve">This means that if the treasury bill rate increases by one percentage point, </w:t>
      </w:r>
      <m:oMath>
        <m:r>
          <w:rPr>
            <w:rFonts w:ascii="Cambria Math" w:hAnsi="Cambria Math"/>
          </w:rPr>
          <m:t>∆TBRate=1</m:t>
        </m:r>
      </m:oMath>
      <w:r>
        <w:t>, then the inflation rate is predicted to change by about 1.2%. Because equation (1.0) is a linear equation, this is the estimated change regardless of the initial inflation rate.</w:t>
      </w:r>
    </w:p>
    <w:p w14:paraId="3CED99ED" w14:textId="77777777" w:rsidR="00B81544" w:rsidRDefault="00000000" w:rsidP="00B81544">
      <w:pPr>
        <w:ind w:firstLine="0"/>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81544" w:rsidRPr="00FE6B6A">
        <w:t xml:space="preserve">, the </w:t>
      </w:r>
      <w:r w:rsidR="00B81544">
        <w:t>c</w:t>
      </w:r>
      <w:r w:rsidR="00B81544" w:rsidRPr="00FE6B6A">
        <w:t xml:space="preserve">oefficient of </w:t>
      </w:r>
      <w:r w:rsidR="00B81544">
        <w:t>d</w:t>
      </w:r>
      <w:r w:rsidR="00B81544" w:rsidRPr="00FE6B6A">
        <w:t>etermination</w:t>
      </w:r>
      <w:r w:rsidR="00B81544">
        <w:t xml:space="preserve"> tells us that the treasury bill rate explains about 65.5% per cent of the variation in the inflation rate for the sample period of March 2020-2022.</w:t>
      </w:r>
    </w:p>
    <w:p w14:paraId="0236DCD6" w14:textId="729017F5" w:rsidR="00B81544" w:rsidRDefault="00B81544" w:rsidP="00B81544">
      <w:pPr>
        <w:ind w:firstLine="0"/>
      </w:pPr>
      <w:r>
        <w:t xml:space="preserve">We can also say that </w:t>
      </w:r>
      <w:proofErr w:type="spellStart"/>
      <w:r>
        <w:t>TBrate</w:t>
      </w:r>
      <w:proofErr w:type="spellEnd"/>
      <w:r>
        <w:t xml:space="preserve"> is </w:t>
      </w:r>
      <w:bookmarkStart w:id="10" w:name="_Hlk120009826"/>
      <w:r>
        <w:t xml:space="preserve">statistically significant at any conventional significance level </w:t>
      </w:r>
      <w:bookmarkEnd w:id="10"/>
      <w:r>
        <w:t xml:space="preserve">since its p-value (0.0000000956) for the t-statistic is less than every conventional significance level. </w:t>
      </w:r>
    </w:p>
    <w:p w14:paraId="1CF4186E" w14:textId="5B59E257" w:rsidR="00253D72" w:rsidRDefault="00253D72" w:rsidP="00B81544">
      <w:pPr>
        <w:ind w:firstLine="0"/>
      </w:pPr>
    </w:p>
    <w:p w14:paraId="224D0E28" w14:textId="0124D340" w:rsidR="00253D72" w:rsidRDefault="00253D72" w:rsidP="00B81544">
      <w:pPr>
        <w:ind w:firstLine="0"/>
      </w:pPr>
    </w:p>
    <w:p w14:paraId="7CC8F2FF" w14:textId="441F1C0B" w:rsidR="00253D72" w:rsidRDefault="00253D72" w:rsidP="00B81544">
      <w:pPr>
        <w:ind w:firstLine="0"/>
      </w:pPr>
    </w:p>
    <w:p w14:paraId="7883BDAA" w14:textId="77777777" w:rsidR="00253D72" w:rsidRDefault="00253D72" w:rsidP="00B81544">
      <w:pPr>
        <w:ind w:firstLine="0"/>
      </w:pPr>
    </w:p>
    <w:p w14:paraId="3BE05AC1" w14:textId="67D8FC99" w:rsidR="008E1BF3" w:rsidRDefault="008E1BF3" w:rsidP="008E1BF3">
      <w:pPr>
        <w:ind w:firstLine="0"/>
        <w:jc w:val="center"/>
        <w:rPr>
          <w:rFonts w:cs="Times New Roman"/>
          <w:b/>
          <w:szCs w:val="24"/>
        </w:rPr>
      </w:pPr>
      <w:r w:rsidRPr="00F33C07">
        <w:rPr>
          <w:rFonts w:cs="Times New Roman"/>
          <w:b/>
          <w:szCs w:val="24"/>
        </w:rPr>
        <w:lastRenderedPageBreak/>
        <w:t>Multiple Regression Model</w:t>
      </w:r>
    </w:p>
    <w:p w14:paraId="4BC588A0" w14:textId="5F007ED0" w:rsidR="005F4B31" w:rsidRDefault="005F4B31" w:rsidP="005F4B31">
      <w:pPr>
        <w:ind w:firstLine="0"/>
      </w:pPr>
      <w:r>
        <w:t>Shown below is a model estimating the relationship between the Jamaican inflation rate, the BOJ treasury bill rate, the BOJ policy rate and the JA/US average monthly exchange rates.</w:t>
      </w:r>
    </w:p>
    <w:p w14:paraId="0A5F6748" w14:textId="765D6BD2" w:rsidR="006B4634" w:rsidRPr="00C848A9" w:rsidRDefault="00000000" w:rsidP="00C848A9">
      <w:pPr>
        <w:pStyle w:val="ListParagraph"/>
        <w:numPr>
          <w:ilvl w:val="0"/>
          <w:numId w:val="11"/>
        </w:numPr>
        <w:jc w:val="center"/>
        <w:rPr>
          <w:rFonts w:eastAsiaTheme="minorEastAsia"/>
        </w:rPr>
      </w:pPr>
      <m:oMath>
        <m:acc>
          <m:accPr>
            <m:ctrlPr>
              <w:rPr>
                <w:rFonts w:ascii="Cambria Math" w:hAnsi="Cambria Math"/>
                <w:i/>
              </w:rPr>
            </m:ctrlPr>
          </m:accPr>
          <m:e>
            <m:sSub>
              <m:sSubPr>
                <m:ctrlPr>
                  <w:rPr>
                    <w:rFonts w:ascii="Cambria Math" w:hAnsi="Cambria Math"/>
                    <w:i/>
                  </w:rPr>
                </m:ctrlPr>
              </m:sSubPr>
              <m:e>
                <m:r>
                  <w:rPr>
                    <w:rFonts w:ascii="Cambria Math" w:hAnsi="Cambria Math"/>
                  </w:rPr>
                  <m:t>InRate</m:t>
                </m:r>
              </m:e>
              <m:sub>
                <m:r>
                  <w:rPr>
                    <w:rFonts w:ascii="Cambria Math" w:hAnsi="Cambria Math"/>
                  </w:rPr>
                  <m:t>i</m:t>
                </m:r>
              </m:sub>
            </m:sSub>
          </m:e>
        </m:acc>
        <m:r>
          <w:rPr>
            <w:rFonts w:ascii="Cambria Math" w:hAnsi="Cambria Math"/>
          </w:rPr>
          <m:t>=7.9678-</m:t>
        </m:r>
        <m:r>
          <m:rPr>
            <m:sty m:val="p"/>
          </m:rPr>
          <w:rPr>
            <w:rFonts w:ascii="Cambria Math" w:eastAsiaTheme="minorEastAsia" w:hAnsi="Cambria Math"/>
          </w:rPr>
          <m:t>0.1099</m:t>
        </m:r>
        <m:d>
          <m:dPr>
            <m:ctrlPr>
              <w:rPr>
                <w:rFonts w:ascii="Cambria Math" w:hAnsi="Cambria Math"/>
                <w:i/>
              </w:rPr>
            </m:ctrlPr>
          </m:dPr>
          <m:e>
            <m:sSub>
              <m:sSubPr>
                <m:ctrlPr>
                  <w:rPr>
                    <w:rFonts w:ascii="Cambria Math" w:hAnsi="Cambria Math"/>
                    <w:i/>
                  </w:rPr>
                </m:ctrlPr>
              </m:sSubPr>
              <m:e>
                <m:r>
                  <w:rPr>
                    <w:rFonts w:ascii="Cambria Math" w:hAnsi="Cambria Math"/>
                  </w:rPr>
                  <m:t>TBRate</m:t>
                </m:r>
              </m:e>
              <m:sub>
                <m:r>
                  <w:rPr>
                    <w:rFonts w:ascii="Cambria Math" w:hAnsi="Cambria Math"/>
                  </w:rPr>
                  <m:t>i</m:t>
                </m:r>
              </m:sub>
            </m:sSub>
          </m:e>
        </m:d>
        <m:r>
          <w:rPr>
            <w:rFonts w:ascii="Cambria Math" w:hAnsi="Cambria Math"/>
          </w:rPr>
          <m:t>+1.6441</m:t>
        </m:r>
        <m:d>
          <m:dPr>
            <m:ctrlPr>
              <w:rPr>
                <w:rFonts w:ascii="Cambria Math" w:hAnsi="Cambria Math"/>
                <w:i/>
              </w:rPr>
            </m:ctrlPr>
          </m:dPr>
          <m:e>
            <m:sSub>
              <m:sSubPr>
                <m:ctrlPr>
                  <w:rPr>
                    <w:rFonts w:ascii="Cambria Math" w:hAnsi="Cambria Math"/>
                    <w:i/>
                  </w:rPr>
                </m:ctrlPr>
              </m:sSubPr>
              <m:e>
                <m:r>
                  <w:rPr>
                    <w:rFonts w:ascii="Cambria Math" w:hAnsi="Cambria Math"/>
                  </w:rPr>
                  <m:t>PRate</m:t>
                </m:r>
              </m:e>
              <m:sub>
                <m:r>
                  <w:rPr>
                    <w:rFonts w:ascii="Cambria Math" w:hAnsi="Cambria Math"/>
                  </w:rPr>
                  <m:t>i</m:t>
                </m:r>
              </m:sub>
            </m:sSub>
          </m:e>
        </m:d>
        <m:r>
          <w:rPr>
            <w:rFonts w:ascii="Cambria Math" w:hAnsi="Cambria Math"/>
          </w:rPr>
          <m:t>-0.2227(</m:t>
        </m:r>
        <m:sSub>
          <m:sSubPr>
            <m:ctrlPr>
              <w:rPr>
                <w:rFonts w:ascii="Cambria Math" w:hAnsi="Cambria Math"/>
                <w:i/>
              </w:rPr>
            </m:ctrlPr>
          </m:sSubPr>
          <m:e>
            <m:r>
              <w:rPr>
                <w:rFonts w:ascii="Cambria Math" w:hAnsi="Cambria Math"/>
              </w:rPr>
              <m:t>Fxrate</m:t>
            </m:r>
          </m:e>
          <m:sub>
            <m:r>
              <w:rPr>
                <w:rFonts w:ascii="Cambria Math" w:hAnsi="Cambria Math"/>
              </w:rPr>
              <m:t>i</m:t>
            </m:r>
          </m:sub>
        </m:sSub>
      </m:oMath>
    </w:p>
    <w:p w14:paraId="3C600E46" w14:textId="1967861C" w:rsidR="00C72546" w:rsidRDefault="00C72546" w:rsidP="008E1BF3">
      <w:pPr>
        <w:ind w:firstLine="0"/>
        <w:rPr>
          <w:rFonts w:cs="Times New Roman"/>
          <w:szCs w:val="24"/>
        </w:rPr>
      </w:pPr>
      <w:r w:rsidRPr="00C72546">
        <w:rPr>
          <w:rFonts w:cs="Times New Roman"/>
          <w:szCs w:val="24"/>
        </w:rPr>
        <w:t xml:space="preserve">Equation (2) can be interpreted: If the predicted treasury bill rate, policy rate, and the JA/US exchange rate are zero (i.e., </w:t>
      </w:r>
      <w:proofErr w:type="spellStart"/>
      <w:r w:rsidRPr="00C72546">
        <w:rPr>
          <w:rFonts w:cs="Times New Roman"/>
          <w:szCs w:val="24"/>
        </w:rPr>
        <w:t>TBRate</w:t>
      </w:r>
      <w:proofErr w:type="spellEnd"/>
      <w:r w:rsidRPr="00C72546">
        <w:rPr>
          <w:rFonts w:cs="Times New Roman"/>
          <w:szCs w:val="24"/>
        </w:rPr>
        <w:t xml:space="preserve"> = 0; Prate =0; </w:t>
      </w:r>
      <w:proofErr w:type="spellStart"/>
      <w:r w:rsidRPr="00C72546">
        <w:rPr>
          <w:rFonts w:cs="Times New Roman"/>
          <w:szCs w:val="24"/>
        </w:rPr>
        <w:t>Fxrate</w:t>
      </w:r>
      <w:proofErr w:type="spellEnd"/>
      <w:r w:rsidRPr="00C72546">
        <w:rPr>
          <w:rFonts w:cs="Times New Roman"/>
          <w:szCs w:val="24"/>
        </w:rPr>
        <w:t xml:space="preserve"> =0) then the predicted inflation rate is the intercept, 7.9678%. Thi</w:t>
      </w:r>
      <w:r w:rsidR="00EE4E5C">
        <w:rPr>
          <w:rFonts w:cs="Times New Roman"/>
          <w:szCs w:val="24"/>
        </w:rPr>
        <w:t>s</w:t>
      </w:r>
      <w:r w:rsidRPr="00C72546">
        <w:rPr>
          <w:rFonts w:cs="Times New Roman"/>
          <w:szCs w:val="24"/>
        </w:rPr>
        <w:t xml:space="preserve"> negative coefficient (-0.10</w:t>
      </w:r>
      <w:r w:rsidR="00547BAE">
        <w:rPr>
          <w:rFonts w:cs="Times New Roman"/>
          <w:szCs w:val="24"/>
        </w:rPr>
        <w:t>99</w:t>
      </w:r>
      <w:r w:rsidR="00435AED">
        <w:rPr>
          <w:rFonts w:cs="Times New Roman"/>
          <w:szCs w:val="24"/>
        </w:rPr>
        <w:t xml:space="preserve"> or β</w:t>
      </w:r>
      <w:r w:rsidR="00794EF4">
        <w:rPr>
          <w:rFonts w:cs="Times New Roman"/>
          <w:szCs w:val="24"/>
          <w:vertAlign w:val="subscript"/>
        </w:rPr>
        <w:t>1</w:t>
      </w:r>
      <w:r w:rsidRPr="00C72546">
        <w:rPr>
          <w:rFonts w:cs="Times New Roman"/>
          <w:szCs w:val="24"/>
        </w:rPr>
        <w:t xml:space="preserve">) for </w:t>
      </w:r>
      <w:proofErr w:type="spellStart"/>
      <w:r w:rsidRPr="00C72546">
        <w:rPr>
          <w:rFonts w:cs="Times New Roman"/>
          <w:szCs w:val="24"/>
        </w:rPr>
        <w:t>TBRate</w:t>
      </w:r>
      <w:proofErr w:type="spellEnd"/>
      <w:r w:rsidRPr="00C72546">
        <w:rPr>
          <w:rFonts w:cs="Times New Roman"/>
          <w:szCs w:val="24"/>
        </w:rPr>
        <w:t xml:space="preserve"> tells us that as </w:t>
      </w:r>
      <w:proofErr w:type="spellStart"/>
      <w:r w:rsidRPr="00C72546">
        <w:rPr>
          <w:rFonts w:cs="Times New Roman"/>
          <w:szCs w:val="24"/>
        </w:rPr>
        <w:t>TBRate</w:t>
      </w:r>
      <w:proofErr w:type="spellEnd"/>
      <w:r w:rsidRPr="00C72546">
        <w:rPr>
          <w:rFonts w:cs="Times New Roman"/>
          <w:szCs w:val="24"/>
        </w:rPr>
        <w:t xml:space="preserve"> increases by one 1 percentage point the inflation rate will decrease by about 0.1 percentage points. The coefficient (1.6441 or β</w:t>
      </w:r>
      <w:r w:rsidR="00794EF4">
        <w:rPr>
          <w:rFonts w:cs="Times New Roman"/>
          <w:szCs w:val="24"/>
          <w:vertAlign w:val="subscript"/>
        </w:rPr>
        <w:t>2</w:t>
      </w:r>
      <w:r w:rsidRPr="00C72546">
        <w:rPr>
          <w:rFonts w:cs="Times New Roman"/>
          <w:szCs w:val="24"/>
        </w:rPr>
        <w:t>)</w:t>
      </w:r>
      <w:r w:rsidR="00794EF4">
        <w:rPr>
          <w:rFonts w:cs="Times New Roman"/>
          <w:szCs w:val="24"/>
        </w:rPr>
        <w:t xml:space="preserve"> </w:t>
      </w:r>
      <w:r w:rsidRPr="00C72546">
        <w:rPr>
          <w:rFonts w:cs="Times New Roman"/>
          <w:szCs w:val="24"/>
        </w:rPr>
        <w:t xml:space="preserve">tells us that as </w:t>
      </w:r>
      <w:r w:rsidR="00794EF4">
        <w:rPr>
          <w:rFonts w:cs="Times New Roman"/>
          <w:szCs w:val="24"/>
        </w:rPr>
        <w:t xml:space="preserve">the policy rate </w:t>
      </w:r>
      <w:r w:rsidRPr="00C72546">
        <w:rPr>
          <w:rFonts w:cs="Times New Roman"/>
          <w:szCs w:val="24"/>
        </w:rPr>
        <w:t>increases by 1 percentage point inflation will increase by about 1.6%. The coefficient (-0.</w:t>
      </w:r>
      <w:r w:rsidR="004C3011">
        <w:rPr>
          <w:rFonts w:cs="Times New Roman"/>
          <w:szCs w:val="24"/>
        </w:rPr>
        <w:t>0</w:t>
      </w:r>
      <w:r w:rsidRPr="00C72546">
        <w:rPr>
          <w:rFonts w:cs="Times New Roman"/>
          <w:szCs w:val="24"/>
        </w:rPr>
        <w:t>227 or β</w:t>
      </w:r>
      <w:r w:rsidR="007E41C7">
        <w:rPr>
          <w:rFonts w:cs="Times New Roman"/>
          <w:szCs w:val="24"/>
          <w:vertAlign w:val="subscript"/>
        </w:rPr>
        <w:t>3</w:t>
      </w:r>
      <w:r w:rsidRPr="00C72546">
        <w:rPr>
          <w:rFonts w:cs="Times New Roman"/>
          <w:szCs w:val="24"/>
        </w:rPr>
        <w:t xml:space="preserve">) </w:t>
      </w:r>
      <w:r w:rsidR="007E41C7">
        <w:rPr>
          <w:rFonts w:cs="Times New Roman"/>
          <w:szCs w:val="24"/>
        </w:rPr>
        <w:t>tells us</w:t>
      </w:r>
      <w:r w:rsidR="00996875">
        <w:rPr>
          <w:rFonts w:cs="Times New Roman"/>
          <w:szCs w:val="24"/>
        </w:rPr>
        <w:t xml:space="preserve"> </w:t>
      </w:r>
      <w:r w:rsidRPr="00C72546">
        <w:rPr>
          <w:rFonts w:cs="Times New Roman"/>
          <w:szCs w:val="24"/>
        </w:rPr>
        <w:t xml:space="preserve">that as the JMD </w:t>
      </w:r>
      <w:r w:rsidR="00C3793A">
        <w:rPr>
          <w:rFonts w:cs="Times New Roman"/>
          <w:szCs w:val="24"/>
        </w:rPr>
        <w:t>appreciates</w:t>
      </w:r>
      <w:r w:rsidRPr="00C72546">
        <w:rPr>
          <w:rFonts w:cs="Times New Roman"/>
          <w:szCs w:val="24"/>
        </w:rPr>
        <w:t xml:space="preserve"> in relation to the USD, inflation will decrease by 0.</w:t>
      </w:r>
      <w:r w:rsidR="004C3011">
        <w:rPr>
          <w:rFonts w:cs="Times New Roman"/>
          <w:szCs w:val="24"/>
        </w:rPr>
        <w:t>0</w:t>
      </w:r>
      <w:r w:rsidRPr="00C72546">
        <w:rPr>
          <w:rFonts w:cs="Times New Roman"/>
          <w:szCs w:val="24"/>
        </w:rPr>
        <w:t>227.</w:t>
      </w:r>
    </w:p>
    <w:p w14:paraId="32CA6FB3" w14:textId="4BD720CD" w:rsidR="008E1BF3" w:rsidRDefault="008E1BF3" w:rsidP="008E1BF3">
      <w:pPr>
        <w:ind w:firstLine="0"/>
        <w:rPr>
          <w:rFonts w:cs="Times New Roman"/>
          <w:szCs w:val="24"/>
        </w:rPr>
      </w:pPr>
      <w:r>
        <w:rPr>
          <w:rFonts w:cs="Times New Roman"/>
          <w:szCs w:val="24"/>
        </w:rPr>
        <w:t>R</w:t>
      </w:r>
      <w:r>
        <w:rPr>
          <w:rFonts w:cs="Times New Roman"/>
          <w:szCs w:val="24"/>
          <w:vertAlign w:val="superscript"/>
        </w:rPr>
        <w:t>2</w:t>
      </w:r>
      <w:r>
        <w:rPr>
          <w:rFonts w:cs="Times New Roman"/>
          <w:szCs w:val="24"/>
        </w:rPr>
        <w:t xml:space="preserve"> or otherwise called coefficient of determination indicates the total proportion of</w:t>
      </w:r>
      <w:r w:rsidR="00354C4A">
        <w:rPr>
          <w:rFonts w:cs="Times New Roman"/>
          <w:szCs w:val="24"/>
        </w:rPr>
        <w:t xml:space="preserve"> the </w:t>
      </w:r>
      <w:r>
        <w:rPr>
          <w:rFonts w:cs="Times New Roman"/>
          <w:szCs w:val="24"/>
        </w:rPr>
        <w:t xml:space="preserve">variation of the </w:t>
      </w:r>
      <w:r w:rsidR="00354C4A">
        <w:rPr>
          <w:rFonts w:cs="Times New Roman"/>
          <w:szCs w:val="24"/>
        </w:rPr>
        <w:t>i</w:t>
      </w:r>
      <w:r>
        <w:rPr>
          <w:rFonts w:cs="Times New Roman"/>
          <w:szCs w:val="24"/>
        </w:rPr>
        <w:t>nflation</w:t>
      </w:r>
      <w:r w:rsidR="00354C4A">
        <w:rPr>
          <w:rFonts w:cs="Times New Roman"/>
          <w:szCs w:val="24"/>
        </w:rPr>
        <w:t xml:space="preserve"> rate</w:t>
      </w:r>
      <w:r>
        <w:rPr>
          <w:rFonts w:cs="Times New Roman"/>
          <w:szCs w:val="24"/>
        </w:rPr>
        <w:t xml:space="preserve"> (the dependent variable) </w:t>
      </w:r>
      <w:r w:rsidR="00354C4A">
        <w:rPr>
          <w:rFonts w:cs="Times New Roman"/>
          <w:szCs w:val="24"/>
        </w:rPr>
        <w:t xml:space="preserve">that is </w:t>
      </w:r>
      <w:r>
        <w:rPr>
          <w:rFonts w:cs="Times New Roman"/>
          <w:szCs w:val="24"/>
        </w:rPr>
        <w:t xml:space="preserve">explained by the independent variables: Treasury bill rate, BOJ policy Rate and JA/US </w:t>
      </w:r>
      <w:proofErr w:type="spellStart"/>
      <w:r>
        <w:rPr>
          <w:rFonts w:cs="Times New Roman"/>
          <w:szCs w:val="24"/>
        </w:rPr>
        <w:t>Avg</w:t>
      </w:r>
      <w:proofErr w:type="spellEnd"/>
      <w:r>
        <w:rPr>
          <w:rFonts w:cs="Times New Roman"/>
          <w:szCs w:val="24"/>
        </w:rPr>
        <w:t xml:space="preserve"> Monthly FX Rates.</w:t>
      </w:r>
    </w:p>
    <w:p w14:paraId="1B2BEC16" w14:textId="77777777" w:rsidR="008E1BF3" w:rsidRDefault="008E1BF3" w:rsidP="008E1BF3">
      <w:pPr>
        <w:ind w:firstLine="0"/>
        <w:rPr>
          <w:rFonts w:eastAsia="Times New Roman" w:cs="Times New Roman"/>
          <w:color w:val="000000"/>
          <w:szCs w:val="24"/>
        </w:rPr>
      </w:pPr>
      <w:r w:rsidRPr="000F27F8">
        <w:rPr>
          <w:rFonts w:cs="Times New Roman"/>
          <w:szCs w:val="24"/>
        </w:rPr>
        <w:t>The formula for R</w:t>
      </w:r>
      <w:r w:rsidRPr="000F27F8">
        <w:rPr>
          <w:rFonts w:cs="Times New Roman"/>
          <w:szCs w:val="24"/>
          <w:vertAlign w:val="superscript"/>
        </w:rPr>
        <w:t xml:space="preserve">2 </w:t>
      </w:r>
      <w:r w:rsidRPr="000F27F8">
        <w:rPr>
          <w:rFonts w:cs="Times New Roman"/>
          <w:szCs w:val="24"/>
        </w:rPr>
        <w:t>is the Regression Sum of Squares (ESS) divided by the Total Sum of Squares (TSS). For this model, R</w:t>
      </w:r>
      <w:r>
        <w:rPr>
          <w:rFonts w:cs="Times New Roman"/>
          <w:szCs w:val="24"/>
          <w:vertAlign w:val="superscript"/>
        </w:rPr>
        <w:t xml:space="preserve">2 </w:t>
      </w:r>
      <w:r w:rsidRPr="000F27F8">
        <w:rPr>
          <w:rFonts w:cs="Times New Roman"/>
          <w:szCs w:val="24"/>
        </w:rPr>
        <w:t xml:space="preserve">is </w:t>
      </w:r>
      <w:r w:rsidRPr="000F27F8">
        <w:rPr>
          <w:rFonts w:eastAsia="Times New Roman" w:cs="Times New Roman"/>
          <w:color w:val="000000"/>
          <w:szCs w:val="24"/>
        </w:rPr>
        <w:t>82.41880061/105.2289862 which equals 0.7832328675.</w:t>
      </w:r>
    </w:p>
    <w:p w14:paraId="7F0CDB75" w14:textId="08DCFDE6" w:rsidR="008E1BF3" w:rsidRDefault="008E1BF3" w:rsidP="008E1BF3">
      <w:pPr>
        <w:ind w:firstLine="0"/>
        <w:rPr>
          <w:rFonts w:cs="Times New Roman"/>
          <w:szCs w:val="24"/>
        </w:rPr>
      </w:pPr>
      <w:r>
        <w:rPr>
          <w:rFonts w:eastAsia="Times New Roman" w:cs="Times New Roman"/>
          <w:color w:val="000000"/>
          <w:szCs w:val="24"/>
        </w:rPr>
        <w:t xml:space="preserve">78.32% of the variation in </w:t>
      </w:r>
      <w:r w:rsidR="004C2BE5">
        <w:rPr>
          <w:rFonts w:eastAsia="Times New Roman" w:cs="Times New Roman"/>
          <w:color w:val="000000"/>
          <w:szCs w:val="24"/>
        </w:rPr>
        <w:t>the i</w:t>
      </w:r>
      <w:r>
        <w:rPr>
          <w:rFonts w:eastAsia="Times New Roman" w:cs="Times New Roman"/>
          <w:color w:val="000000"/>
          <w:szCs w:val="24"/>
        </w:rPr>
        <w:t>nflation</w:t>
      </w:r>
      <w:r w:rsidR="004C2BE5">
        <w:rPr>
          <w:rFonts w:eastAsia="Times New Roman" w:cs="Times New Roman"/>
          <w:color w:val="000000"/>
          <w:szCs w:val="24"/>
        </w:rPr>
        <w:t xml:space="preserve"> rate</w:t>
      </w:r>
      <w:r>
        <w:rPr>
          <w:rFonts w:eastAsia="Times New Roman" w:cs="Times New Roman"/>
          <w:color w:val="000000"/>
          <w:szCs w:val="24"/>
        </w:rPr>
        <w:t xml:space="preserve"> is explained by the variation in </w:t>
      </w:r>
      <w:r w:rsidR="004C2BE5">
        <w:rPr>
          <w:rFonts w:eastAsia="Times New Roman" w:cs="Times New Roman"/>
          <w:color w:val="000000"/>
          <w:szCs w:val="24"/>
        </w:rPr>
        <w:t xml:space="preserve">the </w:t>
      </w:r>
      <w:r w:rsidR="00996875">
        <w:rPr>
          <w:rFonts w:cs="Times New Roman"/>
          <w:szCs w:val="24"/>
        </w:rPr>
        <w:t>t</w:t>
      </w:r>
      <w:r>
        <w:rPr>
          <w:rFonts w:cs="Times New Roman"/>
          <w:szCs w:val="24"/>
        </w:rPr>
        <w:t xml:space="preserve">reasury bill rate, BOJ policy Rate and JA/US </w:t>
      </w:r>
      <w:proofErr w:type="spellStart"/>
      <w:r>
        <w:rPr>
          <w:rFonts w:cs="Times New Roman"/>
          <w:szCs w:val="24"/>
        </w:rPr>
        <w:t>Avg</w:t>
      </w:r>
      <w:proofErr w:type="spellEnd"/>
      <w:r>
        <w:rPr>
          <w:rFonts w:cs="Times New Roman"/>
          <w:szCs w:val="24"/>
        </w:rPr>
        <w:t xml:space="preserve"> Monthly FX Rates.</w:t>
      </w:r>
    </w:p>
    <w:p w14:paraId="2B4C250C" w14:textId="77777777" w:rsidR="008E1BF3" w:rsidRDefault="008E1BF3" w:rsidP="008E1BF3">
      <w:pPr>
        <w:ind w:firstLine="0"/>
        <w:rPr>
          <w:rFonts w:cs="Times New Roman"/>
          <w:szCs w:val="24"/>
        </w:rPr>
      </w:pPr>
    </w:p>
    <w:p w14:paraId="68174B65" w14:textId="0A485825" w:rsidR="008E1BF3" w:rsidRPr="003C552B" w:rsidRDefault="008E1BF3" w:rsidP="008E1BF3">
      <w:pPr>
        <w:ind w:firstLine="0"/>
        <w:jc w:val="both"/>
      </w:pPr>
      <w:r w:rsidRPr="003C552B">
        <w:lastRenderedPageBreak/>
        <w:t>The t-tests below indicate</w:t>
      </w:r>
      <w:r>
        <w:t xml:space="preserve"> that</w:t>
      </w:r>
      <w:r w:rsidRPr="003C552B">
        <w:rPr>
          <w:rFonts w:eastAsiaTheme="minorEastAsia" w:cs="Times New Roman"/>
        </w:rPr>
        <w:t xml:space="preserve"> </w:t>
      </w:r>
      <w:r w:rsidRPr="003C552B">
        <w:t>β</w:t>
      </w:r>
      <w:r w:rsidRPr="003C552B">
        <w:rPr>
          <w:vertAlign w:val="subscript"/>
        </w:rPr>
        <w:t>1</w:t>
      </w:r>
      <w:r w:rsidRPr="003C552B">
        <w:t xml:space="preserve"> (</w:t>
      </w:r>
      <w:proofErr w:type="spellStart"/>
      <w:r w:rsidRPr="003C552B">
        <w:t>TBrate</w:t>
      </w:r>
      <w:proofErr w:type="spellEnd"/>
      <w:r w:rsidRPr="003C552B">
        <w:t>) and β</w:t>
      </w:r>
      <w:r w:rsidRPr="003C552B">
        <w:rPr>
          <w:vertAlign w:val="subscript"/>
        </w:rPr>
        <w:t xml:space="preserve">3 </w:t>
      </w:r>
      <w:r w:rsidRPr="003C552B">
        <w:t>(</w:t>
      </w:r>
      <w:proofErr w:type="spellStart"/>
      <w:r w:rsidRPr="003C552B">
        <w:t>Fxrate</w:t>
      </w:r>
      <w:proofErr w:type="spellEnd"/>
      <w:r w:rsidRPr="003C552B">
        <w:t>) are statistically insignificant at any conventional significance level while β</w:t>
      </w:r>
      <w:r w:rsidRPr="003C552B">
        <w:rPr>
          <w:vertAlign w:val="subscript"/>
        </w:rPr>
        <w:t xml:space="preserve">2 </w:t>
      </w:r>
      <w:r w:rsidRPr="003C552B">
        <w:t>(Prate) is statistically significant at any conventional significance level.</w:t>
      </w:r>
    </w:p>
    <w:p w14:paraId="60B4481E" w14:textId="77777777" w:rsidR="008E1BF3" w:rsidRPr="003C552B" w:rsidRDefault="00000000" w:rsidP="008E1BF3">
      <w:pPr>
        <w:ind w:firstLine="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E1BF3" w:rsidRPr="003C55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=0</m:t>
        </m:r>
      </m:oMath>
      <w:r w:rsidR="008E1BF3" w:rsidRPr="003C55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=0</m:t>
        </m:r>
      </m:oMath>
    </w:p>
    <w:p w14:paraId="7F3F8C59" w14:textId="77777777" w:rsidR="008E1BF3" w:rsidRPr="003C552B" w:rsidRDefault="00000000" w:rsidP="008E1BF3">
      <w:pPr>
        <w:ind w:firstLine="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E1BF3" w:rsidRPr="003C55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≠0</m:t>
        </m:r>
      </m:oMath>
      <w:r w:rsidR="008E1BF3" w:rsidRPr="003C55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≠0</m:t>
        </m:r>
      </m:oMath>
      <w:r w:rsidR="008E1BF3" w:rsidRPr="003C552B">
        <w:rPr>
          <w:rFonts w:eastAsiaTheme="minorEastAsia"/>
        </w:rPr>
        <w:t xml:space="preserve">                                        </w:t>
      </w:r>
    </w:p>
    <w:p w14:paraId="43F83049" w14:textId="77777777" w:rsidR="008E1BF3" w:rsidRPr="003C552B" w:rsidRDefault="008E1BF3" w:rsidP="008E1BF3">
      <w:pPr>
        <w:ind w:firstLine="0"/>
        <w:jc w:val="center"/>
        <w:rPr>
          <w:rFonts w:eastAsiaTheme="minorEastAsia"/>
        </w:rPr>
      </w:pPr>
      <w:r w:rsidRPr="003C552B">
        <w:rPr>
          <w:rFonts w:eastAsiaTheme="minorEastAsia" w:cs="Times New Roman"/>
        </w:rPr>
        <w:t>α</w:t>
      </w:r>
      <w:r w:rsidRPr="003C552B">
        <w:rPr>
          <w:rFonts w:eastAsiaTheme="minorEastAsia"/>
        </w:rPr>
        <w:t xml:space="preserve">=10%; </w:t>
      </w:r>
      <w:r w:rsidRPr="003C552B">
        <w:rPr>
          <w:rFonts w:eastAsiaTheme="minorEastAsia" w:cs="Times New Roman"/>
        </w:rPr>
        <w:t>α</w:t>
      </w:r>
      <w:r w:rsidRPr="003C552B">
        <w:rPr>
          <w:rFonts w:eastAsiaTheme="minorEastAsia"/>
        </w:rPr>
        <w:t xml:space="preserve">=5%; </w:t>
      </w:r>
      <w:r w:rsidRPr="003C552B">
        <w:rPr>
          <w:rFonts w:eastAsiaTheme="minorEastAsia" w:cs="Times New Roman"/>
        </w:rPr>
        <w:t>α</w:t>
      </w:r>
      <w:r w:rsidRPr="003C552B">
        <w:rPr>
          <w:rFonts w:eastAsiaTheme="minorEastAsia"/>
        </w:rPr>
        <w:t>=1%</w:t>
      </w:r>
    </w:p>
    <w:p w14:paraId="23614766" w14:textId="77777777" w:rsidR="008E1BF3" w:rsidRPr="003C552B" w:rsidRDefault="008E1BF3" w:rsidP="008E1BF3">
      <w:pPr>
        <w:ind w:firstLine="0"/>
        <w:jc w:val="both"/>
        <w:rPr>
          <w:rFonts w:eastAsiaTheme="minorEastAsia"/>
        </w:rPr>
      </w:pPr>
      <m:oMath>
        <m:r>
          <w:rPr>
            <w:rFonts w:ascii="Cambria Math" w:eastAsiaTheme="minorEastAsia" w:hAnsi="Cambria Math"/>
          </w:rPr>
          <m:t>0.8075&lt;0.10?No</m:t>
        </m:r>
      </m:oMath>
      <w:r w:rsidRPr="003C552B">
        <w:rPr>
          <w:rFonts w:eastAsiaTheme="minorEastAsia"/>
        </w:rPr>
        <w:t xml:space="preserve">                                </w:t>
      </w:r>
      <m:oMath>
        <m:r>
          <w:rPr>
            <w:rFonts w:ascii="Cambria Math" w:eastAsiaTheme="minorEastAsia" w:hAnsi="Cambria Math"/>
          </w:rPr>
          <m:t>0.0063&lt;0.10?Yes</m:t>
        </m:r>
      </m:oMath>
      <w:r w:rsidRPr="003C552B">
        <w:rPr>
          <w:rFonts w:eastAsiaTheme="minorEastAsia"/>
        </w:rPr>
        <w:t xml:space="preserve">                             </w:t>
      </w:r>
      <m:oMath>
        <m:r>
          <w:rPr>
            <w:rFonts w:ascii="Cambria Math" w:eastAsiaTheme="minorEastAsia" w:hAnsi="Cambria Math"/>
          </w:rPr>
          <m:t>0.6930 &lt; 0.10? No</m:t>
        </m:r>
      </m:oMath>
    </w:p>
    <w:p w14:paraId="65FCD697" w14:textId="77777777" w:rsidR="008E1BF3" w:rsidRPr="003C552B" w:rsidRDefault="008E1BF3" w:rsidP="008E1BF3">
      <w:pPr>
        <w:ind w:firstLine="0"/>
        <w:jc w:val="both"/>
        <w:rPr>
          <w:rFonts w:eastAsiaTheme="minorEastAsia"/>
        </w:rPr>
      </w:pPr>
      <m:oMath>
        <m:r>
          <w:rPr>
            <w:rFonts w:ascii="Cambria Math" w:eastAsiaTheme="minorEastAsia" w:hAnsi="Cambria Math"/>
          </w:rPr>
          <m:t>0.8075&lt;0.05?No</m:t>
        </m:r>
      </m:oMath>
      <w:r w:rsidRPr="003C552B">
        <w:rPr>
          <w:rFonts w:eastAsiaTheme="minorEastAsia"/>
        </w:rPr>
        <w:t xml:space="preserve">                              </w:t>
      </w:r>
      <m:oMath>
        <m:r>
          <w:rPr>
            <w:rFonts w:ascii="Cambria Math" w:eastAsiaTheme="minorEastAsia" w:hAnsi="Cambria Math"/>
          </w:rPr>
          <m:t>0.0063&lt;0.05?Yes</m:t>
        </m:r>
      </m:oMath>
      <w:r w:rsidRPr="003C552B">
        <w:rPr>
          <w:rFonts w:eastAsiaTheme="minorEastAsia"/>
        </w:rPr>
        <w:t xml:space="preserve">                          </w:t>
      </w:r>
      <m:oMath>
        <m:r>
          <w:rPr>
            <w:rFonts w:ascii="Cambria Math" w:eastAsiaTheme="minorEastAsia" w:hAnsi="Cambria Math"/>
          </w:rPr>
          <m:t>0.6930 &lt; 0.05? No</m:t>
        </m:r>
      </m:oMath>
    </w:p>
    <w:p w14:paraId="2FC14416" w14:textId="77777777" w:rsidR="008E1BF3" w:rsidRPr="003C552B" w:rsidRDefault="008E1BF3" w:rsidP="008E1BF3">
      <w:pPr>
        <w:ind w:firstLine="0"/>
        <w:jc w:val="both"/>
        <w:rPr>
          <w:rFonts w:eastAsiaTheme="minorEastAsia"/>
        </w:rPr>
      </w:pPr>
      <m:oMath>
        <m:r>
          <w:rPr>
            <w:rFonts w:ascii="Cambria Math" w:eastAsiaTheme="minorEastAsia" w:hAnsi="Cambria Math"/>
          </w:rPr>
          <m:t>0.8075&lt;0.01?No</m:t>
        </m:r>
      </m:oMath>
      <w:r w:rsidRPr="003C552B">
        <w:rPr>
          <w:rFonts w:eastAsiaTheme="minorEastAsia"/>
        </w:rPr>
        <w:t xml:space="preserve">                               </w:t>
      </w:r>
      <m:oMath>
        <m:r>
          <w:rPr>
            <w:rFonts w:ascii="Cambria Math" w:eastAsiaTheme="minorEastAsia" w:hAnsi="Cambria Math"/>
          </w:rPr>
          <m:t>0.0063&lt;0.01?Yes</m:t>
        </m:r>
      </m:oMath>
      <w:r w:rsidRPr="003C552B">
        <w:rPr>
          <w:rFonts w:eastAsiaTheme="minorEastAsia"/>
        </w:rPr>
        <w:t xml:space="preserve">                          </w:t>
      </w:r>
      <m:oMath>
        <m:r>
          <w:rPr>
            <w:rFonts w:ascii="Cambria Math" w:eastAsiaTheme="minorEastAsia" w:hAnsi="Cambria Math"/>
          </w:rPr>
          <m:t>0.6930 &lt; 0.01? No</m:t>
        </m:r>
      </m:oMath>
    </w:p>
    <w:p w14:paraId="245DC2AE" w14:textId="77777777" w:rsidR="008E1BF3" w:rsidRDefault="008E1BF3" w:rsidP="008E1BF3">
      <w:pPr>
        <w:ind w:firstLine="0"/>
        <w:rPr>
          <w:rFonts w:cs="Times New Roman"/>
          <w:szCs w:val="24"/>
        </w:rPr>
      </w:pPr>
    </w:p>
    <w:p w14:paraId="0A8199FA" w14:textId="77777777" w:rsidR="0019652D" w:rsidRDefault="0019652D" w:rsidP="00B81544">
      <w:pPr>
        <w:ind w:firstLine="0"/>
      </w:pPr>
    </w:p>
    <w:p w14:paraId="013FB9F8" w14:textId="2CEA25B5" w:rsidR="00346E58" w:rsidRDefault="00346E58" w:rsidP="00346E58">
      <w:pPr>
        <w:ind w:firstLine="0"/>
      </w:pPr>
    </w:p>
    <w:p w14:paraId="2DB550BE" w14:textId="1FE76783" w:rsidR="00AD60BB" w:rsidRDefault="00AD60BB" w:rsidP="00346E58">
      <w:pPr>
        <w:ind w:firstLine="0"/>
      </w:pPr>
    </w:p>
    <w:p w14:paraId="0B7AC1F1" w14:textId="7F6EFA9C" w:rsidR="00AD60BB" w:rsidRDefault="00AD60BB" w:rsidP="00346E58">
      <w:pPr>
        <w:ind w:firstLine="0"/>
      </w:pPr>
    </w:p>
    <w:p w14:paraId="5F913E7D" w14:textId="62171926" w:rsidR="00AD60BB" w:rsidRDefault="00AD60BB" w:rsidP="00346E58">
      <w:pPr>
        <w:ind w:firstLine="0"/>
      </w:pPr>
    </w:p>
    <w:p w14:paraId="2B2CBB8B" w14:textId="6E239D2F" w:rsidR="00AD60BB" w:rsidRDefault="00AD60BB" w:rsidP="00346E58">
      <w:pPr>
        <w:ind w:firstLine="0"/>
      </w:pPr>
    </w:p>
    <w:p w14:paraId="6751FE2C" w14:textId="77777777" w:rsidR="00AD60BB" w:rsidRPr="00346E58" w:rsidRDefault="00AD60BB" w:rsidP="00346E58">
      <w:pPr>
        <w:ind w:firstLine="0"/>
      </w:pPr>
    </w:p>
    <w:p w14:paraId="4004E50D" w14:textId="23422062" w:rsidR="00F875D0" w:rsidRDefault="00A95C10" w:rsidP="00253D72">
      <w:pPr>
        <w:pStyle w:val="Heading1"/>
      </w:pPr>
      <w:bookmarkStart w:id="11" w:name="_Toc120175470"/>
      <w:r>
        <w:lastRenderedPageBreak/>
        <w:t>Recommendations for the BOJ</w:t>
      </w:r>
      <w:bookmarkEnd w:id="11"/>
    </w:p>
    <w:p w14:paraId="5A68027C" w14:textId="6EDD07F3" w:rsidR="00EC2AC6" w:rsidRPr="00EC2AC6" w:rsidRDefault="00EC2AC6" w:rsidP="0030221A">
      <w:r w:rsidRPr="00EC2AC6">
        <w:rPr>
          <w:lang w:val="en-US"/>
        </w:rPr>
        <w:t xml:space="preserve">The simple regression analysis of </w:t>
      </w:r>
      <w:r w:rsidR="008B258E">
        <w:rPr>
          <w:lang w:val="en-US"/>
        </w:rPr>
        <w:t xml:space="preserve">the </w:t>
      </w:r>
      <w:r w:rsidRPr="00EC2AC6">
        <w:rPr>
          <w:lang w:val="en-US"/>
        </w:rPr>
        <w:t>inflation</w:t>
      </w:r>
      <w:r w:rsidR="008B258E">
        <w:rPr>
          <w:lang w:val="en-US"/>
        </w:rPr>
        <w:t xml:space="preserve"> rate </w:t>
      </w:r>
      <w:r w:rsidRPr="00EC2AC6">
        <w:rPr>
          <w:lang w:val="en-US"/>
        </w:rPr>
        <w:t xml:space="preserve">on </w:t>
      </w:r>
      <w:r w:rsidR="00AD13B8">
        <w:rPr>
          <w:lang w:val="en-US"/>
        </w:rPr>
        <w:t>the t</w:t>
      </w:r>
      <w:r w:rsidRPr="00EC2AC6">
        <w:rPr>
          <w:lang w:val="en-US"/>
        </w:rPr>
        <w:t xml:space="preserve">reasury bill rate </w:t>
      </w:r>
      <w:r w:rsidR="00C84720">
        <w:rPr>
          <w:lang w:val="en-US"/>
        </w:rPr>
        <w:t xml:space="preserve">tells us </w:t>
      </w:r>
      <w:r w:rsidR="005517AA">
        <w:rPr>
          <w:lang w:val="en-US"/>
        </w:rPr>
        <w:t xml:space="preserve">that the treasury bill rate </w:t>
      </w:r>
      <w:r w:rsidR="004438EC">
        <w:rPr>
          <w:lang w:val="en-US"/>
        </w:rPr>
        <w:t>has a positive relationship (moves in the same direction over time);</w:t>
      </w:r>
      <w:r w:rsidR="004D18E0">
        <w:rPr>
          <w:lang w:val="en-US"/>
        </w:rPr>
        <w:t xml:space="preserve"> </w:t>
      </w:r>
      <w:r w:rsidR="005517AA">
        <w:rPr>
          <w:lang w:val="en-US"/>
        </w:rPr>
        <w:t>accounts for 66% of the variation in the inflation rate</w:t>
      </w:r>
      <w:r w:rsidR="004D18E0">
        <w:rPr>
          <w:lang w:val="en-US"/>
        </w:rPr>
        <w:t>;</w:t>
      </w:r>
      <w:r w:rsidR="00B821C5">
        <w:rPr>
          <w:lang w:val="en-US"/>
        </w:rPr>
        <w:t xml:space="preserve"> and</w:t>
      </w:r>
      <w:r w:rsidR="00AA6C6B">
        <w:rPr>
          <w:lang w:val="en-US"/>
        </w:rPr>
        <w:t xml:space="preserve"> </w:t>
      </w:r>
      <w:r w:rsidR="00B821C5">
        <w:rPr>
          <w:lang w:val="en-US"/>
        </w:rPr>
        <w:t>is statistically significant</w:t>
      </w:r>
      <w:r w:rsidRPr="00EC2AC6">
        <w:rPr>
          <w:lang w:val="en-US"/>
        </w:rPr>
        <w:t>.</w:t>
      </w:r>
      <w:r w:rsidR="008F0B3A">
        <w:rPr>
          <w:lang w:val="en-US"/>
        </w:rPr>
        <w:t xml:space="preserve"> The multiple regression</w:t>
      </w:r>
      <w:r w:rsidR="00CB3188">
        <w:rPr>
          <w:lang w:val="en-US"/>
        </w:rPr>
        <w:t xml:space="preserve">, however, provides a </w:t>
      </w:r>
      <w:r w:rsidR="00B821C5">
        <w:rPr>
          <w:lang w:val="en-US"/>
        </w:rPr>
        <w:t>contra</w:t>
      </w:r>
      <w:r w:rsidR="001557B0">
        <w:rPr>
          <w:lang w:val="en-US"/>
        </w:rPr>
        <w:t xml:space="preserve">ry to the </w:t>
      </w:r>
      <w:r w:rsidR="00CB3188">
        <w:rPr>
          <w:lang w:val="en-US"/>
        </w:rPr>
        <w:t xml:space="preserve">result </w:t>
      </w:r>
      <w:r w:rsidR="00504A73">
        <w:rPr>
          <w:lang w:val="en-US"/>
        </w:rPr>
        <w:t>of</w:t>
      </w:r>
      <w:r w:rsidR="00833346">
        <w:rPr>
          <w:lang w:val="en-US"/>
        </w:rPr>
        <w:t xml:space="preserve"> the </w:t>
      </w:r>
      <w:r w:rsidR="006B5B90">
        <w:rPr>
          <w:lang w:val="en-US"/>
        </w:rPr>
        <w:t xml:space="preserve">simple regression. </w:t>
      </w:r>
      <w:r w:rsidR="00AA6C6B">
        <w:rPr>
          <w:lang w:val="en-US"/>
        </w:rPr>
        <w:t>T</w:t>
      </w:r>
      <w:r w:rsidR="006B5B90">
        <w:rPr>
          <w:lang w:val="en-US"/>
        </w:rPr>
        <w:t xml:space="preserve">he multiple </w:t>
      </w:r>
      <w:r w:rsidR="00AA6C6B">
        <w:rPr>
          <w:lang w:val="en-US"/>
        </w:rPr>
        <w:t xml:space="preserve">regression </w:t>
      </w:r>
      <w:r w:rsidRPr="00EC2AC6">
        <w:rPr>
          <w:lang w:val="en-US"/>
        </w:rPr>
        <w:t>shows that</w:t>
      </w:r>
      <w:r w:rsidR="00AA6C6B">
        <w:rPr>
          <w:lang w:val="en-US"/>
        </w:rPr>
        <w:t xml:space="preserve"> </w:t>
      </w:r>
      <w:r w:rsidR="00504A73">
        <w:rPr>
          <w:lang w:val="en-US"/>
        </w:rPr>
        <w:t xml:space="preserve">the </w:t>
      </w:r>
      <w:r w:rsidR="00AA6C6B">
        <w:rPr>
          <w:lang w:val="en-US"/>
        </w:rPr>
        <w:t>treasury bill rate</w:t>
      </w:r>
      <w:r w:rsidRPr="00EC2AC6">
        <w:rPr>
          <w:lang w:val="en-US"/>
        </w:rPr>
        <w:t xml:space="preserve"> </w:t>
      </w:r>
      <w:r w:rsidR="00AA6C6B">
        <w:rPr>
          <w:lang w:val="en-US"/>
        </w:rPr>
        <w:t xml:space="preserve">has </w:t>
      </w:r>
      <w:r w:rsidR="00504A73">
        <w:rPr>
          <w:lang w:val="en-US"/>
        </w:rPr>
        <w:t xml:space="preserve">an </w:t>
      </w:r>
      <w:r w:rsidR="00AA6C6B">
        <w:rPr>
          <w:lang w:val="en-US"/>
        </w:rPr>
        <w:t>inverse re</w:t>
      </w:r>
      <w:r w:rsidR="003920AC">
        <w:rPr>
          <w:lang w:val="en-US"/>
        </w:rPr>
        <w:t>lationship</w:t>
      </w:r>
      <w:r w:rsidR="00842771">
        <w:rPr>
          <w:lang w:val="en-US"/>
        </w:rPr>
        <w:t xml:space="preserve"> (moves in the opposite direction) and </w:t>
      </w:r>
      <w:r w:rsidRPr="00EC2AC6">
        <w:rPr>
          <w:lang w:val="en-US"/>
        </w:rPr>
        <w:t>is a statistically insignificant variable</w:t>
      </w:r>
      <w:r w:rsidR="00080026">
        <w:rPr>
          <w:lang w:val="en-US"/>
        </w:rPr>
        <w:t xml:space="preserve"> in predicting the rate of inflation</w:t>
      </w:r>
      <w:r w:rsidRPr="00EC2AC6">
        <w:rPr>
          <w:lang w:val="en-US"/>
        </w:rPr>
        <w:t>. Although the Treasury bill rate has an insignificant effect on inflation</w:t>
      </w:r>
      <w:r w:rsidR="00080026">
        <w:rPr>
          <w:lang w:val="en-US"/>
        </w:rPr>
        <w:t xml:space="preserve"> in the multiple regression</w:t>
      </w:r>
      <w:r w:rsidRPr="00EC2AC6">
        <w:rPr>
          <w:lang w:val="en-US"/>
        </w:rPr>
        <w:t xml:space="preserve">, </w:t>
      </w:r>
      <w:r w:rsidRPr="00EC2AC6">
        <w:t xml:space="preserve">we </w:t>
      </w:r>
      <w:r w:rsidR="004935E1">
        <w:t xml:space="preserve">base our </w:t>
      </w:r>
      <w:r w:rsidRPr="00EC2AC6">
        <w:t>recommend</w:t>
      </w:r>
      <w:r w:rsidR="004935E1">
        <w:t>ations for this variable based on the results from the simple regr</w:t>
      </w:r>
      <w:r w:rsidR="008C6444">
        <w:t xml:space="preserve">ession </w:t>
      </w:r>
      <w:r w:rsidR="006542D3">
        <w:t>because</w:t>
      </w:r>
      <w:r w:rsidR="008C6444">
        <w:t xml:space="preserve"> </w:t>
      </w:r>
      <w:r w:rsidR="006542D3">
        <w:t xml:space="preserve">of </w:t>
      </w:r>
      <w:r w:rsidR="008C6444">
        <w:t>the researcher</w:t>
      </w:r>
      <w:r w:rsidR="006542D3">
        <w:t>s’</w:t>
      </w:r>
      <w:r w:rsidR="008C6444">
        <w:t xml:space="preserve"> </w:t>
      </w:r>
      <w:r w:rsidR="006542D3">
        <w:t>prerequisite knowledge</w:t>
      </w:r>
      <w:r w:rsidR="00685A67">
        <w:t xml:space="preserve"> we believe the simple regression </w:t>
      </w:r>
      <w:r w:rsidR="00504A73">
        <w:t>provides</w:t>
      </w:r>
      <w:r w:rsidR="00685A67">
        <w:t xml:space="preserve"> a</w:t>
      </w:r>
      <w:r w:rsidR="00504A73">
        <w:t xml:space="preserve"> </w:t>
      </w:r>
      <w:r w:rsidR="00685A67">
        <w:t>more accurate description of the how the variable behave</w:t>
      </w:r>
      <w:r w:rsidR="00504A73">
        <w:t>s</w:t>
      </w:r>
      <w:r w:rsidR="00685A67">
        <w:t xml:space="preserve"> in relation to the inflation rate. </w:t>
      </w:r>
      <w:r w:rsidR="008B4399">
        <w:t>D</w:t>
      </w:r>
      <w:r w:rsidR="008B4399" w:rsidRPr="008B4399">
        <w:t xml:space="preserve">uring inflationary periods when the treasury bill becomes an unattractive investment because the inflation may surpass the treasury bill rate netting investors less </w:t>
      </w:r>
      <w:r w:rsidR="008B4399">
        <w:t xml:space="preserve">or negative </w:t>
      </w:r>
      <w:r w:rsidR="008B4399" w:rsidRPr="008B4399">
        <w:t>real return</w:t>
      </w:r>
      <w:r w:rsidR="008B4399">
        <w:t xml:space="preserve">. </w:t>
      </w:r>
      <w:r w:rsidR="008B4399" w:rsidRPr="008B4399">
        <w:t xml:space="preserve"> </w:t>
      </w:r>
      <w:r w:rsidR="008623D7">
        <w:t>As such we recommend</w:t>
      </w:r>
      <w:r w:rsidR="008B4399">
        <w:t xml:space="preserve"> </w:t>
      </w:r>
      <w:r w:rsidRPr="00EC2AC6">
        <w:t>the BOJ only offer fixed</w:t>
      </w:r>
      <w:r w:rsidR="00730DD6">
        <w:t xml:space="preserve"> selling </w:t>
      </w:r>
      <w:r w:rsidRPr="00EC2AC6">
        <w:t>price</w:t>
      </w:r>
      <w:r w:rsidR="00730DD6">
        <w:t xml:space="preserve"> for treasury</w:t>
      </w:r>
      <w:r w:rsidRPr="00EC2AC6">
        <w:t xml:space="preserve"> bills (</w:t>
      </w:r>
      <w:r w:rsidR="00730DD6">
        <w:t xml:space="preserve">a selling </w:t>
      </w:r>
      <w:r w:rsidRPr="00EC2AC6">
        <w:t xml:space="preserve">price not determined via an auction) and ensure that the yield/rate is always higher than the current rate of inflation. Doing this will make the treasury bills more attractive during inflationary periods and help reduce inflation by taking money out of circulation and may help do so at a faster pace. </w:t>
      </w:r>
    </w:p>
    <w:p w14:paraId="6334485B" w14:textId="5035374D" w:rsidR="00EC2AC6" w:rsidRPr="00EC2AC6" w:rsidRDefault="00EC2AC6" w:rsidP="0030221A">
      <w:pPr>
        <w:rPr>
          <w:lang w:val="en-US"/>
        </w:rPr>
      </w:pPr>
      <w:r w:rsidRPr="00EC2AC6">
        <w:rPr>
          <w:lang w:val="en-US"/>
        </w:rPr>
        <w:t xml:space="preserve">         The researcher recognizes that this multiple regression model with the following independent variables: BOJ Treasury bill Rate, BOJ Policy Rate, and JA/US Avg Monthly FX Rates account for 78% of the variation in inflation. The results of a hypothesis test constructed stated that the researcher would reject the null hypothesis and there is evidence that the BOJ policy rate ha</w:t>
      </w:r>
      <w:r w:rsidR="00F02A5D">
        <w:rPr>
          <w:lang w:val="en-US"/>
        </w:rPr>
        <w:t>s</w:t>
      </w:r>
      <w:r w:rsidRPr="00EC2AC6">
        <w:rPr>
          <w:lang w:val="en-US"/>
        </w:rPr>
        <w:t xml:space="preserve"> a significant effect on inflation. Based on the findings, the research purports that there is a positive relationship between the policy rate and inflation. We recommend that the BOJ </w:t>
      </w:r>
      <w:r w:rsidRPr="00EC2AC6">
        <w:rPr>
          <w:lang w:val="en-US"/>
        </w:rPr>
        <w:lastRenderedPageBreak/>
        <w:t xml:space="preserve">conducts a contractionary monetary policy in response to increasing inflation rates. The goal of a contractionary policy is to reduce the money supply within an economy by increasing interest rates. This helps slow </w:t>
      </w:r>
      <w:r w:rsidR="00D0444D">
        <w:rPr>
          <w:lang w:val="en-US"/>
        </w:rPr>
        <w:t xml:space="preserve">increasing interest rates by </w:t>
      </w:r>
      <w:r w:rsidRPr="00EC2AC6">
        <w:rPr>
          <w:lang w:val="en-US"/>
        </w:rPr>
        <w:t xml:space="preserve">making credit more expensive, which reduces consumer and business spending. </w:t>
      </w:r>
    </w:p>
    <w:p w14:paraId="67C8A7D1" w14:textId="178B9474" w:rsidR="00EC2AC6" w:rsidRPr="00EC2AC6" w:rsidRDefault="00EC2AC6" w:rsidP="0030221A">
      <w:pPr>
        <w:rPr>
          <w:lang w:val="en-US"/>
        </w:rPr>
      </w:pPr>
      <w:r w:rsidRPr="00EC2AC6">
        <w:rPr>
          <w:lang w:val="en-US"/>
        </w:rPr>
        <w:t xml:space="preserve">       The multiple regression analysis states that the JA currency to the US currency has an insignificant effect on inflation. It’s also highlighted that there is an </w:t>
      </w:r>
      <w:r w:rsidR="003C5D98">
        <w:rPr>
          <w:lang w:val="en-US"/>
        </w:rPr>
        <w:t>in</w:t>
      </w:r>
      <w:r w:rsidRPr="00EC2AC6">
        <w:rPr>
          <w:lang w:val="en-US"/>
        </w:rPr>
        <w:t>verse relationship between the JA/US monthly exchange rate and inflation. Regardless of the significance of the exchange rate on inflation</w:t>
      </w:r>
      <w:r w:rsidR="00A66DED">
        <w:rPr>
          <w:lang w:val="en-US"/>
        </w:rPr>
        <w:t xml:space="preserve"> due to the researchers’ prior knowledge</w:t>
      </w:r>
      <w:r w:rsidRPr="00EC2AC6">
        <w:rPr>
          <w:lang w:val="en-US"/>
        </w:rPr>
        <w:t>, we recommend that the BOJ engage other regional bodies (Government and Central Banks) in implementing policies that would facilitate greater regional integration in an effort to reduce Jamaica’s import bill. Due to the proximity and cooperation of Caribbean countries, the cost of raw materials would be reduced alongside the exchange rate uncertainties usually associated with trade. Reducing exchange rate uncertainties leads to the stabilization of the inflation rate (</w:t>
      </w:r>
      <w:proofErr w:type="spellStart"/>
      <w:r w:rsidRPr="00EC2AC6">
        <w:rPr>
          <w:lang w:val="en-US"/>
        </w:rPr>
        <w:t>Ilzetzki</w:t>
      </w:r>
      <w:proofErr w:type="spellEnd"/>
      <w:r w:rsidRPr="00EC2AC6">
        <w:rPr>
          <w:lang w:val="en-US"/>
        </w:rPr>
        <w:t xml:space="preserve"> et al, 2020). </w:t>
      </w:r>
    </w:p>
    <w:p w14:paraId="17DAF830" w14:textId="77777777" w:rsidR="00EC2AC6" w:rsidRPr="00EC2AC6" w:rsidRDefault="00EC2AC6" w:rsidP="0030221A">
      <w:pPr>
        <w:rPr>
          <w:lang w:val="en-US"/>
        </w:rPr>
      </w:pPr>
    </w:p>
    <w:p w14:paraId="4F003391" w14:textId="0D27FAA4" w:rsidR="00A95C10" w:rsidRDefault="00A95C10" w:rsidP="0030221A"/>
    <w:p w14:paraId="51C72C03" w14:textId="60F03F09" w:rsidR="00154FE0" w:rsidRDefault="00154FE0" w:rsidP="0030221A"/>
    <w:p w14:paraId="7BAF3533" w14:textId="6BAB6E2A" w:rsidR="00154FE0" w:rsidRDefault="00154FE0" w:rsidP="0030221A"/>
    <w:p w14:paraId="2AAE2B95" w14:textId="7635A1BC" w:rsidR="00154FE0" w:rsidRDefault="00154FE0" w:rsidP="0030221A"/>
    <w:p w14:paraId="028AA23C" w14:textId="77777777" w:rsidR="00154FE0" w:rsidRDefault="00154FE0" w:rsidP="0030221A"/>
    <w:p w14:paraId="23338F4C" w14:textId="702897EC" w:rsidR="001B60B0" w:rsidRDefault="00401442" w:rsidP="00253D72">
      <w:pPr>
        <w:pStyle w:val="Heading1"/>
      </w:pPr>
      <w:bookmarkStart w:id="12" w:name="_Toc120175471"/>
      <w:r w:rsidRPr="00401442">
        <w:lastRenderedPageBreak/>
        <w:t>How Could the Research Be Improved</w:t>
      </w:r>
      <w:r>
        <w:t>?</w:t>
      </w:r>
      <w:bookmarkEnd w:id="12"/>
    </w:p>
    <w:p w14:paraId="20E52B7D" w14:textId="32F52724" w:rsidR="00292F54" w:rsidRPr="000E4A34" w:rsidRDefault="000E4A34" w:rsidP="000E4A34">
      <w:pPr>
        <w:ind w:firstLine="0"/>
      </w:pPr>
      <w:r>
        <w:t>Based on our findings and post-diagnostic checks the research could be improved in the following ways:</w:t>
      </w:r>
    </w:p>
    <w:p w14:paraId="1E2E6044" w14:textId="79A0E527" w:rsidR="000E4A34" w:rsidRPr="000E4A34" w:rsidRDefault="00292F54" w:rsidP="000E4A34">
      <w:pPr>
        <w:pStyle w:val="ListParagraph"/>
        <w:numPr>
          <w:ilvl w:val="0"/>
          <w:numId w:val="13"/>
        </w:numPr>
        <w:rPr>
          <w:lang w:val="en-US"/>
        </w:rPr>
      </w:pPr>
      <w:r w:rsidRPr="000E4A34">
        <w:rPr>
          <w:lang w:val="en-US"/>
        </w:rPr>
        <w:t>The sample size for this research is 25 months and the researcher</w:t>
      </w:r>
      <w:r w:rsidR="00D17661">
        <w:rPr>
          <w:lang w:val="en-US"/>
        </w:rPr>
        <w:t>s</w:t>
      </w:r>
      <w:r w:rsidRPr="000E4A34">
        <w:rPr>
          <w:lang w:val="en-US"/>
        </w:rPr>
        <w:t xml:space="preserve"> conclude that increasing the sam</w:t>
      </w:r>
      <w:r w:rsidR="0092665E">
        <w:rPr>
          <w:lang w:val="en-US"/>
        </w:rPr>
        <w:t>pl</w:t>
      </w:r>
      <w:r w:rsidRPr="000E4A34">
        <w:rPr>
          <w:lang w:val="en-US"/>
        </w:rPr>
        <w:t xml:space="preserve">e size would provide a more accurate representation of the data. This would </w:t>
      </w:r>
      <w:r w:rsidR="007F460A">
        <w:rPr>
          <w:lang w:val="en-US"/>
        </w:rPr>
        <w:t xml:space="preserve">improve </w:t>
      </w:r>
      <w:r w:rsidRPr="000E4A34">
        <w:rPr>
          <w:lang w:val="en-US"/>
        </w:rPr>
        <w:t>the researcher</w:t>
      </w:r>
      <w:r w:rsidR="00D17661">
        <w:rPr>
          <w:lang w:val="en-US"/>
        </w:rPr>
        <w:t>s</w:t>
      </w:r>
      <w:r w:rsidR="007F460A">
        <w:rPr>
          <w:lang w:val="en-US"/>
        </w:rPr>
        <w:t>’</w:t>
      </w:r>
      <w:r w:rsidRPr="000E4A34">
        <w:rPr>
          <w:lang w:val="en-US"/>
        </w:rPr>
        <w:t xml:space="preserve"> ab</w:t>
      </w:r>
      <w:r w:rsidR="007F460A">
        <w:rPr>
          <w:lang w:val="en-US"/>
        </w:rPr>
        <w:t>ility</w:t>
      </w:r>
      <w:r w:rsidRPr="000E4A34">
        <w:rPr>
          <w:lang w:val="en-US"/>
        </w:rPr>
        <w:t xml:space="preserve"> to draw more precise conclusions and compare the data in this model to developed countries. A larger sample size can</w:t>
      </w:r>
      <w:r w:rsidR="000D20D9">
        <w:rPr>
          <w:lang w:val="en-US"/>
        </w:rPr>
        <w:t xml:space="preserve"> enable the identification of </w:t>
      </w:r>
      <w:r w:rsidRPr="000E4A34">
        <w:rPr>
          <w:lang w:val="en-US"/>
        </w:rPr>
        <w:t xml:space="preserve">any outliers in the data set, the coefficient of determination would be </w:t>
      </w:r>
      <w:r w:rsidR="007F460A" w:rsidRPr="000E4A34">
        <w:rPr>
          <w:lang w:val="en-US"/>
        </w:rPr>
        <w:t>l</w:t>
      </w:r>
      <w:r w:rsidR="007F460A">
        <w:rPr>
          <w:lang w:val="en-US"/>
        </w:rPr>
        <w:t>arger,</w:t>
      </w:r>
      <w:r w:rsidRPr="000E4A34">
        <w:rPr>
          <w:lang w:val="en-US"/>
        </w:rPr>
        <w:t xml:space="preserve"> and a smaller margin of error would allow for less variability in the model.</w:t>
      </w:r>
    </w:p>
    <w:p w14:paraId="6A104A8B" w14:textId="136FFA65" w:rsidR="007D7E5B" w:rsidRPr="007D7E5B" w:rsidRDefault="00292F54" w:rsidP="007D7E5B">
      <w:pPr>
        <w:pStyle w:val="ListParagraph"/>
        <w:numPr>
          <w:ilvl w:val="0"/>
          <w:numId w:val="13"/>
        </w:numPr>
        <w:rPr>
          <w:lang w:val="en-US"/>
        </w:rPr>
      </w:pPr>
      <w:r w:rsidRPr="007D7E5B">
        <w:rPr>
          <w:lang w:val="en-US"/>
        </w:rPr>
        <w:t xml:space="preserve">The data set used in this model is time series and the characteristic of time series data is that it is exposed to autocorrelation. </w:t>
      </w:r>
      <w:r w:rsidR="001F556F" w:rsidRPr="007D7E5B">
        <w:rPr>
          <w:lang w:val="en-US"/>
        </w:rPr>
        <w:t xml:space="preserve">represents the degree of similarity between a given time series and a lagged version of itself over successive time intervals. </w:t>
      </w:r>
      <w:r w:rsidR="00D87F07" w:rsidRPr="007D7E5B">
        <w:rPr>
          <w:lang w:val="en-US"/>
        </w:rPr>
        <w:t xml:space="preserve">Durbin-Watson Test is used to detect autocorrelation in the model. </w:t>
      </w:r>
      <w:r w:rsidR="0041335B" w:rsidRPr="007D7E5B">
        <w:rPr>
          <w:lang w:val="en-US"/>
        </w:rPr>
        <w:t>The researchers used the Durbin-Watson Test, and the results were inconclusive in determining if there was first</w:t>
      </w:r>
      <w:r w:rsidR="00E602D1">
        <w:rPr>
          <w:lang w:val="en-US"/>
        </w:rPr>
        <w:t>-</w:t>
      </w:r>
      <w:r w:rsidR="0041335B" w:rsidRPr="007D7E5B">
        <w:rPr>
          <w:lang w:val="en-US"/>
        </w:rPr>
        <w:t xml:space="preserve">order autocorrelation. </w:t>
      </w:r>
      <w:r w:rsidR="00D455F2" w:rsidRPr="007D7E5B">
        <w:rPr>
          <w:lang w:val="en-US"/>
        </w:rPr>
        <w:t>T</w:t>
      </w:r>
      <w:r w:rsidRPr="007D7E5B">
        <w:rPr>
          <w:lang w:val="en-US"/>
        </w:rPr>
        <w:t>his research</w:t>
      </w:r>
      <w:r w:rsidR="00D455F2" w:rsidRPr="007D7E5B">
        <w:rPr>
          <w:lang w:val="en-US"/>
        </w:rPr>
        <w:t xml:space="preserve"> could be improved by </w:t>
      </w:r>
      <w:r w:rsidRPr="007D7E5B">
        <w:rPr>
          <w:lang w:val="en-US"/>
        </w:rPr>
        <w:t xml:space="preserve">testing for </w:t>
      </w:r>
      <w:r w:rsidR="00D455F2" w:rsidRPr="007D7E5B">
        <w:rPr>
          <w:lang w:val="en-US"/>
        </w:rPr>
        <w:t xml:space="preserve">higher orders </w:t>
      </w:r>
      <w:r w:rsidRPr="007D7E5B">
        <w:rPr>
          <w:lang w:val="en-US"/>
        </w:rPr>
        <w:t xml:space="preserve">autocorrelation </w:t>
      </w:r>
      <w:r w:rsidR="00F919B5" w:rsidRPr="007D7E5B">
        <w:rPr>
          <w:lang w:val="en-US"/>
        </w:rPr>
        <w:t xml:space="preserve">using other statistical tests. </w:t>
      </w:r>
      <w:r w:rsidR="007D7E5B" w:rsidRPr="007D7E5B">
        <w:rPr>
          <w:lang w:val="en-US"/>
        </w:rPr>
        <w:t xml:space="preserve">Not testing for autocorrelation would also display an inflated error term, The OLS estimators are no longer BLUE and hypothesis testing is no longer valid. </w:t>
      </w:r>
    </w:p>
    <w:p w14:paraId="69C02031" w14:textId="096B4E56" w:rsidR="000E4A34" w:rsidRPr="004F5A76" w:rsidRDefault="00292F54" w:rsidP="004F5A76">
      <w:pPr>
        <w:pStyle w:val="ListParagraph"/>
        <w:numPr>
          <w:ilvl w:val="0"/>
          <w:numId w:val="13"/>
        </w:numPr>
        <w:rPr>
          <w:lang w:val="en-US"/>
        </w:rPr>
      </w:pPr>
      <w:r w:rsidRPr="00074C6F">
        <w:rPr>
          <w:lang w:val="en-US"/>
        </w:rPr>
        <w:t xml:space="preserve">This research consisted of 3 independent variables. To improve the regression model, there are other variables that have an impact on inflation. By including additional independent variables, the coefficient of determination would increase and thus increasing the number of expected variables in inflation. However, the addition of too many independent variables can also have a negative impact on the regression model. </w:t>
      </w:r>
      <w:r w:rsidRPr="00074C6F">
        <w:rPr>
          <w:lang w:val="en-US"/>
        </w:rPr>
        <w:lastRenderedPageBreak/>
        <w:t>This has the potential of reducing the credibility and the significance of the model</w:t>
      </w:r>
      <w:r w:rsidR="00074C6F" w:rsidRPr="00074C6F">
        <w:rPr>
          <w:lang w:val="en-US"/>
        </w:rPr>
        <w:t>.</w:t>
      </w:r>
      <w:r w:rsidR="00074C6F" w:rsidRPr="00074C6F">
        <w:t xml:space="preserve"> </w:t>
      </w:r>
      <w:r w:rsidR="00074C6F" w:rsidRPr="00074C6F">
        <w:rPr>
          <w:lang w:val="en-US"/>
        </w:rPr>
        <w:t xml:space="preserve">Our multiple regression model was found to have imperfect multicollinearity as indicated by a Pearson’s correlation coefficient of 0.97 between the treasury bill rate and policy rate and a variance inflation factor (VIF) of </w:t>
      </w:r>
      <w:r w:rsidR="00DD781D" w:rsidRPr="00074C6F">
        <w:rPr>
          <w:lang w:val="en-US"/>
        </w:rPr>
        <w:t>7.1 and</w:t>
      </w:r>
      <w:r w:rsidR="00074C6F" w:rsidRPr="00074C6F">
        <w:rPr>
          <w:lang w:val="en-US"/>
        </w:rPr>
        <w:t xml:space="preserve"> 8.5 for the treasury bill rate and the policy rate respectively.  We assume the correlation </w:t>
      </w:r>
      <w:r w:rsidR="00E602D1">
        <w:rPr>
          <w:lang w:val="en-US"/>
        </w:rPr>
        <w:t>between</w:t>
      </w:r>
      <w:r w:rsidR="00074C6F" w:rsidRPr="00074C6F">
        <w:rPr>
          <w:lang w:val="en-US"/>
        </w:rPr>
        <w:t xml:space="preserve"> the treasury bill rate and the policy rate is due to the nature of the data; with time series data you can always expect to have some degree of multicollinearity due to how these variables operate in the real world. Since multicollinearity is detected, the researcher can improve the research by omitting one of the collinear variables or combining the highly correlated variables. We would also recommend transforming the highly correlated variables into a ratio such that over time both variables tend to move in the same direction.</w:t>
      </w:r>
      <w:r w:rsidR="004F5A76">
        <w:rPr>
          <w:lang w:val="en-US"/>
        </w:rPr>
        <w:t xml:space="preserve"> </w:t>
      </w:r>
      <w:r w:rsidRPr="004F5A76">
        <w:rPr>
          <w:lang w:val="en-US"/>
        </w:rPr>
        <w:t xml:space="preserve">Multicollinearity means that the independent variables in the model are correlated. Failure to test for multicollinearity could result in skewed results, low t statistics and large standard errors. Variance inflation factor (VIF) is used to determine the presence of multicollinearity. A VIF greater than 10 is normally the benchmark used to identify multicollinearity. </w:t>
      </w:r>
    </w:p>
    <w:p w14:paraId="10CD225A" w14:textId="7D4AD2C4" w:rsidR="00292F54" w:rsidRDefault="0058074A" w:rsidP="000E4A34">
      <w:pPr>
        <w:pStyle w:val="ListParagraph"/>
        <w:numPr>
          <w:ilvl w:val="0"/>
          <w:numId w:val="13"/>
        </w:numPr>
        <w:rPr>
          <w:lang w:val="en-US"/>
        </w:rPr>
      </w:pPr>
      <w:r>
        <w:rPr>
          <w:lang w:val="en-US"/>
        </w:rPr>
        <w:t xml:space="preserve">Heteroskedasticity was tested using a Breusch-Pagan test and </w:t>
      </w:r>
      <w:r w:rsidR="00A3020A">
        <w:rPr>
          <w:lang w:val="en-US"/>
        </w:rPr>
        <w:t xml:space="preserve">found not to be </w:t>
      </w:r>
      <w:r w:rsidR="00E602D1">
        <w:rPr>
          <w:lang w:val="en-US"/>
        </w:rPr>
        <w:t xml:space="preserve">in </w:t>
      </w:r>
      <w:r w:rsidR="00A3020A">
        <w:rPr>
          <w:lang w:val="en-US"/>
        </w:rPr>
        <w:t>our model.</w:t>
      </w:r>
    </w:p>
    <w:p w14:paraId="4167F06A" w14:textId="4B7EE381" w:rsidR="00700871" w:rsidRDefault="00700871" w:rsidP="00700871">
      <w:pPr>
        <w:pStyle w:val="ListParagraph"/>
        <w:ind w:firstLine="0"/>
        <w:rPr>
          <w:lang w:val="en-US"/>
        </w:rPr>
      </w:pPr>
    </w:p>
    <w:p w14:paraId="5DEAB343" w14:textId="0FEC04A8" w:rsidR="00700871" w:rsidRDefault="00700871" w:rsidP="00700871">
      <w:pPr>
        <w:pStyle w:val="ListParagraph"/>
        <w:ind w:firstLine="0"/>
        <w:rPr>
          <w:lang w:val="en-US"/>
        </w:rPr>
      </w:pPr>
    </w:p>
    <w:p w14:paraId="6C7B6969" w14:textId="5587CCD1" w:rsidR="00700871" w:rsidRDefault="00700871" w:rsidP="00700871">
      <w:pPr>
        <w:pStyle w:val="ListParagraph"/>
        <w:ind w:firstLine="0"/>
        <w:rPr>
          <w:lang w:val="en-US"/>
        </w:rPr>
      </w:pPr>
    </w:p>
    <w:p w14:paraId="55C94883" w14:textId="25EFBA95" w:rsidR="00700871" w:rsidRDefault="00700871" w:rsidP="00700871">
      <w:pPr>
        <w:pStyle w:val="ListParagraph"/>
        <w:ind w:firstLine="0"/>
        <w:rPr>
          <w:lang w:val="en-US"/>
        </w:rPr>
      </w:pPr>
    </w:p>
    <w:p w14:paraId="78D5BCAB" w14:textId="3AB3E475" w:rsidR="00700871" w:rsidRDefault="00700871" w:rsidP="00700871">
      <w:pPr>
        <w:pStyle w:val="ListParagraph"/>
        <w:ind w:firstLine="0"/>
        <w:rPr>
          <w:lang w:val="en-US"/>
        </w:rPr>
      </w:pPr>
    </w:p>
    <w:p w14:paraId="22502B8E" w14:textId="78A3B243" w:rsidR="00700871" w:rsidRDefault="00700871" w:rsidP="00700871">
      <w:pPr>
        <w:pStyle w:val="ListParagraph"/>
        <w:ind w:firstLine="0"/>
        <w:rPr>
          <w:lang w:val="en-US"/>
        </w:rPr>
      </w:pPr>
    </w:p>
    <w:p w14:paraId="65C2B00C" w14:textId="0E70B3D0" w:rsidR="00700871" w:rsidRDefault="00700871" w:rsidP="00700871">
      <w:pPr>
        <w:pStyle w:val="Heading1"/>
        <w:rPr>
          <w:lang w:val="en-US"/>
        </w:rPr>
      </w:pPr>
      <w:bookmarkStart w:id="13" w:name="_Toc120175472"/>
      <w:r w:rsidRPr="00700871">
        <w:rPr>
          <w:lang w:val="en-US"/>
        </w:rPr>
        <w:lastRenderedPageBreak/>
        <w:t>Conclusion</w:t>
      </w:r>
      <w:bookmarkEnd w:id="13"/>
    </w:p>
    <w:p w14:paraId="377CC065" w14:textId="4B874538" w:rsidR="008E2F03" w:rsidRDefault="000B2A06" w:rsidP="008E2F03">
      <w:pPr>
        <w:rPr>
          <w:rFonts w:cs="Times New Roman"/>
          <w:szCs w:val="24"/>
        </w:rPr>
      </w:pPr>
      <w:r>
        <w:rPr>
          <w:lang w:val="en-US"/>
        </w:rPr>
        <w:t>Based on the literature the rese</w:t>
      </w:r>
      <w:r w:rsidR="006B4C64">
        <w:rPr>
          <w:lang w:val="en-US"/>
        </w:rPr>
        <w:t xml:space="preserve">archers can conclude that our findings are in line with </w:t>
      </w:r>
      <w:r w:rsidR="003D4BEB">
        <w:rPr>
          <w:lang w:val="en-US"/>
        </w:rPr>
        <w:t xml:space="preserve">established principles such as the </w:t>
      </w:r>
      <w:r>
        <w:rPr>
          <w:lang w:val="en-US"/>
        </w:rPr>
        <w:t>Fisher effect and the Taylor rule</w:t>
      </w:r>
      <w:r w:rsidR="002353AF">
        <w:rPr>
          <w:lang w:val="en-US"/>
        </w:rPr>
        <w:t xml:space="preserve">. </w:t>
      </w:r>
      <w:r w:rsidR="00942EA3">
        <w:rPr>
          <w:lang w:val="en-US"/>
        </w:rPr>
        <w:t>T</w:t>
      </w:r>
      <w:r w:rsidR="002353AF">
        <w:rPr>
          <w:lang w:val="en-US"/>
        </w:rPr>
        <w:t xml:space="preserve">he results of the multiple regression </w:t>
      </w:r>
      <w:r w:rsidR="00942EA3">
        <w:rPr>
          <w:lang w:val="en-US"/>
        </w:rPr>
        <w:t xml:space="preserve">analysis estimate </w:t>
      </w:r>
      <w:r w:rsidR="00B35C65">
        <w:rPr>
          <w:lang w:val="en-US"/>
        </w:rPr>
        <w:t xml:space="preserve">that as </w:t>
      </w:r>
      <w:r w:rsidR="00A044E7">
        <w:rPr>
          <w:rFonts w:cs="Times New Roman"/>
          <w:szCs w:val="24"/>
        </w:rPr>
        <w:t xml:space="preserve">the policy rate </w:t>
      </w:r>
      <w:r w:rsidR="00A044E7" w:rsidRPr="00C72546">
        <w:rPr>
          <w:rFonts w:cs="Times New Roman"/>
          <w:szCs w:val="24"/>
        </w:rPr>
        <w:t>increases by 1 percentage point inflation will increase by about 1.6%.</w:t>
      </w:r>
      <w:r w:rsidR="00C66B21">
        <w:rPr>
          <w:rFonts w:cs="Times New Roman"/>
          <w:szCs w:val="24"/>
        </w:rPr>
        <w:t xml:space="preserve"> </w:t>
      </w:r>
      <w:r w:rsidR="005C73FF">
        <w:rPr>
          <w:rFonts w:cs="Times New Roman"/>
          <w:szCs w:val="24"/>
        </w:rPr>
        <w:t xml:space="preserve">The model estimates a positive relationship between the </w:t>
      </w:r>
      <w:r w:rsidR="005166CB">
        <w:rPr>
          <w:rFonts w:cs="Times New Roman"/>
          <w:szCs w:val="24"/>
        </w:rPr>
        <w:t xml:space="preserve">policy rate and </w:t>
      </w:r>
      <w:r w:rsidR="006B3B65">
        <w:rPr>
          <w:rFonts w:cs="Times New Roman"/>
          <w:szCs w:val="24"/>
        </w:rPr>
        <w:t>inflation, in other words, these variables move in the same direction</w:t>
      </w:r>
      <w:r w:rsidR="00181B9F">
        <w:rPr>
          <w:rFonts w:cs="Times New Roman"/>
          <w:szCs w:val="24"/>
        </w:rPr>
        <w:t>.</w:t>
      </w:r>
      <w:r w:rsidR="003B7E80">
        <w:rPr>
          <w:rFonts w:cs="Times New Roman"/>
          <w:szCs w:val="24"/>
        </w:rPr>
        <w:t xml:space="preserve"> Th</w:t>
      </w:r>
      <w:r w:rsidR="00A051EF">
        <w:rPr>
          <w:rFonts w:cs="Times New Roman"/>
          <w:szCs w:val="24"/>
        </w:rPr>
        <w:t>e relationship between these two variables in our model is the same as the Fisher effect</w:t>
      </w:r>
      <w:r w:rsidR="00FB655D">
        <w:rPr>
          <w:rFonts w:cs="Times New Roman"/>
          <w:szCs w:val="24"/>
        </w:rPr>
        <w:t xml:space="preserve">. </w:t>
      </w:r>
      <w:r w:rsidR="00FB655D">
        <w:t>The Fisher effect says that the nominal interest rate moves one-for-one with expected inflation and that real interest rates fall as inflation increases</w:t>
      </w:r>
      <w:r w:rsidR="009223A9">
        <w:t xml:space="preserve"> (Mankiw, 2013). The relationship between </w:t>
      </w:r>
      <w:r w:rsidR="00CD0908">
        <w:t xml:space="preserve">them </w:t>
      </w:r>
      <w:r w:rsidR="009223A9">
        <w:t>is not one</w:t>
      </w:r>
      <w:r w:rsidR="00AC4D55">
        <w:t>-for-</w:t>
      </w:r>
      <w:r w:rsidR="00252E5F">
        <w:t xml:space="preserve">one </w:t>
      </w:r>
      <w:r w:rsidR="001B1ECB">
        <w:t xml:space="preserve">as stated </w:t>
      </w:r>
      <w:r w:rsidR="00AC4D55">
        <w:t xml:space="preserve">but </w:t>
      </w:r>
      <w:r w:rsidR="001B1ECB">
        <w:t>they do move in the same direction. This finding also supports the literature that</w:t>
      </w:r>
      <w:r w:rsidR="009D038F">
        <w:t xml:space="preserve"> the Taylor rule</w:t>
      </w:r>
      <w:r w:rsidR="001B1ECB">
        <w:t xml:space="preserve"> </w:t>
      </w:r>
      <w:r w:rsidR="004779B2">
        <w:t>predicts the behaviour of central</w:t>
      </w:r>
      <w:r w:rsidR="009D038F">
        <w:t xml:space="preserve"> banks</w:t>
      </w:r>
      <w:r w:rsidR="00EC2CA9">
        <w:t xml:space="preserve">. </w:t>
      </w:r>
      <w:r w:rsidR="001007E9" w:rsidRPr="00282856">
        <w:rPr>
          <w:lang w:val="en-US"/>
        </w:rPr>
        <w:t>The rule prescribes a higher interest rate when inflation is above target, and a lower one if inflation is lagging</w:t>
      </w:r>
      <w:r w:rsidR="006B6EB9">
        <w:rPr>
          <w:lang w:val="en-US"/>
        </w:rPr>
        <w:t xml:space="preserve">. </w:t>
      </w:r>
      <w:r w:rsidR="00145588">
        <w:rPr>
          <w:lang w:val="en-US"/>
        </w:rPr>
        <w:t xml:space="preserve">The literature also </w:t>
      </w:r>
      <w:r w:rsidR="00886B05">
        <w:rPr>
          <w:lang w:val="en-US"/>
        </w:rPr>
        <w:t xml:space="preserve">supports the positive relationship </w:t>
      </w:r>
      <w:r w:rsidR="00557ECB">
        <w:rPr>
          <w:lang w:val="en-US"/>
        </w:rPr>
        <w:t>b</w:t>
      </w:r>
      <w:r w:rsidR="002E51FE">
        <w:rPr>
          <w:lang w:val="en-US"/>
        </w:rPr>
        <w:t xml:space="preserve">etween the treasury bill rate and inflation. </w:t>
      </w:r>
      <w:r w:rsidR="00F16B06">
        <w:rPr>
          <w:lang w:val="en-US"/>
        </w:rPr>
        <w:t xml:space="preserve">As </w:t>
      </w:r>
      <w:r w:rsidR="00F2092E">
        <w:rPr>
          <w:lang w:val="en-US"/>
        </w:rPr>
        <w:t xml:space="preserve">inflation and </w:t>
      </w:r>
      <w:r w:rsidR="00F16B06">
        <w:rPr>
          <w:lang w:val="en-US"/>
        </w:rPr>
        <w:t>nominal interest rates</w:t>
      </w:r>
      <w:r w:rsidR="00F2092E">
        <w:rPr>
          <w:lang w:val="en-US"/>
        </w:rPr>
        <w:t xml:space="preserve"> increase</w:t>
      </w:r>
      <w:r w:rsidR="003B338D">
        <w:rPr>
          <w:lang w:val="en-US"/>
        </w:rPr>
        <w:t xml:space="preserve">, </w:t>
      </w:r>
      <w:r w:rsidR="00F2092E">
        <w:rPr>
          <w:lang w:val="en-US"/>
        </w:rPr>
        <w:t xml:space="preserve">real rates fall. </w:t>
      </w:r>
      <w:r w:rsidR="00D80026">
        <w:rPr>
          <w:lang w:val="en-US"/>
        </w:rPr>
        <w:t xml:space="preserve">Treasury bills usually </w:t>
      </w:r>
      <w:r w:rsidR="003A0350">
        <w:rPr>
          <w:lang w:val="en-US"/>
        </w:rPr>
        <w:t xml:space="preserve">have rates/yields that </w:t>
      </w:r>
      <w:r w:rsidR="00651889">
        <w:rPr>
          <w:lang w:val="en-US"/>
        </w:rPr>
        <w:t>are not greater than inflation as such investors shy away</w:t>
      </w:r>
      <w:r w:rsidR="00BC3C80">
        <w:rPr>
          <w:lang w:val="en-US"/>
        </w:rPr>
        <w:t xml:space="preserve"> from this debt instrument as inflation increases because the</w:t>
      </w:r>
      <w:r w:rsidR="00E47713">
        <w:rPr>
          <w:lang w:val="en-US"/>
        </w:rPr>
        <w:t>y net less real returns.</w:t>
      </w:r>
      <w:r w:rsidR="00525B0A" w:rsidRPr="00525B0A">
        <w:rPr>
          <w:lang w:val="en-US"/>
        </w:rPr>
        <w:t xml:space="preserve"> </w:t>
      </w:r>
      <w:r w:rsidR="00525B0A" w:rsidRPr="00700871">
        <w:rPr>
          <w:lang w:val="en-US"/>
        </w:rPr>
        <w:t xml:space="preserve">Lastly, </w:t>
      </w:r>
      <w:r w:rsidR="00BA5200">
        <w:rPr>
          <w:lang w:val="en-US"/>
        </w:rPr>
        <w:t>(Segal, 2019</w:t>
      </w:r>
      <w:r w:rsidR="00525B0A" w:rsidRPr="00700871">
        <w:rPr>
          <w:lang w:val="en-US"/>
        </w:rPr>
        <w:t>) purports that a depreciation in the local exchange rate is likely to cause inflation to increase</w:t>
      </w:r>
      <w:r w:rsidR="00D047F1">
        <w:rPr>
          <w:lang w:val="en-US"/>
        </w:rPr>
        <w:t xml:space="preserve"> as the</w:t>
      </w:r>
      <w:r w:rsidR="00D047F1" w:rsidRPr="00D047F1">
        <w:rPr>
          <w:lang w:val="en-US"/>
        </w:rPr>
        <w:t xml:space="preserve"> </w:t>
      </w:r>
      <w:r w:rsidR="00D047F1">
        <w:rPr>
          <w:lang w:val="en-US"/>
        </w:rPr>
        <w:t>depreciation/</w:t>
      </w:r>
      <w:r w:rsidR="00D047F1" w:rsidRPr="00282856">
        <w:rPr>
          <w:lang w:val="en-US"/>
        </w:rPr>
        <w:t xml:space="preserve">appreciation of the local dollar relative to the foreign </w:t>
      </w:r>
      <w:r w:rsidR="00D047F1">
        <w:rPr>
          <w:lang w:val="en-US"/>
        </w:rPr>
        <w:t>currencies</w:t>
      </w:r>
      <w:r w:rsidR="00D047F1" w:rsidRPr="00282856">
        <w:rPr>
          <w:lang w:val="en-US"/>
        </w:rPr>
        <w:t xml:space="preserve"> means th</w:t>
      </w:r>
      <w:r w:rsidR="00D047F1">
        <w:rPr>
          <w:lang w:val="en-US"/>
        </w:rPr>
        <w:t xml:space="preserve">at the cost of imports will rise /fall </w:t>
      </w:r>
      <w:r w:rsidR="00D047F1" w:rsidRPr="00282856">
        <w:rPr>
          <w:lang w:val="en-US"/>
        </w:rPr>
        <w:t>(Seagal, 2021)</w:t>
      </w:r>
      <w:r w:rsidR="00C72101">
        <w:rPr>
          <w:lang w:val="en-US"/>
        </w:rPr>
        <w:t xml:space="preserve">. </w:t>
      </w:r>
      <w:r w:rsidR="00C72101">
        <w:rPr>
          <w:rFonts w:eastAsia="Times New Roman" w:cs="Times New Roman"/>
          <w:color w:val="000000" w:themeColor="text1"/>
          <w:szCs w:val="24"/>
        </w:rPr>
        <w:t>In this regression model, there is indeed a negative relationship between the exchange rate and inflation.</w:t>
      </w:r>
      <w:r w:rsidR="00062D29">
        <w:rPr>
          <w:rFonts w:eastAsia="Times New Roman" w:cs="Times New Roman"/>
          <w:color w:val="000000" w:themeColor="text1"/>
          <w:szCs w:val="24"/>
        </w:rPr>
        <w:t xml:space="preserve"> </w:t>
      </w:r>
      <w:r w:rsidR="003A6BCA">
        <w:rPr>
          <w:rFonts w:eastAsia="Times New Roman" w:cs="Times New Roman"/>
          <w:color w:val="000000" w:themeColor="text1"/>
          <w:szCs w:val="24"/>
        </w:rPr>
        <w:t xml:space="preserve">The model estimates that as </w:t>
      </w:r>
      <w:r w:rsidR="008E2F03" w:rsidRPr="00C72546">
        <w:rPr>
          <w:rFonts w:cs="Times New Roman"/>
          <w:szCs w:val="24"/>
        </w:rPr>
        <w:t>th</w:t>
      </w:r>
      <w:r w:rsidR="003B338D">
        <w:rPr>
          <w:rFonts w:cs="Times New Roman"/>
          <w:szCs w:val="24"/>
        </w:rPr>
        <w:t>e</w:t>
      </w:r>
      <w:r w:rsidR="008E2F03" w:rsidRPr="00C72546">
        <w:rPr>
          <w:rFonts w:cs="Times New Roman"/>
          <w:szCs w:val="24"/>
        </w:rPr>
        <w:t xml:space="preserve"> JMD </w:t>
      </w:r>
      <w:r w:rsidR="008E2F03">
        <w:rPr>
          <w:rFonts w:cs="Times New Roman"/>
          <w:szCs w:val="24"/>
        </w:rPr>
        <w:t>appreciates</w:t>
      </w:r>
      <w:r w:rsidR="008E2F03" w:rsidRPr="00C72546">
        <w:rPr>
          <w:rFonts w:cs="Times New Roman"/>
          <w:szCs w:val="24"/>
        </w:rPr>
        <w:t xml:space="preserve"> in relation to the USD, </w:t>
      </w:r>
      <w:r w:rsidR="008E2F03">
        <w:rPr>
          <w:rFonts w:cs="Times New Roman"/>
          <w:szCs w:val="24"/>
        </w:rPr>
        <w:t xml:space="preserve">we will see </w:t>
      </w:r>
      <w:r w:rsidR="008E2F03" w:rsidRPr="00C72546">
        <w:rPr>
          <w:rFonts w:cs="Times New Roman"/>
          <w:szCs w:val="24"/>
        </w:rPr>
        <w:t>inflation will decrease.</w:t>
      </w:r>
    </w:p>
    <w:p w14:paraId="3EB4F570" w14:textId="47EDBF61" w:rsidR="00D047F1" w:rsidRPr="00FB0BF9" w:rsidRDefault="00D047F1" w:rsidP="00D047F1">
      <w:pPr>
        <w:rPr>
          <w:lang w:val="en-US"/>
        </w:rPr>
      </w:pPr>
    </w:p>
    <w:p w14:paraId="35E922ED" w14:textId="77777777" w:rsidR="004F5A76" w:rsidRPr="00BA2FF6" w:rsidRDefault="004F5A76" w:rsidP="00BA2FF6">
      <w:pPr>
        <w:ind w:firstLine="0"/>
        <w:rPr>
          <w:lang w:val="en-US"/>
        </w:rPr>
      </w:pPr>
    </w:p>
    <w:p w14:paraId="513B20D9" w14:textId="77777777" w:rsidR="00BA2FF6" w:rsidRDefault="00BA2FF6" w:rsidP="00BA2FF6">
      <w:pPr>
        <w:pStyle w:val="Heading1"/>
      </w:pPr>
      <w:bookmarkStart w:id="14" w:name="_Toc120175473"/>
      <w:r>
        <w:lastRenderedPageBreak/>
        <w:t>References</w:t>
      </w:r>
      <w:bookmarkEnd w:id="14"/>
    </w:p>
    <w:p w14:paraId="6468100D" w14:textId="77777777" w:rsidR="00BA2FF6" w:rsidRDefault="00BA2FF6" w:rsidP="006C262C">
      <w:pPr>
        <w:ind w:left="720" w:hanging="720"/>
        <w:rPr>
          <w:i/>
          <w:iCs/>
          <w:noProof/>
        </w:rPr>
      </w:pPr>
      <w:r w:rsidRPr="004545A1">
        <w:rPr>
          <w:noProof/>
        </w:rPr>
        <w:t xml:space="preserve">Abel, A. B., Bernanke, B. S., &amp; Croushore, D. (2011). </w:t>
      </w:r>
      <w:r w:rsidRPr="004545A1">
        <w:rPr>
          <w:i/>
          <w:iCs/>
          <w:noProof/>
        </w:rPr>
        <w:t>Macroeconomics (7</w:t>
      </w:r>
      <w:r w:rsidRPr="004545A1">
        <w:rPr>
          <w:i/>
          <w:iCs/>
          <w:noProof/>
          <w:vertAlign w:val="superscript"/>
        </w:rPr>
        <w:t>th</w:t>
      </w:r>
      <w:r w:rsidRPr="004545A1">
        <w:rPr>
          <w:i/>
          <w:iCs/>
          <w:noProof/>
        </w:rPr>
        <w:t xml:space="preserve"> ed.). Pearso</w:t>
      </w:r>
      <w:r>
        <w:rPr>
          <w:i/>
          <w:iCs/>
          <w:noProof/>
        </w:rPr>
        <w:t>n</w:t>
      </w:r>
    </w:p>
    <w:p w14:paraId="073CC028" w14:textId="77777777" w:rsidR="00BA2FF6" w:rsidRPr="004545A1" w:rsidRDefault="00BA2FF6" w:rsidP="006C262C">
      <w:pPr>
        <w:ind w:left="720" w:hanging="720"/>
      </w:pPr>
      <w:r>
        <w:rPr>
          <w:rFonts w:eastAsia="Times New Roman"/>
          <w:bCs/>
          <w:color w:val="000000" w:themeColor="text1"/>
        </w:rPr>
        <w:t xml:space="preserve">Adrian, </w:t>
      </w:r>
      <w:hyperlink r:id="rId18" w:history="1">
        <w:r>
          <w:rPr>
            <w:rStyle w:val="Hyperlink"/>
            <w:rFonts w:eastAsia="Times New Roman" w:cs="Times New Roman"/>
            <w:bCs/>
            <w:color w:val="000000" w:themeColor="text1"/>
            <w:szCs w:val="24"/>
            <w:u w:val="none"/>
          </w:rPr>
          <w:t xml:space="preserve">Tobias, &amp; </w:t>
        </w:r>
      </w:hyperlink>
      <w:hyperlink r:id="rId19" w:history="1">
        <w:r>
          <w:rPr>
            <w:rStyle w:val="Hyperlink"/>
            <w:rFonts w:eastAsia="Times New Roman" w:cs="Times New Roman"/>
            <w:bCs/>
            <w:color w:val="000000" w:themeColor="text1"/>
            <w:szCs w:val="24"/>
            <w:u w:val="none"/>
          </w:rPr>
          <w:t>Natalucci</w:t>
        </w:r>
      </w:hyperlink>
      <w:r>
        <w:rPr>
          <w:rFonts w:eastAsia="Times New Roman"/>
          <w:bCs/>
          <w:color w:val="000000" w:themeColor="text1"/>
        </w:rPr>
        <w:t xml:space="preserve">, </w:t>
      </w:r>
      <w:r>
        <w:rPr>
          <w:rFonts w:eastAsia="Times New Roman"/>
          <w:bCs/>
          <w:color w:val="212529"/>
        </w:rPr>
        <w:t xml:space="preserve">Fabio. (2022, August 10) </w:t>
      </w:r>
      <w:hyperlink r:id="rId20" w:history="1">
        <w:r>
          <w:rPr>
            <w:rStyle w:val="Hyperlink"/>
            <w:rFonts w:eastAsia="Times New Roman" w:cs="Times New Roman"/>
            <w:bCs/>
            <w:szCs w:val="24"/>
          </w:rPr>
          <w:t>https://www.imf.org/en/Blogs/Articles/2022/08/10/central-banks-hike-interest-rates-in-sync-to-tame-inflation-pressures</w:t>
        </w:r>
      </w:hyperlink>
    </w:p>
    <w:p w14:paraId="40A4748E" w14:textId="77777777" w:rsidR="00BA2FF6" w:rsidRPr="004545A1" w:rsidRDefault="00BA2FF6" w:rsidP="006C262C">
      <w:pPr>
        <w:ind w:left="720" w:hanging="720"/>
        <w:rPr>
          <w:noProof/>
        </w:rPr>
      </w:pPr>
      <w:r w:rsidRPr="004545A1">
        <w:rPr>
          <w:noProof/>
        </w:rPr>
        <w:t>Alvarez, F., Lucas, R. E., &amp; Weber, W. E. (2001). Interest rates and inflation. American Economic Review, 91(2), 219-225.</w:t>
      </w:r>
    </w:p>
    <w:p w14:paraId="00184401" w14:textId="77777777" w:rsidR="00BA2FF6" w:rsidRPr="004545A1" w:rsidRDefault="00BA2FF6" w:rsidP="006C262C">
      <w:pPr>
        <w:ind w:left="720" w:hanging="720"/>
      </w:pPr>
      <w:r w:rsidRPr="004545A1">
        <w:rPr>
          <w:color w:val="000000" w:themeColor="text1"/>
          <w:shd w:val="clear" w:color="auto" w:fill="FCFCFC"/>
        </w:rPr>
        <w:t xml:space="preserve">Corporate Finance Institute. (2022). Retrieved from </w:t>
      </w:r>
      <w:hyperlink r:id="rId21" w:history="1">
        <w:r w:rsidRPr="004545A1">
          <w:rPr>
            <w:rStyle w:val="Hyperlink"/>
            <w:rFonts w:cs="Times New Roman"/>
            <w:szCs w:val="24"/>
            <w:shd w:val="clear" w:color="auto" w:fill="FCFCFC"/>
          </w:rPr>
          <w:t>https://corporatefinanceinstitute.com/resources/fixed-income/treasury-bills-t-bills/</w:t>
        </w:r>
      </w:hyperlink>
    </w:p>
    <w:p w14:paraId="3DF59ABA" w14:textId="77777777" w:rsidR="00BA2FF6" w:rsidRPr="004545A1" w:rsidRDefault="00BA2FF6" w:rsidP="006C262C">
      <w:pPr>
        <w:ind w:left="720" w:hanging="720"/>
      </w:pPr>
      <w:proofErr w:type="spellStart"/>
      <w:r w:rsidRPr="004545A1">
        <w:rPr>
          <w:rStyle w:val="normaltextrun"/>
          <w:rFonts w:cs="Times New Roman"/>
          <w:color w:val="101010"/>
          <w:szCs w:val="24"/>
          <w:bdr w:val="none" w:sz="0" w:space="0" w:color="auto" w:frame="1"/>
          <w:shd w:val="clear" w:color="auto" w:fill="FAFAFA"/>
        </w:rPr>
        <w:t>Ilzetzki</w:t>
      </w:r>
      <w:proofErr w:type="spellEnd"/>
      <w:r w:rsidRPr="004545A1">
        <w:rPr>
          <w:rStyle w:val="normaltextrun"/>
          <w:rFonts w:cs="Times New Roman"/>
          <w:color w:val="101010"/>
          <w:szCs w:val="24"/>
          <w:bdr w:val="none" w:sz="0" w:space="0" w:color="auto" w:frame="1"/>
          <w:shd w:val="clear" w:color="auto" w:fill="FAFAFA"/>
        </w:rPr>
        <w:t xml:space="preserve">, Ethan, Reinhart, M, Carmen, and Rogoff, S.  Kenneth. </w:t>
      </w:r>
      <w:r w:rsidRPr="004545A1">
        <w:rPr>
          <w:color w:val="101010"/>
          <w:shd w:val="clear" w:color="auto" w:fill="FAFAFA"/>
        </w:rPr>
        <w:t>(2020). “</w:t>
      </w:r>
      <w:r w:rsidRPr="004545A1">
        <w:rPr>
          <w:rStyle w:val="normaltextrun"/>
          <w:rFonts w:cs="Times New Roman"/>
          <w:color w:val="101010"/>
          <w:szCs w:val="24"/>
          <w:bdr w:val="none" w:sz="0" w:space="0" w:color="auto" w:frame="1"/>
          <w:shd w:val="clear" w:color="auto" w:fill="FAFAFA"/>
        </w:rPr>
        <w:t>Will the Secular Decline in Exchange Rate and Inflation Volatility Survive COVID-19?</w:t>
      </w:r>
      <w:r w:rsidRPr="004545A1">
        <w:rPr>
          <w:rStyle w:val="eop"/>
          <w:rFonts w:cs="Times New Roman"/>
          <w:color w:val="101010"/>
          <w:szCs w:val="24"/>
          <w:bdr w:val="none" w:sz="0" w:space="0" w:color="auto" w:frame="1"/>
          <w:shd w:val="clear" w:color="auto" w:fill="FAFAFA"/>
        </w:rPr>
        <w:t> </w:t>
      </w:r>
      <w:r w:rsidRPr="004545A1">
        <w:rPr>
          <w:color w:val="101010"/>
          <w:shd w:val="clear" w:color="auto" w:fill="FAFAFA"/>
        </w:rPr>
        <w:t>” </w:t>
      </w:r>
      <w:r w:rsidRPr="004545A1">
        <w:rPr>
          <w:rStyle w:val="Emphasis"/>
          <w:rFonts w:cs="Times New Roman"/>
          <w:color w:val="101010"/>
          <w:szCs w:val="24"/>
          <w:bdr w:val="none" w:sz="0" w:space="0" w:color="auto" w:frame="1"/>
          <w:shd w:val="clear" w:color="auto" w:fill="FAFAFA"/>
        </w:rPr>
        <w:t>Brookings Papers on Economic Activity</w:t>
      </w:r>
      <w:r w:rsidRPr="004545A1">
        <w:rPr>
          <w:color w:val="101010"/>
          <w:shd w:val="clear" w:color="auto" w:fill="FAFAFA"/>
        </w:rPr>
        <w:t>, Fall, 279-332.</w:t>
      </w:r>
    </w:p>
    <w:p w14:paraId="123DAC8A" w14:textId="77777777" w:rsidR="00BA2FF6" w:rsidRPr="004545A1" w:rsidRDefault="00BA2FF6" w:rsidP="006C262C">
      <w:pPr>
        <w:ind w:left="720" w:hanging="720"/>
      </w:pPr>
      <w:r w:rsidRPr="004545A1">
        <w:rPr>
          <w:color w:val="000000" w:themeColor="text1"/>
          <w:shd w:val="clear" w:color="auto" w:fill="FCFCFC"/>
        </w:rPr>
        <w:t>Investopedia, (2022, March 7). Retrieved from</w:t>
      </w:r>
    </w:p>
    <w:p w14:paraId="6310D883" w14:textId="01ADBDE0" w:rsidR="00BA2FF6" w:rsidRDefault="00000000" w:rsidP="006C262C">
      <w:pPr>
        <w:ind w:left="720" w:hanging="720"/>
        <w:rPr>
          <w:color w:val="000000" w:themeColor="text1"/>
          <w:shd w:val="clear" w:color="auto" w:fill="FCFCFC"/>
        </w:rPr>
      </w:pPr>
      <w:hyperlink r:id="rId22" w:anchor=":~:text=In%20general%2C%20inflation%20tends%20to,weaken%20relative%20to%20other%20currencies" w:history="1">
        <w:r w:rsidR="00BA2FF6" w:rsidRPr="00DB0F87">
          <w:rPr>
            <w:rStyle w:val="Hyperlink"/>
            <w:rFonts w:cs="Times New Roman"/>
            <w:szCs w:val="24"/>
            <w:shd w:val="clear" w:color="auto" w:fill="FCFCFC"/>
          </w:rPr>
          <w:t>https://www.investopedia.com/ask/answers/022415/how-does-inflation-affect-exchange-rate-between-two-nations.asp#:~:text=In%20general%2C%20inflation%20tends%20to,weaken%20relative%20to%20other%20currencies</w:t>
        </w:r>
      </w:hyperlink>
      <w:r w:rsidR="00BA2FF6" w:rsidRPr="004545A1">
        <w:rPr>
          <w:color w:val="000000" w:themeColor="text1"/>
          <w:shd w:val="clear" w:color="auto" w:fill="FCFCFC"/>
        </w:rPr>
        <w:t>.</w:t>
      </w:r>
    </w:p>
    <w:p w14:paraId="0159E04B" w14:textId="35DD5D43" w:rsidR="009C3C10" w:rsidRPr="004545A1" w:rsidRDefault="009C3C10" w:rsidP="006C262C">
      <w:pPr>
        <w:ind w:left="720" w:hanging="720"/>
        <w:rPr>
          <w:color w:val="000000" w:themeColor="text1"/>
          <w:shd w:val="clear" w:color="auto" w:fill="FCFCFC"/>
        </w:rPr>
      </w:pPr>
      <w:r>
        <w:rPr>
          <w:color w:val="000000" w:themeColor="text1"/>
          <w:shd w:val="clear" w:color="auto" w:fill="FCFCFC"/>
        </w:rPr>
        <w:t>Mankiw, G.</w:t>
      </w:r>
      <w:r w:rsidR="002D2358">
        <w:rPr>
          <w:color w:val="000000" w:themeColor="text1"/>
          <w:shd w:val="clear" w:color="auto" w:fill="FCFCFC"/>
        </w:rPr>
        <w:t>N. (2012).</w:t>
      </w:r>
      <w:r w:rsidR="00E67496">
        <w:rPr>
          <w:color w:val="000000" w:themeColor="text1"/>
          <w:shd w:val="clear" w:color="auto" w:fill="FCFCFC"/>
        </w:rPr>
        <w:t xml:space="preserve"> </w:t>
      </w:r>
      <w:r w:rsidR="00E46835" w:rsidRPr="00E46835">
        <w:rPr>
          <w:color w:val="000000" w:themeColor="text1"/>
          <w:shd w:val="clear" w:color="auto" w:fill="FCFCFC"/>
        </w:rPr>
        <w:t>Macroeconomics</w:t>
      </w:r>
      <w:r w:rsidR="00E46835">
        <w:rPr>
          <w:color w:val="000000" w:themeColor="text1"/>
          <w:shd w:val="clear" w:color="auto" w:fill="FCFCFC"/>
        </w:rPr>
        <w:t xml:space="preserve"> (8</w:t>
      </w:r>
      <w:r w:rsidR="00E46835" w:rsidRPr="00E46835">
        <w:rPr>
          <w:color w:val="000000" w:themeColor="text1"/>
          <w:shd w:val="clear" w:color="auto" w:fill="FCFCFC"/>
          <w:vertAlign w:val="superscript"/>
        </w:rPr>
        <w:t>th</w:t>
      </w:r>
      <w:r w:rsidR="00E46835">
        <w:rPr>
          <w:color w:val="000000" w:themeColor="text1"/>
          <w:shd w:val="clear" w:color="auto" w:fill="FCFCFC"/>
        </w:rPr>
        <w:t xml:space="preserve"> ed.)</w:t>
      </w:r>
      <w:r w:rsidR="006C262C" w:rsidRPr="006C262C">
        <w:t xml:space="preserve"> </w:t>
      </w:r>
      <w:r w:rsidR="006C262C" w:rsidRPr="006C262C">
        <w:rPr>
          <w:color w:val="000000" w:themeColor="text1"/>
          <w:shd w:val="clear" w:color="auto" w:fill="FCFCFC"/>
        </w:rPr>
        <w:t>Worth Publishers</w:t>
      </w:r>
    </w:p>
    <w:p w14:paraId="184F0424" w14:textId="77777777" w:rsidR="00BA2FF6" w:rsidRPr="004545A1" w:rsidRDefault="00BA2FF6" w:rsidP="006C262C">
      <w:pPr>
        <w:ind w:left="720" w:hanging="720"/>
        <w:rPr>
          <w:color w:val="000000" w:themeColor="text1"/>
          <w:shd w:val="clear" w:color="auto" w:fill="FCFCFC"/>
        </w:rPr>
      </w:pPr>
      <w:proofErr w:type="spellStart"/>
      <w:r w:rsidRPr="004545A1">
        <w:t>Mckinsey</w:t>
      </w:r>
      <w:proofErr w:type="spellEnd"/>
      <w:r w:rsidRPr="004545A1">
        <w:t xml:space="preserve"> &amp; Company. (2022, August 17). Retrieved from</w:t>
      </w:r>
    </w:p>
    <w:p w14:paraId="2A5E97CB" w14:textId="77777777" w:rsidR="00BA2FF6" w:rsidRPr="004545A1" w:rsidRDefault="00000000" w:rsidP="006C262C">
      <w:pPr>
        <w:ind w:left="720" w:hanging="720"/>
      </w:pPr>
      <w:hyperlink r:id="rId23" w:history="1">
        <w:r w:rsidR="00BA2FF6" w:rsidRPr="004545A1">
          <w:rPr>
            <w:rStyle w:val="Hyperlink"/>
            <w:rFonts w:cs="Times New Roman"/>
            <w:szCs w:val="24"/>
          </w:rPr>
          <w:t>https://www.mckinsey.com/featured-insights/mckinsey-explainers/what-is-inflation</w:t>
        </w:r>
      </w:hyperlink>
    </w:p>
    <w:p w14:paraId="09F221DD" w14:textId="77777777" w:rsidR="00BA2FF6" w:rsidRPr="004545A1" w:rsidRDefault="00BA2FF6" w:rsidP="006C262C">
      <w:pPr>
        <w:ind w:left="720" w:hanging="720"/>
        <w:rPr>
          <w:rStyle w:val="author"/>
          <w:rFonts w:cs="Times New Roman"/>
          <w:color w:val="000000" w:themeColor="text1"/>
          <w:szCs w:val="24"/>
          <w:bdr w:val="none" w:sz="0" w:space="0" w:color="auto" w:frame="1"/>
          <w:shd w:val="clear" w:color="auto" w:fill="FFFFFF"/>
        </w:rPr>
      </w:pPr>
      <w:r w:rsidRPr="004545A1">
        <w:rPr>
          <w:rStyle w:val="byline"/>
          <w:rFonts w:cs="Times New Roman"/>
          <w:color w:val="000000" w:themeColor="text1"/>
          <w:szCs w:val="24"/>
          <w:bdr w:val="none" w:sz="0" w:space="0" w:color="auto" w:frame="1"/>
          <w:shd w:val="clear" w:color="auto" w:fill="FFFFFF"/>
        </w:rPr>
        <w:t> </w:t>
      </w:r>
      <w:hyperlink r:id="rId24" w:tooltip="View all posts by Tejvan Pettinger" w:history="1">
        <w:r w:rsidRPr="004545A1">
          <w:rPr>
            <w:rStyle w:val="author-name"/>
            <w:rFonts w:cs="Times New Roman"/>
            <w:color w:val="000000" w:themeColor="text1"/>
            <w:szCs w:val="24"/>
            <w:bdr w:val="none" w:sz="0" w:space="0" w:color="auto" w:frame="1"/>
          </w:rPr>
          <w:t>Pettinger</w:t>
        </w:r>
      </w:hyperlink>
      <w:r w:rsidRPr="004545A1">
        <w:rPr>
          <w:rStyle w:val="author"/>
          <w:rFonts w:cs="Times New Roman"/>
          <w:color w:val="000000" w:themeColor="text1"/>
          <w:szCs w:val="24"/>
          <w:bdr w:val="none" w:sz="0" w:space="0" w:color="auto" w:frame="1"/>
          <w:shd w:val="clear" w:color="auto" w:fill="FFFFFF"/>
        </w:rPr>
        <w:t xml:space="preserve">, </w:t>
      </w:r>
      <w:proofErr w:type="spellStart"/>
      <w:r w:rsidRPr="004545A1">
        <w:rPr>
          <w:rStyle w:val="author"/>
          <w:rFonts w:cs="Times New Roman"/>
          <w:color w:val="000000" w:themeColor="text1"/>
          <w:szCs w:val="24"/>
          <w:bdr w:val="none" w:sz="0" w:space="0" w:color="auto" w:frame="1"/>
          <w:shd w:val="clear" w:color="auto" w:fill="FFFFFF"/>
        </w:rPr>
        <w:t>Tejvan</w:t>
      </w:r>
      <w:proofErr w:type="spellEnd"/>
      <w:r w:rsidRPr="004545A1">
        <w:rPr>
          <w:rStyle w:val="author"/>
          <w:rFonts w:cs="Times New Roman"/>
          <w:color w:val="000000" w:themeColor="text1"/>
          <w:szCs w:val="24"/>
          <w:bdr w:val="none" w:sz="0" w:space="0" w:color="auto" w:frame="1"/>
          <w:shd w:val="clear" w:color="auto" w:fill="FFFFFF"/>
        </w:rPr>
        <w:t>. (2019, July 17). Retrieved from</w:t>
      </w:r>
    </w:p>
    <w:p w14:paraId="2909C9F8" w14:textId="77777777" w:rsidR="00BA2FF6" w:rsidRPr="004545A1" w:rsidRDefault="00000000" w:rsidP="006C262C">
      <w:pPr>
        <w:ind w:left="720" w:hanging="720"/>
        <w:rPr>
          <w:rStyle w:val="author"/>
          <w:rFonts w:cs="Times New Roman"/>
          <w:color w:val="595959"/>
          <w:szCs w:val="24"/>
          <w:bdr w:val="none" w:sz="0" w:space="0" w:color="auto" w:frame="1"/>
          <w:shd w:val="clear" w:color="auto" w:fill="FFFFFF"/>
        </w:rPr>
      </w:pPr>
      <w:hyperlink r:id="rId25" w:history="1">
        <w:r w:rsidR="00BA2FF6" w:rsidRPr="004545A1">
          <w:rPr>
            <w:rStyle w:val="Hyperlink"/>
            <w:rFonts w:cs="Times New Roman"/>
            <w:szCs w:val="24"/>
            <w:bdr w:val="none" w:sz="0" w:space="0" w:color="auto" w:frame="1"/>
            <w:shd w:val="clear" w:color="auto" w:fill="FFFFFF"/>
          </w:rPr>
          <w:t>https://www.economicshelp.org/blog/1605/economics/higher-inflation-and-exchange-rates/</w:t>
        </w:r>
      </w:hyperlink>
    </w:p>
    <w:p w14:paraId="7795E8C9" w14:textId="77777777" w:rsidR="00BA2FF6" w:rsidRPr="004545A1" w:rsidRDefault="00BA2FF6" w:rsidP="006C262C">
      <w:pPr>
        <w:ind w:left="720" w:hanging="720"/>
        <w:rPr>
          <w:rStyle w:val="author"/>
          <w:rFonts w:cs="Times New Roman"/>
          <w:color w:val="000000" w:themeColor="text1"/>
          <w:szCs w:val="24"/>
          <w:bdr w:val="none" w:sz="0" w:space="0" w:color="auto" w:frame="1"/>
          <w:shd w:val="clear" w:color="auto" w:fill="FFFFFF"/>
        </w:rPr>
      </w:pPr>
      <w:r w:rsidRPr="004545A1">
        <w:rPr>
          <w:rStyle w:val="author"/>
          <w:rFonts w:cs="Times New Roman"/>
          <w:color w:val="000000" w:themeColor="text1"/>
          <w:szCs w:val="24"/>
          <w:bdr w:val="none" w:sz="0" w:space="0" w:color="auto" w:frame="1"/>
          <w:shd w:val="clear" w:color="auto" w:fill="FFFFFF"/>
        </w:rPr>
        <w:t>Seagal, Troy. (2021 June 4). Retrieved from</w:t>
      </w:r>
    </w:p>
    <w:p w14:paraId="4D1061FA" w14:textId="77777777" w:rsidR="00BA2FF6" w:rsidRPr="004545A1" w:rsidRDefault="00000000" w:rsidP="006C262C">
      <w:pPr>
        <w:ind w:left="720" w:hanging="720"/>
        <w:rPr>
          <w:rStyle w:val="author"/>
          <w:rFonts w:cs="Times New Roman"/>
          <w:color w:val="595959"/>
          <w:szCs w:val="24"/>
          <w:bdr w:val="none" w:sz="0" w:space="0" w:color="auto" w:frame="1"/>
          <w:shd w:val="clear" w:color="auto" w:fill="FFFFFF"/>
        </w:rPr>
      </w:pPr>
      <w:hyperlink r:id="rId26" w:history="1">
        <w:r w:rsidR="00BA2FF6" w:rsidRPr="004545A1">
          <w:rPr>
            <w:rStyle w:val="Hyperlink"/>
            <w:rFonts w:cs="Times New Roman"/>
            <w:szCs w:val="24"/>
            <w:bdr w:val="none" w:sz="0" w:space="0" w:color="auto" w:frame="1"/>
            <w:shd w:val="clear" w:color="auto" w:fill="FFFFFF"/>
          </w:rPr>
          <w:t>https://www.investopedia.com/articles/forex/080613/effects-currency-fluctuations-economy.asp</w:t>
        </w:r>
      </w:hyperlink>
    </w:p>
    <w:p w14:paraId="088B9083" w14:textId="77777777" w:rsidR="00BA2FF6" w:rsidRPr="004545A1" w:rsidRDefault="00BA2FF6" w:rsidP="006C262C">
      <w:pPr>
        <w:ind w:left="720" w:hanging="720"/>
        <w:rPr>
          <w:color w:val="595959"/>
          <w:bdr w:val="none" w:sz="0" w:space="0" w:color="auto" w:frame="1"/>
          <w:shd w:val="clear" w:color="auto" w:fill="FFFFFF"/>
        </w:rPr>
      </w:pPr>
      <w:r w:rsidRPr="004545A1">
        <w:rPr>
          <w:color w:val="333333"/>
          <w:shd w:val="clear" w:color="auto" w:fill="FCFCFC"/>
        </w:rPr>
        <w:t xml:space="preserve">Soto, T. (2013). Regression Analysis. In: </w:t>
      </w:r>
      <w:proofErr w:type="spellStart"/>
      <w:r w:rsidRPr="004545A1">
        <w:rPr>
          <w:color w:val="333333"/>
          <w:shd w:val="clear" w:color="auto" w:fill="FCFCFC"/>
        </w:rPr>
        <w:t>Volkmar</w:t>
      </w:r>
      <w:proofErr w:type="spellEnd"/>
      <w:r w:rsidRPr="004545A1">
        <w:rPr>
          <w:color w:val="333333"/>
          <w:shd w:val="clear" w:color="auto" w:fill="FCFCFC"/>
        </w:rPr>
        <w:t xml:space="preserve">, F.R. (eds) </w:t>
      </w:r>
      <w:proofErr w:type="spellStart"/>
      <w:r w:rsidRPr="004545A1">
        <w:rPr>
          <w:color w:val="333333"/>
          <w:shd w:val="clear" w:color="auto" w:fill="FCFCFC"/>
        </w:rPr>
        <w:t>Encyclopedia</w:t>
      </w:r>
      <w:proofErr w:type="spellEnd"/>
      <w:r w:rsidRPr="004545A1">
        <w:rPr>
          <w:color w:val="333333"/>
          <w:shd w:val="clear" w:color="auto" w:fill="FCFCFC"/>
        </w:rPr>
        <w:t xml:space="preserve"> of Autism Spectrum Disorders. Springer, New York, NY.</w:t>
      </w:r>
    </w:p>
    <w:p w14:paraId="6D339926" w14:textId="77777777" w:rsidR="00BA2FF6" w:rsidRPr="004545A1" w:rsidRDefault="00000000" w:rsidP="006C262C">
      <w:pPr>
        <w:ind w:left="720" w:hanging="720"/>
        <w:rPr>
          <w:color w:val="333333"/>
          <w:shd w:val="clear" w:color="auto" w:fill="FCFCFC"/>
        </w:rPr>
      </w:pPr>
      <w:hyperlink r:id="rId27" w:history="1">
        <w:r w:rsidR="00BA2FF6" w:rsidRPr="004545A1">
          <w:rPr>
            <w:rStyle w:val="Hyperlink"/>
            <w:rFonts w:cs="Times New Roman"/>
            <w:szCs w:val="24"/>
            <w:shd w:val="clear" w:color="auto" w:fill="FCFCFC"/>
          </w:rPr>
          <w:t>https://doi.org/10.1007/978-1-4419-1698-3_251</w:t>
        </w:r>
      </w:hyperlink>
    </w:p>
    <w:p w14:paraId="6F874368" w14:textId="77777777" w:rsidR="00BA2FF6" w:rsidRDefault="00BA2FF6" w:rsidP="006C262C">
      <w:pPr>
        <w:ind w:left="720" w:hanging="720"/>
        <w:rPr>
          <w:color w:val="333333"/>
          <w:shd w:val="clear" w:color="auto" w:fill="FCFCFC"/>
        </w:rPr>
      </w:pPr>
      <w:r w:rsidRPr="004545A1">
        <w:rPr>
          <w:color w:val="333333"/>
          <w:shd w:val="clear" w:color="auto" w:fill="FCFCFC"/>
        </w:rPr>
        <w:t>The Economic Times. (</w:t>
      </w:r>
      <w:proofErr w:type="spellStart"/>
      <w:r w:rsidRPr="004545A1">
        <w:rPr>
          <w:color w:val="333333"/>
          <w:shd w:val="clear" w:color="auto" w:fill="FCFCFC"/>
        </w:rPr>
        <w:t>n.d</w:t>
      </w:r>
      <w:proofErr w:type="spellEnd"/>
      <w:r w:rsidRPr="004545A1">
        <w:rPr>
          <w:color w:val="333333"/>
          <w:shd w:val="clear" w:color="auto" w:fill="FCFCFC"/>
        </w:rPr>
        <w:t xml:space="preserve">). Retrieved from </w:t>
      </w:r>
      <w:hyperlink r:id="rId28" w:history="1">
        <w:r w:rsidRPr="004545A1">
          <w:rPr>
            <w:rStyle w:val="Hyperlink"/>
            <w:rFonts w:cs="Times New Roman"/>
            <w:szCs w:val="24"/>
            <w:shd w:val="clear" w:color="auto" w:fill="FCFCFC"/>
          </w:rPr>
          <w:t>https://economictimes.indiatimes.com/definition/treasury-bills</w:t>
        </w:r>
      </w:hyperlink>
    </w:p>
    <w:p w14:paraId="3331EFAF" w14:textId="77777777" w:rsidR="00BA2FF6" w:rsidRPr="00324E60" w:rsidRDefault="00BA2FF6" w:rsidP="00BA2FF6">
      <w:pPr>
        <w:rPr>
          <w:rFonts w:ascii="Arial" w:eastAsia="Times New Roman" w:hAnsi="Arial" w:cs="Arial"/>
          <w:b/>
          <w:bCs/>
          <w:color w:val="212529"/>
          <w:sz w:val="27"/>
          <w:szCs w:val="27"/>
        </w:rPr>
      </w:pPr>
    </w:p>
    <w:p w14:paraId="1DC4CCA4" w14:textId="77777777" w:rsidR="00BA2FF6" w:rsidRPr="00B45A40" w:rsidRDefault="00BA2FF6" w:rsidP="00BA2FF6">
      <w:pPr>
        <w:rPr>
          <w:rFonts w:cs="Times New Roman"/>
          <w:color w:val="333333"/>
          <w:shd w:val="clear" w:color="auto" w:fill="FCFCFC"/>
        </w:rPr>
      </w:pPr>
    </w:p>
    <w:p w14:paraId="21EB6EAB" w14:textId="77777777" w:rsidR="00BA2FF6" w:rsidRDefault="00BA2FF6" w:rsidP="00BA2FF6">
      <w:pPr>
        <w:tabs>
          <w:tab w:val="left" w:pos="2970"/>
        </w:tabs>
        <w:ind w:firstLine="0"/>
        <w:rPr>
          <w:rFonts w:ascii="Segoe UI" w:hAnsi="Segoe UI" w:cs="Segoe UI"/>
          <w:color w:val="333333"/>
          <w:shd w:val="clear" w:color="auto" w:fill="FCFCFC"/>
        </w:rPr>
      </w:pPr>
    </w:p>
    <w:p w14:paraId="60016DB6" w14:textId="77777777" w:rsidR="00BA2FF6" w:rsidRPr="0082218E" w:rsidRDefault="00BA2FF6" w:rsidP="00BA2FF6">
      <w:pPr>
        <w:tabs>
          <w:tab w:val="left" w:pos="2970"/>
        </w:tabs>
        <w:ind w:firstLine="0"/>
      </w:pPr>
    </w:p>
    <w:p w14:paraId="6CE2BB5F" w14:textId="77777777" w:rsidR="00BA2FF6" w:rsidRPr="000E4A34" w:rsidRDefault="00BA2FF6" w:rsidP="00BA2FF6">
      <w:pPr>
        <w:pStyle w:val="ListParagraph"/>
        <w:ind w:firstLine="0"/>
        <w:rPr>
          <w:lang w:val="en-US"/>
        </w:rPr>
      </w:pPr>
    </w:p>
    <w:p w14:paraId="60591A4A" w14:textId="77777777" w:rsidR="00292F54" w:rsidRPr="00292F54" w:rsidRDefault="00292F54" w:rsidP="00292F54"/>
    <w:p w14:paraId="2077CE53" w14:textId="3ACED3E6" w:rsidR="00665763" w:rsidRPr="009138DE" w:rsidRDefault="00665763" w:rsidP="00665763">
      <w:pPr>
        <w:ind w:firstLine="0"/>
        <w:jc w:val="center"/>
      </w:pPr>
    </w:p>
    <w:sectPr w:rsidR="00665763" w:rsidRPr="009138DE" w:rsidSect="003F450B">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A1BD" w14:textId="77777777" w:rsidR="002E098E" w:rsidRDefault="002E098E" w:rsidP="00901437">
      <w:pPr>
        <w:spacing w:after="0" w:line="240" w:lineRule="auto"/>
      </w:pPr>
      <w:r>
        <w:separator/>
      </w:r>
    </w:p>
  </w:endnote>
  <w:endnote w:type="continuationSeparator" w:id="0">
    <w:p w14:paraId="61E396F2" w14:textId="77777777" w:rsidR="002E098E" w:rsidRDefault="002E098E" w:rsidP="00901437">
      <w:pPr>
        <w:spacing w:after="0" w:line="240" w:lineRule="auto"/>
      </w:pPr>
      <w:r>
        <w:continuationSeparator/>
      </w:r>
    </w:p>
  </w:endnote>
  <w:endnote w:type="continuationNotice" w:id="1">
    <w:p w14:paraId="12BB0168" w14:textId="77777777" w:rsidR="002E098E" w:rsidRDefault="002E09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422092"/>
      <w:docPartObj>
        <w:docPartGallery w:val="Page Numbers (Bottom of Page)"/>
        <w:docPartUnique/>
      </w:docPartObj>
    </w:sdtPr>
    <w:sdtEndPr>
      <w:rPr>
        <w:noProof/>
      </w:rPr>
    </w:sdtEndPr>
    <w:sdtContent>
      <w:p w14:paraId="7048F5CE" w14:textId="4CFCE011" w:rsidR="003F450B" w:rsidRDefault="003F4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4812A6" w14:textId="77777777" w:rsidR="003F450B" w:rsidRDefault="003F4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FB44" w14:textId="77777777" w:rsidR="002E098E" w:rsidRDefault="002E098E" w:rsidP="00901437">
      <w:pPr>
        <w:spacing w:after="0" w:line="240" w:lineRule="auto"/>
      </w:pPr>
      <w:r>
        <w:separator/>
      </w:r>
    </w:p>
  </w:footnote>
  <w:footnote w:type="continuationSeparator" w:id="0">
    <w:p w14:paraId="057C7833" w14:textId="77777777" w:rsidR="002E098E" w:rsidRDefault="002E098E" w:rsidP="00901437">
      <w:pPr>
        <w:spacing w:after="0" w:line="240" w:lineRule="auto"/>
      </w:pPr>
      <w:r>
        <w:continuationSeparator/>
      </w:r>
    </w:p>
  </w:footnote>
  <w:footnote w:type="continuationNotice" w:id="1">
    <w:p w14:paraId="2F1007DA" w14:textId="77777777" w:rsidR="002E098E" w:rsidRDefault="002E09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F8B"/>
    <w:multiLevelType w:val="hybridMultilevel"/>
    <w:tmpl w:val="FC304B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651584"/>
    <w:multiLevelType w:val="hybridMultilevel"/>
    <w:tmpl w:val="223A5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AA6481"/>
    <w:multiLevelType w:val="hybridMultilevel"/>
    <w:tmpl w:val="F5043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053B5"/>
    <w:multiLevelType w:val="hybridMultilevel"/>
    <w:tmpl w:val="2124DD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34D66E0"/>
    <w:multiLevelType w:val="hybridMultilevel"/>
    <w:tmpl w:val="E7C05718"/>
    <w:lvl w:ilvl="0" w:tplc="A35698CE">
      <w:start w:val="1"/>
      <w:numFmt w:val="bullet"/>
      <w:lvlText w:val="•"/>
      <w:lvlJc w:val="left"/>
      <w:pPr>
        <w:tabs>
          <w:tab w:val="num" w:pos="720"/>
        </w:tabs>
        <w:ind w:left="720" w:hanging="360"/>
      </w:pPr>
      <w:rPr>
        <w:rFonts w:ascii="Times New Roman" w:hAnsi="Times New Roman" w:hint="default"/>
      </w:rPr>
    </w:lvl>
    <w:lvl w:ilvl="1" w:tplc="830A92DE" w:tentative="1">
      <w:start w:val="1"/>
      <w:numFmt w:val="bullet"/>
      <w:lvlText w:val="•"/>
      <w:lvlJc w:val="left"/>
      <w:pPr>
        <w:tabs>
          <w:tab w:val="num" w:pos="1440"/>
        </w:tabs>
        <w:ind w:left="1440" w:hanging="360"/>
      </w:pPr>
      <w:rPr>
        <w:rFonts w:ascii="Times New Roman" w:hAnsi="Times New Roman" w:hint="default"/>
      </w:rPr>
    </w:lvl>
    <w:lvl w:ilvl="2" w:tplc="BFA22540" w:tentative="1">
      <w:start w:val="1"/>
      <w:numFmt w:val="bullet"/>
      <w:lvlText w:val="•"/>
      <w:lvlJc w:val="left"/>
      <w:pPr>
        <w:tabs>
          <w:tab w:val="num" w:pos="2160"/>
        </w:tabs>
        <w:ind w:left="2160" w:hanging="360"/>
      </w:pPr>
      <w:rPr>
        <w:rFonts w:ascii="Times New Roman" w:hAnsi="Times New Roman" w:hint="default"/>
      </w:rPr>
    </w:lvl>
    <w:lvl w:ilvl="3" w:tplc="4FC842FA" w:tentative="1">
      <w:start w:val="1"/>
      <w:numFmt w:val="bullet"/>
      <w:lvlText w:val="•"/>
      <w:lvlJc w:val="left"/>
      <w:pPr>
        <w:tabs>
          <w:tab w:val="num" w:pos="2880"/>
        </w:tabs>
        <w:ind w:left="2880" w:hanging="360"/>
      </w:pPr>
      <w:rPr>
        <w:rFonts w:ascii="Times New Roman" w:hAnsi="Times New Roman" w:hint="default"/>
      </w:rPr>
    </w:lvl>
    <w:lvl w:ilvl="4" w:tplc="CBC4974C" w:tentative="1">
      <w:start w:val="1"/>
      <w:numFmt w:val="bullet"/>
      <w:lvlText w:val="•"/>
      <w:lvlJc w:val="left"/>
      <w:pPr>
        <w:tabs>
          <w:tab w:val="num" w:pos="3600"/>
        </w:tabs>
        <w:ind w:left="3600" w:hanging="360"/>
      </w:pPr>
      <w:rPr>
        <w:rFonts w:ascii="Times New Roman" w:hAnsi="Times New Roman" w:hint="default"/>
      </w:rPr>
    </w:lvl>
    <w:lvl w:ilvl="5" w:tplc="B2FE377C" w:tentative="1">
      <w:start w:val="1"/>
      <w:numFmt w:val="bullet"/>
      <w:lvlText w:val="•"/>
      <w:lvlJc w:val="left"/>
      <w:pPr>
        <w:tabs>
          <w:tab w:val="num" w:pos="4320"/>
        </w:tabs>
        <w:ind w:left="4320" w:hanging="360"/>
      </w:pPr>
      <w:rPr>
        <w:rFonts w:ascii="Times New Roman" w:hAnsi="Times New Roman" w:hint="default"/>
      </w:rPr>
    </w:lvl>
    <w:lvl w:ilvl="6" w:tplc="F65CC874" w:tentative="1">
      <w:start w:val="1"/>
      <w:numFmt w:val="bullet"/>
      <w:lvlText w:val="•"/>
      <w:lvlJc w:val="left"/>
      <w:pPr>
        <w:tabs>
          <w:tab w:val="num" w:pos="5040"/>
        </w:tabs>
        <w:ind w:left="5040" w:hanging="360"/>
      </w:pPr>
      <w:rPr>
        <w:rFonts w:ascii="Times New Roman" w:hAnsi="Times New Roman" w:hint="default"/>
      </w:rPr>
    </w:lvl>
    <w:lvl w:ilvl="7" w:tplc="93E2ADC0" w:tentative="1">
      <w:start w:val="1"/>
      <w:numFmt w:val="bullet"/>
      <w:lvlText w:val="•"/>
      <w:lvlJc w:val="left"/>
      <w:pPr>
        <w:tabs>
          <w:tab w:val="num" w:pos="5760"/>
        </w:tabs>
        <w:ind w:left="5760" w:hanging="360"/>
      </w:pPr>
      <w:rPr>
        <w:rFonts w:ascii="Times New Roman" w:hAnsi="Times New Roman" w:hint="default"/>
      </w:rPr>
    </w:lvl>
    <w:lvl w:ilvl="8" w:tplc="459CF5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85E3508"/>
    <w:multiLevelType w:val="hybridMultilevel"/>
    <w:tmpl w:val="223A5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805F32"/>
    <w:multiLevelType w:val="multilevel"/>
    <w:tmpl w:val="7FE8683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FDF1401"/>
    <w:multiLevelType w:val="hybridMultilevel"/>
    <w:tmpl w:val="35F6A32C"/>
    <w:lvl w:ilvl="0" w:tplc="77F0D008">
      <w:start w:val="1"/>
      <w:numFmt w:val="bullet"/>
      <w:lvlText w:val="•"/>
      <w:lvlJc w:val="left"/>
      <w:pPr>
        <w:tabs>
          <w:tab w:val="num" w:pos="720"/>
        </w:tabs>
        <w:ind w:left="720" w:hanging="360"/>
      </w:pPr>
      <w:rPr>
        <w:rFonts w:ascii="Times New Roman" w:hAnsi="Times New Roman" w:hint="default"/>
      </w:rPr>
    </w:lvl>
    <w:lvl w:ilvl="1" w:tplc="4952568A" w:tentative="1">
      <w:start w:val="1"/>
      <w:numFmt w:val="bullet"/>
      <w:lvlText w:val="•"/>
      <w:lvlJc w:val="left"/>
      <w:pPr>
        <w:tabs>
          <w:tab w:val="num" w:pos="1440"/>
        </w:tabs>
        <w:ind w:left="1440" w:hanging="360"/>
      </w:pPr>
      <w:rPr>
        <w:rFonts w:ascii="Times New Roman" w:hAnsi="Times New Roman" w:hint="default"/>
      </w:rPr>
    </w:lvl>
    <w:lvl w:ilvl="2" w:tplc="68C01C08" w:tentative="1">
      <w:start w:val="1"/>
      <w:numFmt w:val="bullet"/>
      <w:lvlText w:val="•"/>
      <w:lvlJc w:val="left"/>
      <w:pPr>
        <w:tabs>
          <w:tab w:val="num" w:pos="2160"/>
        </w:tabs>
        <w:ind w:left="2160" w:hanging="360"/>
      </w:pPr>
      <w:rPr>
        <w:rFonts w:ascii="Times New Roman" w:hAnsi="Times New Roman" w:hint="default"/>
      </w:rPr>
    </w:lvl>
    <w:lvl w:ilvl="3" w:tplc="DB9EBC8C" w:tentative="1">
      <w:start w:val="1"/>
      <w:numFmt w:val="bullet"/>
      <w:lvlText w:val="•"/>
      <w:lvlJc w:val="left"/>
      <w:pPr>
        <w:tabs>
          <w:tab w:val="num" w:pos="2880"/>
        </w:tabs>
        <w:ind w:left="2880" w:hanging="360"/>
      </w:pPr>
      <w:rPr>
        <w:rFonts w:ascii="Times New Roman" w:hAnsi="Times New Roman" w:hint="default"/>
      </w:rPr>
    </w:lvl>
    <w:lvl w:ilvl="4" w:tplc="DEE0DAEE" w:tentative="1">
      <w:start w:val="1"/>
      <w:numFmt w:val="bullet"/>
      <w:lvlText w:val="•"/>
      <w:lvlJc w:val="left"/>
      <w:pPr>
        <w:tabs>
          <w:tab w:val="num" w:pos="3600"/>
        </w:tabs>
        <w:ind w:left="3600" w:hanging="360"/>
      </w:pPr>
      <w:rPr>
        <w:rFonts w:ascii="Times New Roman" w:hAnsi="Times New Roman" w:hint="default"/>
      </w:rPr>
    </w:lvl>
    <w:lvl w:ilvl="5" w:tplc="98E8A722" w:tentative="1">
      <w:start w:val="1"/>
      <w:numFmt w:val="bullet"/>
      <w:lvlText w:val="•"/>
      <w:lvlJc w:val="left"/>
      <w:pPr>
        <w:tabs>
          <w:tab w:val="num" w:pos="4320"/>
        </w:tabs>
        <w:ind w:left="4320" w:hanging="360"/>
      </w:pPr>
      <w:rPr>
        <w:rFonts w:ascii="Times New Roman" w:hAnsi="Times New Roman" w:hint="default"/>
      </w:rPr>
    </w:lvl>
    <w:lvl w:ilvl="6" w:tplc="34A03B2C" w:tentative="1">
      <w:start w:val="1"/>
      <w:numFmt w:val="bullet"/>
      <w:lvlText w:val="•"/>
      <w:lvlJc w:val="left"/>
      <w:pPr>
        <w:tabs>
          <w:tab w:val="num" w:pos="5040"/>
        </w:tabs>
        <w:ind w:left="5040" w:hanging="360"/>
      </w:pPr>
      <w:rPr>
        <w:rFonts w:ascii="Times New Roman" w:hAnsi="Times New Roman" w:hint="default"/>
      </w:rPr>
    </w:lvl>
    <w:lvl w:ilvl="7" w:tplc="971696C0" w:tentative="1">
      <w:start w:val="1"/>
      <w:numFmt w:val="bullet"/>
      <w:lvlText w:val="•"/>
      <w:lvlJc w:val="left"/>
      <w:pPr>
        <w:tabs>
          <w:tab w:val="num" w:pos="5760"/>
        </w:tabs>
        <w:ind w:left="5760" w:hanging="360"/>
      </w:pPr>
      <w:rPr>
        <w:rFonts w:ascii="Times New Roman" w:hAnsi="Times New Roman" w:hint="default"/>
      </w:rPr>
    </w:lvl>
    <w:lvl w:ilvl="8" w:tplc="B1720CE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0E305D3"/>
    <w:multiLevelType w:val="hybridMultilevel"/>
    <w:tmpl w:val="223A56A0"/>
    <w:lvl w:ilvl="0" w:tplc="CD025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A50D1C"/>
    <w:multiLevelType w:val="hybridMultilevel"/>
    <w:tmpl w:val="DEDAD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8A419D"/>
    <w:multiLevelType w:val="hybridMultilevel"/>
    <w:tmpl w:val="D12C2AC0"/>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1" w15:restartNumberingAfterBreak="0">
    <w:nsid w:val="5C667775"/>
    <w:multiLevelType w:val="hybridMultilevel"/>
    <w:tmpl w:val="1CF2D844"/>
    <w:lvl w:ilvl="0" w:tplc="61149EE4">
      <w:start w:val="1"/>
      <w:numFmt w:val="lowerLetter"/>
      <w:lvlText w:val="(%1)"/>
      <w:lvlJc w:val="left"/>
      <w:pPr>
        <w:tabs>
          <w:tab w:val="num" w:pos="720"/>
        </w:tabs>
        <w:ind w:left="720" w:hanging="360"/>
      </w:pPr>
    </w:lvl>
    <w:lvl w:ilvl="1" w:tplc="019C34A2" w:tentative="1">
      <w:start w:val="1"/>
      <w:numFmt w:val="lowerLetter"/>
      <w:lvlText w:val="(%2)"/>
      <w:lvlJc w:val="left"/>
      <w:pPr>
        <w:tabs>
          <w:tab w:val="num" w:pos="1440"/>
        </w:tabs>
        <w:ind w:left="1440" w:hanging="360"/>
      </w:pPr>
    </w:lvl>
    <w:lvl w:ilvl="2" w:tplc="A07888FE" w:tentative="1">
      <w:start w:val="1"/>
      <w:numFmt w:val="lowerLetter"/>
      <w:lvlText w:val="(%3)"/>
      <w:lvlJc w:val="left"/>
      <w:pPr>
        <w:tabs>
          <w:tab w:val="num" w:pos="2160"/>
        </w:tabs>
        <w:ind w:left="2160" w:hanging="360"/>
      </w:pPr>
    </w:lvl>
    <w:lvl w:ilvl="3" w:tplc="1D603B92" w:tentative="1">
      <w:start w:val="1"/>
      <w:numFmt w:val="lowerLetter"/>
      <w:lvlText w:val="(%4)"/>
      <w:lvlJc w:val="left"/>
      <w:pPr>
        <w:tabs>
          <w:tab w:val="num" w:pos="2880"/>
        </w:tabs>
        <w:ind w:left="2880" w:hanging="360"/>
      </w:pPr>
    </w:lvl>
    <w:lvl w:ilvl="4" w:tplc="BD6C4888" w:tentative="1">
      <w:start w:val="1"/>
      <w:numFmt w:val="lowerLetter"/>
      <w:lvlText w:val="(%5)"/>
      <w:lvlJc w:val="left"/>
      <w:pPr>
        <w:tabs>
          <w:tab w:val="num" w:pos="3600"/>
        </w:tabs>
        <w:ind w:left="3600" w:hanging="360"/>
      </w:pPr>
    </w:lvl>
    <w:lvl w:ilvl="5" w:tplc="E89C3E98" w:tentative="1">
      <w:start w:val="1"/>
      <w:numFmt w:val="lowerLetter"/>
      <w:lvlText w:val="(%6)"/>
      <w:lvlJc w:val="left"/>
      <w:pPr>
        <w:tabs>
          <w:tab w:val="num" w:pos="4320"/>
        </w:tabs>
        <w:ind w:left="4320" w:hanging="360"/>
      </w:pPr>
    </w:lvl>
    <w:lvl w:ilvl="6" w:tplc="D94E35E6" w:tentative="1">
      <w:start w:val="1"/>
      <w:numFmt w:val="lowerLetter"/>
      <w:lvlText w:val="(%7)"/>
      <w:lvlJc w:val="left"/>
      <w:pPr>
        <w:tabs>
          <w:tab w:val="num" w:pos="5040"/>
        </w:tabs>
        <w:ind w:left="5040" w:hanging="360"/>
      </w:pPr>
    </w:lvl>
    <w:lvl w:ilvl="7" w:tplc="05F27066" w:tentative="1">
      <w:start w:val="1"/>
      <w:numFmt w:val="lowerLetter"/>
      <w:lvlText w:val="(%8)"/>
      <w:lvlJc w:val="left"/>
      <w:pPr>
        <w:tabs>
          <w:tab w:val="num" w:pos="5760"/>
        </w:tabs>
        <w:ind w:left="5760" w:hanging="360"/>
      </w:pPr>
    </w:lvl>
    <w:lvl w:ilvl="8" w:tplc="81FE6F14" w:tentative="1">
      <w:start w:val="1"/>
      <w:numFmt w:val="lowerLetter"/>
      <w:lvlText w:val="(%9)"/>
      <w:lvlJc w:val="left"/>
      <w:pPr>
        <w:tabs>
          <w:tab w:val="num" w:pos="6480"/>
        </w:tabs>
        <w:ind w:left="6480" w:hanging="360"/>
      </w:pPr>
    </w:lvl>
  </w:abstractNum>
  <w:abstractNum w:abstractNumId="12" w15:restartNumberingAfterBreak="0">
    <w:nsid w:val="606E1AAF"/>
    <w:multiLevelType w:val="hybridMultilevel"/>
    <w:tmpl w:val="CD608A9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960754">
    <w:abstractNumId w:val="6"/>
  </w:num>
  <w:num w:numId="2" w16cid:durableId="297415252">
    <w:abstractNumId w:val="8"/>
  </w:num>
  <w:num w:numId="3" w16cid:durableId="300696114">
    <w:abstractNumId w:val="10"/>
  </w:num>
  <w:num w:numId="4" w16cid:durableId="753748106">
    <w:abstractNumId w:val="2"/>
  </w:num>
  <w:num w:numId="5" w16cid:durableId="1547597388">
    <w:abstractNumId w:val="3"/>
  </w:num>
  <w:num w:numId="6" w16cid:durableId="308021376">
    <w:abstractNumId w:val="9"/>
  </w:num>
  <w:num w:numId="7" w16cid:durableId="1639916933">
    <w:abstractNumId w:val="4"/>
  </w:num>
  <w:num w:numId="8" w16cid:durableId="786855307">
    <w:abstractNumId w:val="11"/>
  </w:num>
  <w:num w:numId="9" w16cid:durableId="1737046928">
    <w:abstractNumId w:val="7"/>
  </w:num>
  <w:num w:numId="10" w16cid:durableId="428047527">
    <w:abstractNumId w:val="1"/>
  </w:num>
  <w:num w:numId="11" w16cid:durableId="1585140237">
    <w:abstractNumId w:val="0"/>
  </w:num>
  <w:num w:numId="12" w16cid:durableId="598874133">
    <w:abstractNumId w:val="5"/>
  </w:num>
  <w:num w:numId="13" w16cid:durableId="16886328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ztDQ0MjA3MTIGQiUdpeDU4uLM/DyQAiOjWgCIxF9xLQAAAA=="/>
  </w:docVars>
  <w:rsids>
    <w:rsidRoot w:val="005E35ED"/>
    <w:rsid w:val="000007EA"/>
    <w:rsid w:val="00001447"/>
    <w:rsid w:val="00001C1D"/>
    <w:rsid w:val="000071A8"/>
    <w:rsid w:val="00011411"/>
    <w:rsid w:val="00011ADF"/>
    <w:rsid w:val="00012E51"/>
    <w:rsid w:val="000131F3"/>
    <w:rsid w:val="0001392F"/>
    <w:rsid w:val="00013DD0"/>
    <w:rsid w:val="00014F36"/>
    <w:rsid w:val="0001548D"/>
    <w:rsid w:val="000155CF"/>
    <w:rsid w:val="000156A4"/>
    <w:rsid w:val="000165F6"/>
    <w:rsid w:val="00016D26"/>
    <w:rsid w:val="00017CD6"/>
    <w:rsid w:val="000217BD"/>
    <w:rsid w:val="00024CF0"/>
    <w:rsid w:val="00026A27"/>
    <w:rsid w:val="00026B41"/>
    <w:rsid w:val="00026B88"/>
    <w:rsid w:val="0002714E"/>
    <w:rsid w:val="00030C66"/>
    <w:rsid w:val="00030CD9"/>
    <w:rsid w:val="00031C57"/>
    <w:rsid w:val="000329A2"/>
    <w:rsid w:val="00032DC8"/>
    <w:rsid w:val="000350E6"/>
    <w:rsid w:val="00035A91"/>
    <w:rsid w:val="00035D05"/>
    <w:rsid w:val="00040BE7"/>
    <w:rsid w:val="00040F6D"/>
    <w:rsid w:val="00042AEF"/>
    <w:rsid w:val="00043FDD"/>
    <w:rsid w:val="000443F8"/>
    <w:rsid w:val="00044C49"/>
    <w:rsid w:val="000450AB"/>
    <w:rsid w:val="00045187"/>
    <w:rsid w:val="0004572F"/>
    <w:rsid w:val="000523DA"/>
    <w:rsid w:val="00052985"/>
    <w:rsid w:val="00053305"/>
    <w:rsid w:val="00054112"/>
    <w:rsid w:val="00054422"/>
    <w:rsid w:val="00062407"/>
    <w:rsid w:val="00062D29"/>
    <w:rsid w:val="00063702"/>
    <w:rsid w:val="000652A7"/>
    <w:rsid w:val="000656BB"/>
    <w:rsid w:val="00066EF0"/>
    <w:rsid w:val="00067000"/>
    <w:rsid w:val="00067378"/>
    <w:rsid w:val="00067733"/>
    <w:rsid w:val="000678AA"/>
    <w:rsid w:val="000702F9"/>
    <w:rsid w:val="000709D8"/>
    <w:rsid w:val="00074C6F"/>
    <w:rsid w:val="00074DFC"/>
    <w:rsid w:val="0007653A"/>
    <w:rsid w:val="0007680E"/>
    <w:rsid w:val="00077679"/>
    <w:rsid w:val="00080026"/>
    <w:rsid w:val="000817EA"/>
    <w:rsid w:val="00082CEC"/>
    <w:rsid w:val="00086DD6"/>
    <w:rsid w:val="0008702E"/>
    <w:rsid w:val="000912D0"/>
    <w:rsid w:val="0009192E"/>
    <w:rsid w:val="000929B5"/>
    <w:rsid w:val="0009373F"/>
    <w:rsid w:val="00093743"/>
    <w:rsid w:val="00094E81"/>
    <w:rsid w:val="0009535F"/>
    <w:rsid w:val="00096C77"/>
    <w:rsid w:val="000A2935"/>
    <w:rsid w:val="000A29D7"/>
    <w:rsid w:val="000A31AB"/>
    <w:rsid w:val="000A641C"/>
    <w:rsid w:val="000A6D2F"/>
    <w:rsid w:val="000A74CB"/>
    <w:rsid w:val="000B05B3"/>
    <w:rsid w:val="000B2A06"/>
    <w:rsid w:val="000B42CE"/>
    <w:rsid w:val="000B4A80"/>
    <w:rsid w:val="000B60E1"/>
    <w:rsid w:val="000B6572"/>
    <w:rsid w:val="000B76CF"/>
    <w:rsid w:val="000B7EE5"/>
    <w:rsid w:val="000C06E7"/>
    <w:rsid w:val="000C2B5D"/>
    <w:rsid w:val="000C2D41"/>
    <w:rsid w:val="000C3093"/>
    <w:rsid w:val="000C47D0"/>
    <w:rsid w:val="000C57F9"/>
    <w:rsid w:val="000C5BE7"/>
    <w:rsid w:val="000C5DB9"/>
    <w:rsid w:val="000C5F64"/>
    <w:rsid w:val="000D20D9"/>
    <w:rsid w:val="000D2D7C"/>
    <w:rsid w:val="000D5DB6"/>
    <w:rsid w:val="000D647E"/>
    <w:rsid w:val="000D68C0"/>
    <w:rsid w:val="000D72F7"/>
    <w:rsid w:val="000E0789"/>
    <w:rsid w:val="000E0AD2"/>
    <w:rsid w:val="000E227F"/>
    <w:rsid w:val="000E28B4"/>
    <w:rsid w:val="000E29CD"/>
    <w:rsid w:val="000E2B22"/>
    <w:rsid w:val="000E3C18"/>
    <w:rsid w:val="000E4A34"/>
    <w:rsid w:val="000E67AD"/>
    <w:rsid w:val="000E7A06"/>
    <w:rsid w:val="000E7E20"/>
    <w:rsid w:val="000F109F"/>
    <w:rsid w:val="000F4649"/>
    <w:rsid w:val="000F4DEC"/>
    <w:rsid w:val="000F4F82"/>
    <w:rsid w:val="000F4FAC"/>
    <w:rsid w:val="000F771D"/>
    <w:rsid w:val="000F7A0C"/>
    <w:rsid w:val="000F7CDC"/>
    <w:rsid w:val="001007E9"/>
    <w:rsid w:val="0010461E"/>
    <w:rsid w:val="001048A4"/>
    <w:rsid w:val="00104F79"/>
    <w:rsid w:val="00104FF5"/>
    <w:rsid w:val="0010704F"/>
    <w:rsid w:val="00107293"/>
    <w:rsid w:val="00110A0E"/>
    <w:rsid w:val="00110A59"/>
    <w:rsid w:val="00111908"/>
    <w:rsid w:val="00111F6B"/>
    <w:rsid w:val="00117381"/>
    <w:rsid w:val="00120323"/>
    <w:rsid w:val="001204FF"/>
    <w:rsid w:val="001220D3"/>
    <w:rsid w:val="00122A9B"/>
    <w:rsid w:val="00123E55"/>
    <w:rsid w:val="00126B21"/>
    <w:rsid w:val="00127D7D"/>
    <w:rsid w:val="0013081B"/>
    <w:rsid w:val="0013097B"/>
    <w:rsid w:val="00131275"/>
    <w:rsid w:val="0013136C"/>
    <w:rsid w:val="001333D3"/>
    <w:rsid w:val="00133957"/>
    <w:rsid w:val="00134DD6"/>
    <w:rsid w:val="00140695"/>
    <w:rsid w:val="00143782"/>
    <w:rsid w:val="00145588"/>
    <w:rsid w:val="00146265"/>
    <w:rsid w:val="00150C9F"/>
    <w:rsid w:val="00151C02"/>
    <w:rsid w:val="00151CAD"/>
    <w:rsid w:val="001527CE"/>
    <w:rsid w:val="001531D1"/>
    <w:rsid w:val="001539A4"/>
    <w:rsid w:val="00153CE3"/>
    <w:rsid w:val="001540AE"/>
    <w:rsid w:val="0015421B"/>
    <w:rsid w:val="00154FE0"/>
    <w:rsid w:val="001557B0"/>
    <w:rsid w:val="0015669C"/>
    <w:rsid w:val="00156ADA"/>
    <w:rsid w:val="00157DFE"/>
    <w:rsid w:val="00157F2E"/>
    <w:rsid w:val="00161D8A"/>
    <w:rsid w:val="0016287E"/>
    <w:rsid w:val="0016620B"/>
    <w:rsid w:val="00167D14"/>
    <w:rsid w:val="0017024C"/>
    <w:rsid w:val="00170D4C"/>
    <w:rsid w:val="00172862"/>
    <w:rsid w:val="00175116"/>
    <w:rsid w:val="00175C6E"/>
    <w:rsid w:val="001765F8"/>
    <w:rsid w:val="0017661D"/>
    <w:rsid w:val="00177130"/>
    <w:rsid w:val="00180C4E"/>
    <w:rsid w:val="0018164D"/>
    <w:rsid w:val="00181B9F"/>
    <w:rsid w:val="00184301"/>
    <w:rsid w:val="00184C04"/>
    <w:rsid w:val="00185614"/>
    <w:rsid w:val="0019067D"/>
    <w:rsid w:val="001919D1"/>
    <w:rsid w:val="00193113"/>
    <w:rsid w:val="00193E5B"/>
    <w:rsid w:val="0019404D"/>
    <w:rsid w:val="0019631A"/>
    <w:rsid w:val="0019652D"/>
    <w:rsid w:val="00196DB4"/>
    <w:rsid w:val="001A23FF"/>
    <w:rsid w:val="001A2D07"/>
    <w:rsid w:val="001A39D4"/>
    <w:rsid w:val="001A4AFA"/>
    <w:rsid w:val="001A4ED4"/>
    <w:rsid w:val="001A6A5A"/>
    <w:rsid w:val="001A79EF"/>
    <w:rsid w:val="001B0A33"/>
    <w:rsid w:val="001B0BEF"/>
    <w:rsid w:val="001B13F1"/>
    <w:rsid w:val="001B1503"/>
    <w:rsid w:val="001B1ECB"/>
    <w:rsid w:val="001B28DC"/>
    <w:rsid w:val="001B2BE2"/>
    <w:rsid w:val="001B2CEB"/>
    <w:rsid w:val="001B4F01"/>
    <w:rsid w:val="001B5253"/>
    <w:rsid w:val="001B60B0"/>
    <w:rsid w:val="001B635A"/>
    <w:rsid w:val="001B6564"/>
    <w:rsid w:val="001C16D9"/>
    <w:rsid w:val="001C35AD"/>
    <w:rsid w:val="001C36D0"/>
    <w:rsid w:val="001C3C97"/>
    <w:rsid w:val="001C6EFF"/>
    <w:rsid w:val="001C7469"/>
    <w:rsid w:val="001C7B21"/>
    <w:rsid w:val="001C7F43"/>
    <w:rsid w:val="001D366A"/>
    <w:rsid w:val="001D4231"/>
    <w:rsid w:val="001D5681"/>
    <w:rsid w:val="001E1088"/>
    <w:rsid w:val="001E261F"/>
    <w:rsid w:val="001E296E"/>
    <w:rsid w:val="001E6809"/>
    <w:rsid w:val="001E7411"/>
    <w:rsid w:val="001E7AD3"/>
    <w:rsid w:val="001F0EC8"/>
    <w:rsid w:val="001F1DD8"/>
    <w:rsid w:val="001F325E"/>
    <w:rsid w:val="001F3C31"/>
    <w:rsid w:val="001F3FBB"/>
    <w:rsid w:val="001F556F"/>
    <w:rsid w:val="001F6335"/>
    <w:rsid w:val="001F68B8"/>
    <w:rsid w:val="002005E0"/>
    <w:rsid w:val="00200687"/>
    <w:rsid w:val="002027B5"/>
    <w:rsid w:val="00202EFC"/>
    <w:rsid w:val="002042C1"/>
    <w:rsid w:val="00205CF4"/>
    <w:rsid w:val="002119F8"/>
    <w:rsid w:val="00214765"/>
    <w:rsid w:val="00214889"/>
    <w:rsid w:val="00216912"/>
    <w:rsid w:val="0022022A"/>
    <w:rsid w:val="00221062"/>
    <w:rsid w:val="00221077"/>
    <w:rsid w:val="00222330"/>
    <w:rsid w:val="00222FEE"/>
    <w:rsid w:val="00224844"/>
    <w:rsid w:val="00226601"/>
    <w:rsid w:val="00226F34"/>
    <w:rsid w:val="00227784"/>
    <w:rsid w:val="00230427"/>
    <w:rsid w:val="002304DC"/>
    <w:rsid w:val="00230ADC"/>
    <w:rsid w:val="00231319"/>
    <w:rsid w:val="00232E6B"/>
    <w:rsid w:val="002353AF"/>
    <w:rsid w:val="002361FF"/>
    <w:rsid w:val="0024065F"/>
    <w:rsid w:val="00242629"/>
    <w:rsid w:val="002446B9"/>
    <w:rsid w:val="002515DC"/>
    <w:rsid w:val="00251863"/>
    <w:rsid w:val="002523A3"/>
    <w:rsid w:val="00252E5F"/>
    <w:rsid w:val="00253B16"/>
    <w:rsid w:val="00253D72"/>
    <w:rsid w:val="002567BB"/>
    <w:rsid w:val="002609A8"/>
    <w:rsid w:val="002613D5"/>
    <w:rsid w:val="00261E45"/>
    <w:rsid w:val="00263939"/>
    <w:rsid w:val="002641D2"/>
    <w:rsid w:val="002644F9"/>
    <w:rsid w:val="002651B0"/>
    <w:rsid w:val="002665F7"/>
    <w:rsid w:val="00266909"/>
    <w:rsid w:val="00266CAE"/>
    <w:rsid w:val="00266CE4"/>
    <w:rsid w:val="00270430"/>
    <w:rsid w:val="00277D35"/>
    <w:rsid w:val="00282856"/>
    <w:rsid w:val="0028304E"/>
    <w:rsid w:val="00283C92"/>
    <w:rsid w:val="0028572D"/>
    <w:rsid w:val="00286FF6"/>
    <w:rsid w:val="002871F9"/>
    <w:rsid w:val="00287516"/>
    <w:rsid w:val="002902A1"/>
    <w:rsid w:val="00290AB8"/>
    <w:rsid w:val="0029103C"/>
    <w:rsid w:val="00292F54"/>
    <w:rsid w:val="00293526"/>
    <w:rsid w:val="00293F43"/>
    <w:rsid w:val="002949A9"/>
    <w:rsid w:val="00295EAB"/>
    <w:rsid w:val="00297A60"/>
    <w:rsid w:val="002A05D3"/>
    <w:rsid w:val="002A1A64"/>
    <w:rsid w:val="002A1CFC"/>
    <w:rsid w:val="002A40DE"/>
    <w:rsid w:val="002A54C3"/>
    <w:rsid w:val="002A70B1"/>
    <w:rsid w:val="002B0858"/>
    <w:rsid w:val="002B0DA8"/>
    <w:rsid w:val="002B34E6"/>
    <w:rsid w:val="002B3642"/>
    <w:rsid w:val="002B3D02"/>
    <w:rsid w:val="002B5853"/>
    <w:rsid w:val="002B741B"/>
    <w:rsid w:val="002C1C94"/>
    <w:rsid w:val="002C327D"/>
    <w:rsid w:val="002C3465"/>
    <w:rsid w:val="002C5222"/>
    <w:rsid w:val="002C5FFA"/>
    <w:rsid w:val="002C69AA"/>
    <w:rsid w:val="002C7D7F"/>
    <w:rsid w:val="002C7E8D"/>
    <w:rsid w:val="002D0982"/>
    <w:rsid w:val="002D0D2A"/>
    <w:rsid w:val="002D1B11"/>
    <w:rsid w:val="002D2358"/>
    <w:rsid w:val="002D27C1"/>
    <w:rsid w:val="002D2C34"/>
    <w:rsid w:val="002D353C"/>
    <w:rsid w:val="002D6F04"/>
    <w:rsid w:val="002D7927"/>
    <w:rsid w:val="002E0104"/>
    <w:rsid w:val="002E0911"/>
    <w:rsid w:val="002E098E"/>
    <w:rsid w:val="002E0C0B"/>
    <w:rsid w:val="002E0F5B"/>
    <w:rsid w:val="002E1118"/>
    <w:rsid w:val="002E1145"/>
    <w:rsid w:val="002E1A58"/>
    <w:rsid w:val="002E243F"/>
    <w:rsid w:val="002E3CCA"/>
    <w:rsid w:val="002E408A"/>
    <w:rsid w:val="002E494B"/>
    <w:rsid w:val="002E51FE"/>
    <w:rsid w:val="002F12DA"/>
    <w:rsid w:val="002F4795"/>
    <w:rsid w:val="002F61E6"/>
    <w:rsid w:val="002F6E2B"/>
    <w:rsid w:val="002F7421"/>
    <w:rsid w:val="0030221A"/>
    <w:rsid w:val="0030278B"/>
    <w:rsid w:val="0030557B"/>
    <w:rsid w:val="00306D5A"/>
    <w:rsid w:val="00312556"/>
    <w:rsid w:val="0031458A"/>
    <w:rsid w:val="003147CD"/>
    <w:rsid w:val="0031778C"/>
    <w:rsid w:val="00317C0E"/>
    <w:rsid w:val="00322C98"/>
    <w:rsid w:val="00323C91"/>
    <w:rsid w:val="003259E9"/>
    <w:rsid w:val="00326522"/>
    <w:rsid w:val="0032763C"/>
    <w:rsid w:val="00327696"/>
    <w:rsid w:val="00330031"/>
    <w:rsid w:val="00331238"/>
    <w:rsid w:val="00334968"/>
    <w:rsid w:val="00334F24"/>
    <w:rsid w:val="00340759"/>
    <w:rsid w:val="00343D08"/>
    <w:rsid w:val="00344187"/>
    <w:rsid w:val="00346E58"/>
    <w:rsid w:val="003470A1"/>
    <w:rsid w:val="00351293"/>
    <w:rsid w:val="00354C4A"/>
    <w:rsid w:val="00356A50"/>
    <w:rsid w:val="003633EE"/>
    <w:rsid w:val="00365ED4"/>
    <w:rsid w:val="003663ED"/>
    <w:rsid w:val="003670C7"/>
    <w:rsid w:val="00367656"/>
    <w:rsid w:val="00367A96"/>
    <w:rsid w:val="00370034"/>
    <w:rsid w:val="00371424"/>
    <w:rsid w:val="00371D82"/>
    <w:rsid w:val="003724F9"/>
    <w:rsid w:val="003743A9"/>
    <w:rsid w:val="0038080E"/>
    <w:rsid w:val="00385458"/>
    <w:rsid w:val="003861F7"/>
    <w:rsid w:val="003920AC"/>
    <w:rsid w:val="0039227F"/>
    <w:rsid w:val="00392B34"/>
    <w:rsid w:val="003933D7"/>
    <w:rsid w:val="00393E62"/>
    <w:rsid w:val="00394DFB"/>
    <w:rsid w:val="0039707A"/>
    <w:rsid w:val="00397E18"/>
    <w:rsid w:val="003A0350"/>
    <w:rsid w:val="003A08A8"/>
    <w:rsid w:val="003A0E69"/>
    <w:rsid w:val="003A21FC"/>
    <w:rsid w:val="003A271F"/>
    <w:rsid w:val="003A290B"/>
    <w:rsid w:val="003A5D2D"/>
    <w:rsid w:val="003A6BCA"/>
    <w:rsid w:val="003A71DB"/>
    <w:rsid w:val="003B338D"/>
    <w:rsid w:val="003B477E"/>
    <w:rsid w:val="003B4D49"/>
    <w:rsid w:val="003B73C4"/>
    <w:rsid w:val="003B7E80"/>
    <w:rsid w:val="003C0E5B"/>
    <w:rsid w:val="003C1A37"/>
    <w:rsid w:val="003C1C1F"/>
    <w:rsid w:val="003C222C"/>
    <w:rsid w:val="003C445F"/>
    <w:rsid w:val="003C5D28"/>
    <w:rsid w:val="003C5D98"/>
    <w:rsid w:val="003C5EBE"/>
    <w:rsid w:val="003C665C"/>
    <w:rsid w:val="003C73D9"/>
    <w:rsid w:val="003D1C9A"/>
    <w:rsid w:val="003D1E66"/>
    <w:rsid w:val="003D2BD0"/>
    <w:rsid w:val="003D3788"/>
    <w:rsid w:val="003D4BEB"/>
    <w:rsid w:val="003D6A2D"/>
    <w:rsid w:val="003D7F66"/>
    <w:rsid w:val="003E21BF"/>
    <w:rsid w:val="003E26CA"/>
    <w:rsid w:val="003E4777"/>
    <w:rsid w:val="003E51CF"/>
    <w:rsid w:val="003F1786"/>
    <w:rsid w:val="003F2A37"/>
    <w:rsid w:val="003F2A61"/>
    <w:rsid w:val="003F2EF2"/>
    <w:rsid w:val="003F2FC4"/>
    <w:rsid w:val="003F450B"/>
    <w:rsid w:val="003F4708"/>
    <w:rsid w:val="003F4B39"/>
    <w:rsid w:val="003F4E14"/>
    <w:rsid w:val="003F646E"/>
    <w:rsid w:val="003F7A08"/>
    <w:rsid w:val="00400997"/>
    <w:rsid w:val="00401442"/>
    <w:rsid w:val="004015B4"/>
    <w:rsid w:val="00401D86"/>
    <w:rsid w:val="00402641"/>
    <w:rsid w:val="00403DF6"/>
    <w:rsid w:val="0040563C"/>
    <w:rsid w:val="004065D4"/>
    <w:rsid w:val="00406BBA"/>
    <w:rsid w:val="00410287"/>
    <w:rsid w:val="00410F0D"/>
    <w:rsid w:val="004123A7"/>
    <w:rsid w:val="0041335B"/>
    <w:rsid w:val="00413ADA"/>
    <w:rsid w:val="00413FD1"/>
    <w:rsid w:val="00416F81"/>
    <w:rsid w:val="00417680"/>
    <w:rsid w:val="00421B15"/>
    <w:rsid w:val="004233D0"/>
    <w:rsid w:val="0042581B"/>
    <w:rsid w:val="0042653F"/>
    <w:rsid w:val="00427758"/>
    <w:rsid w:val="004301B9"/>
    <w:rsid w:val="00430439"/>
    <w:rsid w:val="0043198D"/>
    <w:rsid w:val="00431A4D"/>
    <w:rsid w:val="00431FC7"/>
    <w:rsid w:val="00432FA8"/>
    <w:rsid w:val="00433513"/>
    <w:rsid w:val="00435AED"/>
    <w:rsid w:val="00436162"/>
    <w:rsid w:val="0044047A"/>
    <w:rsid w:val="00440F9B"/>
    <w:rsid w:val="00441A72"/>
    <w:rsid w:val="004438EC"/>
    <w:rsid w:val="004450D2"/>
    <w:rsid w:val="0044666D"/>
    <w:rsid w:val="00446938"/>
    <w:rsid w:val="00446A58"/>
    <w:rsid w:val="004471EE"/>
    <w:rsid w:val="00451F3E"/>
    <w:rsid w:val="00453CB3"/>
    <w:rsid w:val="004540AB"/>
    <w:rsid w:val="00454AD2"/>
    <w:rsid w:val="004575EB"/>
    <w:rsid w:val="00460B60"/>
    <w:rsid w:val="0046318D"/>
    <w:rsid w:val="00463DF5"/>
    <w:rsid w:val="00464A5C"/>
    <w:rsid w:val="004653C5"/>
    <w:rsid w:val="00467517"/>
    <w:rsid w:val="00467552"/>
    <w:rsid w:val="0047148B"/>
    <w:rsid w:val="00472C21"/>
    <w:rsid w:val="00473635"/>
    <w:rsid w:val="00473904"/>
    <w:rsid w:val="004758F0"/>
    <w:rsid w:val="004763F4"/>
    <w:rsid w:val="004779B2"/>
    <w:rsid w:val="00477B63"/>
    <w:rsid w:val="004804C8"/>
    <w:rsid w:val="00480ABF"/>
    <w:rsid w:val="00480FEC"/>
    <w:rsid w:val="00482146"/>
    <w:rsid w:val="00482A9D"/>
    <w:rsid w:val="00483E8D"/>
    <w:rsid w:val="00484DEF"/>
    <w:rsid w:val="004851E9"/>
    <w:rsid w:val="004856E2"/>
    <w:rsid w:val="00487830"/>
    <w:rsid w:val="00491CA7"/>
    <w:rsid w:val="00492319"/>
    <w:rsid w:val="004932F1"/>
    <w:rsid w:val="004935E1"/>
    <w:rsid w:val="0049417C"/>
    <w:rsid w:val="00495FCA"/>
    <w:rsid w:val="004973B4"/>
    <w:rsid w:val="004A1CA8"/>
    <w:rsid w:val="004A270E"/>
    <w:rsid w:val="004A5F4B"/>
    <w:rsid w:val="004A624E"/>
    <w:rsid w:val="004A696F"/>
    <w:rsid w:val="004A6E85"/>
    <w:rsid w:val="004B2FD4"/>
    <w:rsid w:val="004B3C0E"/>
    <w:rsid w:val="004B41BD"/>
    <w:rsid w:val="004B5754"/>
    <w:rsid w:val="004B77DE"/>
    <w:rsid w:val="004B7F51"/>
    <w:rsid w:val="004C2BE5"/>
    <w:rsid w:val="004C3011"/>
    <w:rsid w:val="004C4A7B"/>
    <w:rsid w:val="004C6044"/>
    <w:rsid w:val="004D0B7F"/>
    <w:rsid w:val="004D18E0"/>
    <w:rsid w:val="004D2072"/>
    <w:rsid w:val="004D2DA6"/>
    <w:rsid w:val="004D41FF"/>
    <w:rsid w:val="004D500A"/>
    <w:rsid w:val="004D5C77"/>
    <w:rsid w:val="004D643A"/>
    <w:rsid w:val="004E0029"/>
    <w:rsid w:val="004E058A"/>
    <w:rsid w:val="004E0B65"/>
    <w:rsid w:val="004E0C27"/>
    <w:rsid w:val="004E2481"/>
    <w:rsid w:val="004E3684"/>
    <w:rsid w:val="004E641E"/>
    <w:rsid w:val="004E655B"/>
    <w:rsid w:val="004E704B"/>
    <w:rsid w:val="004E7B3A"/>
    <w:rsid w:val="004E7DDC"/>
    <w:rsid w:val="004E7E28"/>
    <w:rsid w:val="004F0001"/>
    <w:rsid w:val="004F1F8E"/>
    <w:rsid w:val="004F24BA"/>
    <w:rsid w:val="004F2B28"/>
    <w:rsid w:val="004F370E"/>
    <w:rsid w:val="004F3D2F"/>
    <w:rsid w:val="004F4769"/>
    <w:rsid w:val="004F479F"/>
    <w:rsid w:val="004F5A00"/>
    <w:rsid w:val="004F5A76"/>
    <w:rsid w:val="004F7CB4"/>
    <w:rsid w:val="005025D5"/>
    <w:rsid w:val="00504A73"/>
    <w:rsid w:val="00506456"/>
    <w:rsid w:val="0050779A"/>
    <w:rsid w:val="005103BA"/>
    <w:rsid w:val="00510514"/>
    <w:rsid w:val="00511DE5"/>
    <w:rsid w:val="00512A09"/>
    <w:rsid w:val="005142E5"/>
    <w:rsid w:val="00515DA6"/>
    <w:rsid w:val="00516052"/>
    <w:rsid w:val="0051621C"/>
    <w:rsid w:val="005166CB"/>
    <w:rsid w:val="00516F3D"/>
    <w:rsid w:val="00517738"/>
    <w:rsid w:val="00523446"/>
    <w:rsid w:val="00524FC4"/>
    <w:rsid w:val="00525B0A"/>
    <w:rsid w:val="0052658A"/>
    <w:rsid w:val="00532BF9"/>
    <w:rsid w:val="00532ECD"/>
    <w:rsid w:val="00533320"/>
    <w:rsid w:val="00533C60"/>
    <w:rsid w:val="00535887"/>
    <w:rsid w:val="00536D03"/>
    <w:rsid w:val="0053700A"/>
    <w:rsid w:val="00537A6D"/>
    <w:rsid w:val="00537DF7"/>
    <w:rsid w:val="005410A8"/>
    <w:rsid w:val="00541AFC"/>
    <w:rsid w:val="005430F9"/>
    <w:rsid w:val="00546AAD"/>
    <w:rsid w:val="00546DCD"/>
    <w:rsid w:val="00547BAE"/>
    <w:rsid w:val="00550F83"/>
    <w:rsid w:val="005517AA"/>
    <w:rsid w:val="00551865"/>
    <w:rsid w:val="00551E98"/>
    <w:rsid w:val="005537C1"/>
    <w:rsid w:val="00554924"/>
    <w:rsid w:val="0055533E"/>
    <w:rsid w:val="00555537"/>
    <w:rsid w:val="00557ECB"/>
    <w:rsid w:val="00560596"/>
    <w:rsid w:val="00562FD9"/>
    <w:rsid w:val="00563200"/>
    <w:rsid w:val="0056349D"/>
    <w:rsid w:val="0056483B"/>
    <w:rsid w:val="005665FA"/>
    <w:rsid w:val="00570157"/>
    <w:rsid w:val="00570EB3"/>
    <w:rsid w:val="005725DC"/>
    <w:rsid w:val="00575821"/>
    <w:rsid w:val="00575CCD"/>
    <w:rsid w:val="0058074A"/>
    <w:rsid w:val="00580A2C"/>
    <w:rsid w:val="00582133"/>
    <w:rsid w:val="005826B1"/>
    <w:rsid w:val="00585328"/>
    <w:rsid w:val="0058560A"/>
    <w:rsid w:val="00585C38"/>
    <w:rsid w:val="0058661E"/>
    <w:rsid w:val="0059035F"/>
    <w:rsid w:val="00590B4E"/>
    <w:rsid w:val="0059259D"/>
    <w:rsid w:val="0059300D"/>
    <w:rsid w:val="00593F54"/>
    <w:rsid w:val="00595728"/>
    <w:rsid w:val="005957A2"/>
    <w:rsid w:val="005A103B"/>
    <w:rsid w:val="005A504E"/>
    <w:rsid w:val="005A5894"/>
    <w:rsid w:val="005A74B7"/>
    <w:rsid w:val="005B1071"/>
    <w:rsid w:val="005B11BA"/>
    <w:rsid w:val="005B14D0"/>
    <w:rsid w:val="005B1C48"/>
    <w:rsid w:val="005B2770"/>
    <w:rsid w:val="005B2886"/>
    <w:rsid w:val="005B3F98"/>
    <w:rsid w:val="005B526E"/>
    <w:rsid w:val="005C3008"/>
    <w:rsid w:val="005C32A3"/>
    <w:rsid w:val="005C4541"/>
    <w:rsid w:val="005C5A09"/>
    <w:rsid w:val="005C70DF"/>
    <w:rsid w:val="005C73FF"/>
    <w:rsid w:val="005C76F6"/>
    <w:rsid w:val="005D023E"/>
    <w:rsid w:val="005D0E08"/>
    <w:rsid w:val="005D1479"/>
    <w:rsid w:val="005D3F20"/>
    <w:rsid w:val="005D790F"/>
    <w:rsid w:val="005E0DA5"/>
    <w:rsid w:val="005E0DF1"/>
    <w:rsid w:val="005E25B1"/>
    <w:rsid w:val="005E35ED"/>
    <w:rsid w:val="005E37D7"/>
    <w:rsid w:val="005E40BE"/>
    <w:rsid w:val="005E4765"/>
    <w:rsid w:val="005E5456"/>
    <w:rsid w:val="005F0F82"/>
    <w:rsid w:val="005F13E0"/>
    <w:rsid w:val="005F2AF0"/>
    <w:rsid w:val="005F3D76"/>
    <w:rsid w:val="005F4B31"/>
    <w:rsid w:val="005F69A6"/>
    <w:rsid w:val="005F76D3"/>
    <w:rsid w:val="005F76DA"/>
    <w:rsid w:val="00602AE6"/>
    <w:rsid w:val="0060495F"/>
    <w:rsid w:val="00605B1C"/>
    <w:rsid w:val="0061108D"/>
    <w:rsid w:val="00611971"/>
    <w:rsid w:val="00612159"/>
    <w:rsid w:val="00613BFD"/>
    <w:rsid w:val="006149B3"/>
    <w:rsid w:val="00615C90"/>
    <w:rsid w:val="00617B25"/>
    <w:rsid w:val="00617B44"/>
    <w:rsid w:val="00617D50"/>
    <w:rsid w:val="00620013"/>
    <w:rsid w:val="00620DCB"/>
    <w:rsid w:val="00624375"/>
    <w:rsid w:val="00624C43"/>
    <w:rsid w:val="00624EF8"/>
    <w:rsid w:val="00624F99"/>
    <w:rsid w:val="00625C37"/>
    <w:rsid w:val="006328E4"/>
    <w:rsid w:val="00634235"/>
    <w:rsid w:val="00634A7C"/>
    <w:rsid w:val="00634C7C"/>
    <w:rsid w:val="00635887"/>
    <w:rsid w:val="006369F4"/>
    <w:rsid w:val="00636A40"/>
    <w:rsid w:val="0063705A"/>
    <w:rsid w:val="0064000F"/>
    <w:rsid w:val="00640C19"/>
    <w:rsid w:val="0064172A"/>
    <w:rsid w:val="00643282"/>
    <w:rsid w:val="00644BA7"/>
    <w:rsid w:val="00645625"/>
    <w:rsid w:val="00646729"/>
    <w:rsid w:val="006473FB"/>
    <w:rsid w:val="00650555"/>
    <w:rsid w:val="006514DC"/>
    <w:rsid w:val="00651889"/>
    <w:rsid w:val="006534F5"/>
    <w:rsid w:val="006537C4"/>
    <w:rsid w:val="006540FE"/>
    <w:rsid w:val="006542D3"/>
    <w:rsid w:val="0065444C"/>
    <w:rsid w:val="00654690"/>
    <w:rsid w:val="00655BCA"/>
    <w:rsid w:val="006561AC"/>
    <w:rsid w:val="00657030"/>
    <w:rsid w:val="0066099C"/>
    <w:rsid w:val="00661D45"/>
    <w:rsid w:val="00662E47"/>
    <w:rsid w:val="0066340C"/>
    <w:rsid w:val="00665763"/>
    <w:rsid w:val="0066640F"/>
    <w:rsid w:val="006705BC"/>
    <w:rsid w:val="006751B1"/>
    <w:rsid w:val="006757EC"/>
    <w:rsid w:val="00676B37"/>
    <w:rsid w:val="00676EA5"/>
    <w:rsid w:val="0067756D"/>
    <w:rsid w:val="0068193F"/>
    <w:rsid w:val="00681DD8"/>
    <w:rsid w:val="0068443B"/>
    <w:rsid w:val="006855D6"/>
    <w:rsid w:val="00685A67"/>
    <w:rsid w:val="00685D96"/>
    <w:rsid w:val="0069293A"/>
    <w:rsid w:val="00692EBF"/>
    <w:rsid w:val="006930F6"/>
    <w:rsid w:val="006970B6"/>
    <w:rsid w:val="006971C0"/>
    <w:rsid w:val="00697364"/>
    <w:rsid w:val="006A37B9"/>
    <w:rsid w:val="006A38F9"/>
    <w:rsid w:val="006A4125"/>
    <w:rsid w:val="006A49C6"/>
    <w:rsid w:val="006A5591"/>
    <w:rsid w:val="006A7E14"/>
    <w:rsid w:val="006B1EDE"/>
    <w:rsid w:val="006B225E"/>
    <w:rsid w:val="006B23EA"/>
    <w:rsid w:val="006B2629"/>
    <w:rsid w:val="006B3B65"/>
    <w:rsid w:val="006B4537"/>
    <w:rsid w:val="006B4634"/>
    <w:rsid w:val="006B48F5"/>
    <w:rsid w:val="006B4C64"/>
    <w:rsid w:val="006B4D15"/>
    <w:rsid w:val="006B510F"/>
    <w:rsid w:val="006B5B90"/>
    <w:rsid w:val="006B619F"/>
    <w:rsid w:val="006B6EB9"/>
    <w:rsid w:val="006C097C"/>
    <w:rsid w:val="006C09D3"/>
    <w:rsid w:val="006C262C"/>
    <w:rsid w:val="006C449A"/>
    <w:rsid w:val="006C4526"/>
    <w:rsid w:val="006D0224"/>
    <w:rsid w:val="006D1B17"/>
    <w:rsid w:val="006D253F"/>
    <w:rsid w:val="006D3A55"/>
    <w:rsid w:val="006D4763"/>
    <w:rsid w:val="006D4815"/>
    <w:rsid w:val="006D5106"/>
    <w:rsid w:val="006D6396"/>
    <w:rsid w:val="006D6606"/>
    <w:rsid w:val="006E0BB8"/>
    <w:rsid w:val="006E16F1"/>
    <w:rsid w:val="006E2D1C"/>
    <w:rsid w:val="006E32A6"/>
    <w:rsid w:val="006E3DB2"/>
    <w:rsid w:val="006E4764"/>
    <w:rsid w:val="006E489E"/>
    <w:rsid w:val="006E4C8F"/>
    <w:rsid w:val="006F053B"/>
    <w:rsid w:val="006F181A"/>
    <w:rsid w:val="006F3F2B"/>
    <w:rsid w:val="006F52F5"/>
    <w:rsid w:val="006F6E24"/>
    <w:rsid w:val="006F7573"/>
    <w:rsid w:val="00700871"/>
    <w:rsid w:val="0070188A"/>
    <w:rsid w:val="00701F22"/>
    <w:rsid w:val="007020CA"/>
    <w:rsid w:val="00702A8D"/>
    <w:rsid w:val="00703D28"/>
    <w:rsid w:val="00705384"/>
    <w:rsid w:val="007053C0"/>
    <w:rsid w:val="00705716"/>
    <w:rsid w:val="007065E5"/>
    <w:rsid w:val="0070704D"/>
    <w:rsid w:val="007070E3"/>
    <w:rsid w:val="00707522"/>
    <w:rsid w:val="00707629"/>
    <w:rsid w:val="00711B93"/>
    <w:rsid w:val="00711FCF"/>
    <w:rsid w:val="00712F14"/>
    <w:rsid w:val="00716C46"/>
    <w:rsid w:val="007171CD"/>
    <w:rsid w:val="0071749B"/>
    <w:rsid w:val="0072039C"/>
    <w:rsid w:val="00720873"/>
    <w:rsid w:val="00721BC9"/>
    <w:rsid w:val="00722A13"/>
    <w:rsid w:val="00724562"/>
    <w:rsid w:val="007269E6"/>
    <w:rsid w:val="00727170"/>
    <w:rsid w:val="007307D6"/>
    <w:rsid w:val="00730DD6"/>
    <w:rsid w:val="00733F93"/>
    <w:rsid w:val="007348B7"/>
    <w:rsid w:val="007376C7"/>
    <w:rsid w:val="00737CC0"/>
    <w:rsid w:val="00737E62"/>
    <w:rsid w:val="00740F53"/>
    <w:rsid w:val="00741D0D"/>
    <w:rsid w:val="00746B97"/>
    <w:rsid w:val="00746C86"/>
    <w:rsid w:val="00746E84"/>
    <w:rsid w:val="00750E56"/>
    <w:rsid w:val="00752DDC"/>
    <w:rsid w:val="00753258"/>
    <w:rsid w:val="00753376"/>
    <w:rsid w:val="007533E6"/>
    <w:rsid w:val="007539EC"/>
    <w:rsid w:val="00754B29"/>
    <w:rsid w:val="00754E05"/>
    <w:rsid w:val="00755403"/>
    <w:rsid w:val="00755463"/>
    <w:rsid w:val="0075591C"/>
    <w:rsid w:val="00755C89"/>
    <w:rsid w:val="00756F1E"/>
    <w:rsid w:val="00756F50"/>
    <w:rsid w:val="00757AC0"/>
    <w:rsid w:val="0076043D"/>
    <w:rsid w:val="007645B2"/>
    <w:rsid w:val="00766AFC"/>
    <w:rsid w:val="00767B1C"/>
    <w:rsid w:val="007703AC"/>
    <w:rsid w:val="00770CA3"/>
    <w:rsid w:val="007725CC"/>
    <w:rsid w:val="00772D91"/>
    <w:rsid w:val="0077406B"/>
    <w:rsid w:val="00774FBA"/>
    <w:rsid w:val="00777FA1"/>
    <w:rsid w:val="00781E0C"/>
    <w:rsid w:val="00783B74"/>
    <w:rsid w:val="007848C2"/>
    <w:rsid w:val="00784D3E"/>
    <w:rsid w:val="00785444"/>
    <w:rsid w:val="00785CC1"/>
    <w:rsid w:val="00787BC7"/>
    <w:rsid w:val="00791960"/>
    <w:rsid w:val="00793088"/>
    <w:rsid w:val="00794EF4"/>
    <w:rsid w:val="00797458"/>
    <w:rsid w:val="007A01AF"/>
    <w:rsid w:val="007A0A73"/>
    <w:rsid w:val="007A33B8"/>
    <w:rsid w:val="007A5932"/>
    <w:rsid w:val="007A5AF8"/>
    <w:rsid w:val="007A68AC"/>
    <w:rsid w:val="007A6B2D"/>
    <w:rsid w:val="007A6D8B"/>
    <w:rsid w:val="007B0571"/>
    <w:rsid w:val="007B2D7D"/>
    <w:rsid w:val="007B329F"/>
    <w:rsid w:val="007B5702"/>
    <w:rsid w:val="007B609B"/>
    <w:rsid w:val="007B614E"/>
    <w:rsid w:val="007B6816"/>
    <w:rsid w:val="007B75FC"/>
    <w:rsid w:val="007C1386"/>
    <w:rsid w:val="007C1F31"/>
    <w:rsid w:val="007C226E"/>
    <w:rsid w:val="007C2AC6"/>
    <w:rsid w:val="007C2C2B"/>
    <w:rsid w:val="007C3679"/>
    <w:rsid w:val="007C6744"/>
    <w:rsid w:val="007D2031"/>
    <w:rsid w:val="007D35ED"/>
    <w:rsid w:val="007D3D9C"/>
    <w:rsid w:val="007D435F"/>
    <w:rsid w:val="007D4E37"/>
    <w:rsid w:val="007D5DBE"/>
    <w:rsid w:val="007D7E5B"/>
    <w:rsid w:val="007E06AB"/>
    <w:rsid w:val="007E1F63"/>
    <w:rsid w:val="007E27D8"/>
    <w:rsid w:val="007E41C7"/>
    <w:rsid w:val="007E5036"/>
    <w:rsid w:val="007F15F8"/>
    <w:rsid w:val="007F1C8B"/>
    <w:rsid w:val="007F2A6B"/>
    <w:rsid w:val="007F2CC4"/>
    <w:rsid w:val="007F35DB"/>
    <w:rsid w:val="007F43AC"/>
    <w:rsid w:val="007F460A"/>
    <w:rsid w:val="007F6A33"/>
    <w:rsid w:val="007F7A7D"/>
    <w:rsid w:val="00801365"/>
    <w:rsid w:val="0080231A"/>
    <w:rsid w:val="00803426"/>
    <w:rsid w:val="00804E81"/>
    <w:rsid w:val="0080542A"/>
    <w:rsid w:val="00806916"/>
    <w:rsid w:val="0081472A"/>
    <w:rsid w:val="00815878"/>
    <w:rsid w:val="00816BDA"/>
    <w:rsid w:val="008172E0"/>
    <w:rsid w:val="00817AA5"/>
    <w:rsid w:val="00820D49"/>
    <w:rsid w:val="00821A64"/>
    <w:rsid w:val="00826CA8"/>
    <w:rsid w:val="00826D6B"/>
    <w:rsid w:val="00833346"/>
    <w:rsid w:val="00834CD6"/>
    <w:rsid w:val="0083519B"/>
    <w:rsid w:val="00840B7C"/>
    <w:rsid w:val="00841A60"/>
    <w:rsid w:val="00842771"/>
    <w:rsid w:val="0084613B"/>
    <w:rsid w:val="00847A83"/>
    <w:rsid w:val="00853380"/>
    <w:rsid w:val="0085473B"/>
    <w:rsid w:val="0085497C"/>
    <w:rsid w:val="00854A04"/>
    <w:rsid w:val="00856ED7"/>
    <w:rsid w:val="00857743"/>
    <w:rsid w:val="00857ABD"/>
    <w:rsid w:val="00857DE7"/>
    <w:rsid w:val="008604DD"/>
    <w:rsid w:val="008623D7"/>
    <w:rsid w:val="008628E3"/>
    <w:rsid w:val="008657C1"/>
    <w:rsid w:val="00865CA1"/>
    <w:rsid w:val="0086654A"/>
    <w:rsid w:val="00866C23"/>
    <w:rsid w:val="008673BB"/>
    <w:rsid w:val="00867EFF"/>
    <w:rsid w:val="00870189"/>
    <w:rsid w:val="00873F0F"/>
    <w:rsid w:val="008741B3"/>
    <w:rsid w:val="00876126"/>
    <w:rsid w:val="00876EBA"/>
    <w:rsid w:val="00880EE6"/>
    <w:rsid w:val="008824B4"/>
    <w:rsid w:val="00882DF0"/>
    <w:rsid w:val="00883730"/>
    <w:rsid w:val="00883919"/>
    <w:rsid w:val="00883BEA"/>
    <w:rsid w:val="008862D7"/>
    <w:rsid w:val="00886916"/>
    <w:rsid w:val="00886B05"/>
    <w:rsid w:val="00890D69"/>
    <w:rsid w:val="00891010"/>
    <w:rsid w:val="00894687"/>
    <w:rsid w:val="008949D2"/>
    <w:rsid w:val="00895A7A"/>
    <w:rsid w:val="00895ED0"/>
    <w:rsid w:val="008A0C72"/>
    <w:rsid w:val="008A3FF6"/>
    <w:rsid w:val="008A5300"/>
    <w:rsid w:val="008A5671"/>
    <w:rsid w:val="008A5CE6"/>
    <w:rsid w:val="008A6CB1"/>
    <w:rsid w:val="008A6D76"/>
    <w:rsid w:val="008A7195"/>
    <w:rsid w:val="008A722C"/>
    <w:rsid w:val="008B0FB8"/>
    <w:rsid w:val="008B1726"/>
    <w:rsid w:val="008B2103"/>
    <w:rsid w:val="008B258E"/>
    <w:rsid w:val="008B28A8"/>
    <w:rsid w:val="008B2E83"/>
    <w:rsid w:val="008B346A"/>
    <w:rsid w:val="008B4399"/>
    <w:rsid w:val="008B6327"/>
    <w:rsid w:val="008B6A83"/>
    <w:rsid w:val="008B7144"/>
    <w:rsid w:val="008C05EE"/>
    <w:rsid w:val="008C2AE7"/>
    <w:rsid w:val="008C30FA"/>
    <w:rsid w:val="008C338E"/>
    <w:rsid w:val="008C36FA"/>
    <w:rsid w:val="008C541F"/>
    <w:rsid w:val="008C5CBB"/>
    <w:rsid w:val="008C6444"/>
    <w:rsid w:val="008C6D8C"/>
    <w:rsid w:val="008D083B"/>
    <w:rsid w:val="008D1C44"/>
    <w:rsid w:val="008D346F"/>
    <w:rsid w:val="008D3912"/>
    <w:rsid w:val="008D4961"/>
    <w:rsid w:val="008D5598"/>
    <w:rsid w:val="008D584F"/>
    <w:rsid w:val="008D5EFA"/>
    <w:rsid w:val="008D5F64"/>
    <w:rsid w:val="008D6130"/>
    <w:rsid w:val="008D6B1B"/>
    <w:rsid w:val="008D77D0"/>
    <w:rsid w:val="008E0E19"/>
    <w:rsid w:val="008E13F6"/>
    <w:rsid w:val="008E1BF3"/>
    <w:rsid w:val="008E1EB6"/>
    <w:rsid w:val="008E2F03"/>
    <w:rsid w:val="008E3241"/>
    <w:rsid w:val="008E3BA6"/>
    <w:rsid w:val="008E526E"/>
    <w:rsid w:val="008E62F9"/>
    <w:rsid w:val="008E7DD6"/>
    <w:rsid w:val="008F0B3A"/>
    <w:rsid w:val="008F12AE"/>
    <w:rsid w:val="008F31B0"/>
    <w:rsid w:val="008F34DB"/>
    <w:rsid w:val="008F41B1"/>
    <w:rsid w:val="008F537F"/>
    <w:rsid w:val="008F538F"/>
    <w:rsid w:val="008F5C04"/>
    <w:rsid w:val="008F6124"/>
    <w:rsid w:val="008F761E"/>
    <w:rsid w:val="008F78E1"/>
    <w:rsid w:val="0090069A"/>
    <w:rsid w:val="009007D3"/>
    <w:rsid w:val="0090104E"/>
    <w:rsid w:val="00901437"/>
    <w:rsid w:val="00902A93"/>
    <w:rsid w:val="00903DAF"/>
    <w:rsid w:val="0090590B"/>
    <w:rsid w:val="009064BE"/>
    <w:rsid w:val="0091107D"/>
    <w:rsid w:val="00911C76"/>
    <w:rsid w:val="00912A40"/>
    <w:rsid w:val="0091300A"/>
    <w:rsid w:val="00913575"/>
    <w:rsid w:val="009138DE"/>
    <w:rsid w:val="0091665A"/>
    <w:rsid w:val="009171E4"/>
    <w:rsid w:val="00920844"/>
    <w:rsid w:val="009223A9"/>
    <w:rsid w:val="0092457A"/>
    <w:rsid w:val="0092665E"/>
    <w:rsid w:val="009276E3"/>
    <w:rsid w:val="009302BB"/>
    <w:rsid w:val="0093097E"/>
    <w:rsid w:val="0093124A"/>
    <w:rsid w:val="0093557E"/>
    <w:rsid w:val="00935CEC"/>
    <w:rsid w:val="0093634E"/>
    <w:rsid w:val="0093709E"/>
    <w:rsid w:val="0094110D"/>
    <w:rsid w:val="00942EA3"/>
    <w:rsid w:val="009436D3"/>
    <w:rsid w:val="00943858"/>
    <w:rsid w:val="00943B42"/>
    <w:rsid w:val="00944C80"/>
    <w:rsid w:val="00945455"/>
    <w:rsid w:val="00952C85"/>
    <w:rsid w:val="00954E8A"/>
    <w:rsid w:val="0095564D"/>
    <w:rsid w:val="009558A0"/>
    <w:rsid w:val="00955E95"/>
    <w:rsid w:val="0096348D"/>
    <w:rsid w:val="00966655"/>
    <w:rsid w:val="00967805"/>
    <w:rsid w:val="0097189C"/>
    <w:rsid w:val="00972D8E"/>
    <w:rsid w:val="009735C9"/>
    <w:rsid w:val="009738FD"/>
    <w:rsid w:val="00973CE8"/>
    <w:rsid w:val="009744B9"/>
    <w:rsid w:val="00974886"/>
    <w:rsid w:val="00974B3B"/>
    <w:rsid w:val="0097571D"/>
    <w:rsid w:val="00976D77"/>
    <w:rsid w:val="009771D9"/>
    <w:rsid w:val="009775C0"/>
    <w:rsid w:val="0097785A"/>
    <w:rsid w:val="00977FA6"/>
    <w:rsid w:val="0098026F"/>
    <w:rsid w:val="009840D4"/>
    <w:rsid w:val="00985D40"/>
    <w:rsid w:val="00990BB8"/>
    <w:rsid w:val="0099172C"/>
    <w:rsid w:val="00991D31"/>
    <w:rsid w:val="009923F2"/>
    <w:rsid w:val="00993AE1"/>
    <w:rsid w:val="00993BFB"/>
    <w:rsid w:val="00994001"/>
    <w:rsid w:val="00994283"/>
    <w:rsid w:val="009952D8"/>
    <w:rsid w:val="0099553C"/>
    <w:rsid w:val="009957BF"/>
    <w:rsid w:val="00996875"/>
    <w:rsid w:val="00996E52"/>
    <w:rsid w:val="00997159"/>
    <w:rsid w:val="009977FE"/>
    <w:rsid w:val="009A0C8A"/>
    <w:rsid w:val="009A0DA2"/>
    <w:rsid w:val="009A0F21"/>
    <w:rsid w:val="009A138C"/>
    <w:rsid w:val="009A1626"/>
    <w:rsid w:val="009A17F0"/>
    <w:rsid w:val="009A1B9B"/>
    <w:rsid w:val="009A35BA"/>
    <w:rsid w:val="009A3A0F"/>
    <w:rsid w:val="009A46CF"/>
    <w:rsid w:val="009A493A"/>
    <w:rsid w:val="009A4D00"/>
    <w:rsid w:val="009A5463"/>
    <w:rsid w:val="009A57FE"/>
    <w:rsid w:val="009A62DF"/>
    <w:rsid w:val="009A7E1F"/>
    <w:rsid w:val="009B06E8"/>
    <w:rsid w:val="009B2403"/>
    <w:rsid w:val="009B2952"/>
    <w:rsid w:val="009B2B74"/>
    <w:rsid w:val="009B2D2B"/>
    <w:rsid w:val="009B3F29"/>
    <w:rsid w:val="009B4367"/>
    <w:rsid w:val="009B49EE"/>
    <w:rsid w:val="009B5166"/>
    <w:rsid w:val="009B51DF"/>
    <w:rsid w:val="009B76A0"/>
    <w:rsid w:val="009C004B"/>
    <w:rsid w:val="009C3C10"/>
    <w:rsid w:val="009C48AC"/>
    <w:rsid w:val="009C4A63"/>
    <w:rsid w:val="009C4F16"/>
    <w:rsid w:val="009C698C"/>
    <w:rsid w:val="009D038F"/>
    <w:rsid w:val="009D2DDA"/>
    <w:rsid w:val="009D713B"/>
    <w:rsid w:val="009E2BA3"/>
    <w:rsid w:val="009E4C04"/>
    <w:rsid w:val="009E6C9E"/>
    <w:rsid w:val="009E7994"/>
    <w:rsid w:val="009E7D94"/>
    <w:rsid w:val="009F1344"/>
    <w:rsid w:val="009F594B"/>
    <w:rsid w:val="009F5A05"/>
    <w:rsid w:val="00A012EF"/>
    <w:rsid w:val="00A0133E"/>
    <w:rsid w:val="00A024B4"/>
    <w:rsid w:val="00A025C1"/>
    <w:rsid w:val="00A027F1"/>
    <w:rsid w:val="00A044E7"/>
    <w:rsid w:val="00A04B46"/>
    <w:rsid w:val="00A051EF"/>
    <w:rsid w:val="00A05923"/>
    <w:rsid w:val="00A05F36"/>
    <w:rsid w:val="00A105B7"/>
    <w:rsid w:val="00A13F00"/>
    <w:rsid w:val="00A1476E"/>
    <w:rsid w:val="00A2110F"/>
    <w:rsid w:val="00A21C3B"/>
    <w:rsid w:val="00A26C87"/>
    <w:rsid w:val="00A3020A"/>
    <w:rsid w:val="00A306A0"/>
    <w:rsid w:val="00A31247"/>
    <w:rsid w:val="00A32146"/>
    <w:rsid w:val="00A322B7"/>
    <w:rsid w:val="00A33810"/>
    <w:rsid w:val="00A339F4"/>
    <w:rsid w:val="00A36871"/>
    <w:rsid w:val="00A41078"/>
    <w:rsid w:val="00A428A2"/>
    <w:rsid w:val="00A42C28"/>
    <w:rsid w:val="00A450E5"/>
    <w:rsid w:val="00A47C32"/>
    <w:rsid w:val="00A50B9B"/>
    <w:rsid w:val="00A53B40"/>
    <w:rsid w:val="00A54B16"/>
    <w:rsid w:val="00A570D6"/>
    <w:rsid w:val="00A57971"/>
    <w:rsid w:val="00A57FD5"/>
    <w:rsid w:val="00A6059D"/>
    <w:rsid w:val="00A6064E"/>
    <w:rsid w:val="00A60E84"/>
    <w:rsid w:val="00A613E1"/>
    <w:rsid w:val="00A621F2"/>
    <w:rsid w:val="00A6224A"/>
    <w:rsid w:val="00A64F41"/>
    <w:rsid w:val="00A6529C"/>
    <w:rsid w:val="00A66DED"/>
    <w:rsid w:val="00A6786B"/>
    <w:rsid w:val="00A7013C"/>
    <w:rsid w:val="00A703EB"/>
    <w:rsid w:val="00A73DE8"/>
    <w:rsid w:val="00A73F51"/>
    <w:rsid w:val="00A7579B"/>
    <w:rsid w:val="00A75991"/>
    <w:rsid w:val="00A7614A"/>
    <w:rsid w:val="00A771C8"/>
    <w:rsid w:val="00A772A8"/>
    <w:rsid w:val="00A80159"/>
    <w:rsid w:val="00A81F27"/>
    <w:rsid w:val="00A827E5"/>
    <w:rsid w:val="00A82B71"/>
    <w:rsid w:val="00A82B96"/>
    <w:rsid w:val="00A8341C"/>
    <w:rsid w:val="00A83D77"/>
    <w:rsid w:val="00A84FF7"/>
    <w:rsid w:val="00A86D04"/>
    <w:rsid w:val="00A9005D"/>
    <w:rsid w:val="00A9062F"/>
    <w:rsid w:val="00A90ED1"/>
    <w:rsid w:val="00A9162F"/>
    <w:rsid w:val="00A91D66"/>
    <w:rsid w:val="00A93123"/>
    <w:rsid w:val="00A93FAE"/>
    <w:rsid w:val="00A94839"/>
    <w:rsid w:val="00A94FCB"/>
    <w:rsid w:val="00A957D2"/>
    <w:rsid w:val="00A95C10"/>
    <w:rsid w:val="00A96582"/>
    <w:rsid w:val="00A973F2"/>
    <w:rsid w:val="00AA0A88"/>
    <w:rsid w:val="00AA2565"/>
    <w:rsid w:val="00AA31FD"/>
    <w:rsid w:val="00AA441F"/>
    <w:rsid w:val="00AA4C9D"/>
    <w:rsid w:val="00AA4D78"/>
    <w:rsid w:val="00AA573E"/>
    <w:rsid w:val="00AA5FD7"/>
    <w:rsid w:val="00AA6C6B"/>
    <w:rsid w:val="00AA7AE5"/>
    <w:rsid w:val="00AA7CB4"/>
    <w:rsid w:val="00AB01F9"/>
    <w:rsid w:val="00AB09E9"/>
    <w:rsid w:val="00AB0F0D"/>
    <w:rsid w:val="00AB2029"/>
    <w:rsid w:val="00AB2D3B"/>
    <w:rsid w:val="00AB2FC3"/>
    <w:rsid w:val="00AB45E4"/>
    <w:rsid w:val="00AB6E38"/>
    <w:rsid w:val="00AB7979"/>
    <w:rsid w:val="00AC43C4"/>
    <w:rsid w:val="00AC4D55"/>
    <w:rsid w:val="00AD12A1"/>
    <w:rsid w:val="00AD13B8"/>
    <w:rsid w:val="00AD1980"/>
    <w:rsid w:val="00AD3838"/>
    <w:rsid w:val="00AD5FDD"/>
    <w:rsid w:val="00AD60BB"/>
    <w:rsid w:val="00AD6670"/>
    <w:rsid w:val="00AE0366"/>
    <w:rsid w:val="00AE07DB"/>
    <w:rsid w:val="00AE08A4"/>
    <w:rsid w:val="00AE0FB4"/>
    <w:rsid w:val="00AE25D6"/>
    <w:rsid w:val="00AE2A72"/>
    <w:rsid w:val="00AE3027"/>
    <w:rsid w:val="00AE3289"/>
    <w:rsid w:val="00AF133C"/>
    <w:rsid w:val="00AF23D7"/>
    <w:rsid w:val="00AF3B25"/>
    <w:rsid w:val="00AF5952"/>
    <w:rsid w:val="00AF735A"/>
    <w:rsid w:val="00AF7366"/>
    <w:rsid w:val="00AF79B5"/>
    <w:rsid w:val="00B0190B"/>
    <w:rsid w:val="00B03C75"/>
    <w:rsid w:val="00B03E0D"/>
    <w:rsid w:val="00B03E16"/>
    <w:rsid w:val="00B04058"/>
    <w:rsid w:val="00B04694"/>
    <w:rsid w:val="00B05128"/>
    <w:rsid w:val="00B05C38"/>
    <w:rsid w:val="00B0763A"/>
    <w:rsid w:val="00B1063F"/>
    <w:rsid w:val="00B10924"/>
    <w:rsid w:val="00B11BB9"/>
    <w:rsid w:val="00B140A7"/>
    <w:rsid w:val="00B1413B"/>
    <w:rsid w:val="00B144F1"/>
    <w:rsid w:val="00B14FC5"/>
    <w:rsid w:val="00B15531"/>
    <w:rsid w:val="00B16629"/>
    <w:rsid w:val="00B17907"/>
    <w:rsid w:val="00B17C89"/>
    <w:rsid w:val="00B21B5F"/>
    <w:rsid w:val="00B22DE9"/>
    <w:rsid w:val="00B22E37"/>
    <w:rsid w:val="00B22F7E"/>
    <w:rsid w:val="00B23E56"/>
    <w:rsid w:val="00B24A0E"/>
    <w:rsid w:val="00B265E9"/>
    <w:rsid w:val="00B31284"/>
    <w:rsid w:val="00B31F0D"/>
    <w:rsid w:val="00B32267"/>
    <w:rsid w:val="00B35453"/>
    <w:rsid w:val="00B3561B"/>
    <w:rsid w:val="00B35C65"/>
    <w:rsid w:val="00B371FA"/>
    <w:rsid w:val="00B37F40"/>
    <w:rsid w:val="00B403B8"/>
    <w:rsid w:val="00B40B1E"/>
    <w:rsid w:val="00B40F89"/>
    <w:rsid w:val="00B4105A"/>
    <w:rsid w:val="00B42850"/>
    <w:rsid w:val="00B43F4F"/>
    <w:rsid w:val="00B44345"/>
    <w:rsid w:val="00B473F2"/>
    <w:rsid w:val="00B50AC2"/>
    <w:rsid w:val="00B51775"/>
    <w:rsid w:val="00B53C88"/>
    <w:rsid w:val="00B5423A"/>
    <w:rsid w:val="00B543E2"/>
    <w:rsid w:val="00B5456F"/>
    <w:rsid w:val="00B552F8"/>
    <w:rsid w:val="00B5538B"/>
    <w:rsid w:val="00B62315"/>
    <w:rsid w:val="00B62511"/>
    <w:rsid w:val="00B62E3E"/>
    <w:rsid w:val="00B6310A"/>
    <w:rsid w:val="00B63627"/>
    <w:rsid w:val="00B6381B"/>
    <w:rsid w:val="00B6567C"/>
    <w:rsid w:val="00B66772"/>
    <w:rsid w:val="00B67D10"/>
    <w:rsid w:val="00B67F03"/>
    <w:rsid w:val="00B70D70"/>
    <w:rsid w:val="00B711D6"/>
    <w:rsid w:val="00B733EF"/>
    <w:rsid w:val="00B74B3A"/>
    <w:rsid w:val="00B7525C"/>
    <w:rsid w:val="00B756BC"/>
    <w:rsid w:val="00B7572D"/>
    <w:rsid w:val="00B768DC"/>
    <w:rsid w:val="00B80041"/>
    <w:rsid w:val="00B81544"/>
    <w:rsid w:val="00B81C5F"/>
    <w:rsid w:val="00B821C5"/>
    <w:rsid w:val="00B82310"/>
    <w:rsid w:val="00B82412"/>
    <w:rsid w:val="00B82558"/>
    <w:rsid w:val="00B82DAD"/>
    <w:rsid w:val="00B83B6D"/>
    <w:rsid w:val="00B83F3B"/>
    <w:rsid w:val="00B842C0"/>
    <w:rsid w:val="00B85202"/>
    <w:rsid w:val="00B8523A"/>
    <w:rsid w:val="00B9090E"/>
    <w:rsid w:val="00B91D8D"/>
    <w:rsid w:val="00B927D9"/>
    <w:rsid w:val="00B9320D"/>
    <w:rsid w:val="00B94E00"/>
    <w:rsid w:val="00B95F30"/>
    <w:rsid w:val="00B96047"/>
    <w:rsid w:val="00BA171A"/>
    <w:rsid w:val="00BA2D57"/>
    <w:rsid w:val="00BA2DBA"/>
    <w:rsid w:val="00BA2FF6"/>
    <w:rsid w:val="00BA4D11"/>
    <w:rsid w:val="00BA5200"/>
    <w:rsid w:val="00BA5C77"/>
    <w:rsid w:val="00BA6BD8"/>
    <w:rsid w:val="00BA7EA8"/>
    <w:rsid w:val="00BB0578"/>
    <w:rsid w:val="00BB24D1"/>
    <w:rsid w:val="00BB5E64"/>
    <w:rsid w:val="00BB79DD"/>
    <w:rsid w:val="00BB7EB8"/>
    <w:rsid w:val="00BC220A"/>
    <w:rsid w:val="00BC2BDC"/>
    <w:rsid w:val="00BC36EB"/>
    <w:rsid w:val="00BC3C80"/>
    <w:rsid w:val="00BC439F"/>
    <w:rsid w:val="00BC45A6"/>
    <w:rsid w:val="00BC4BBA"/>
    <w:rsid w:val="00BC61D2"/>
    <w:rsid w:val="00BC673C"/>
    <w:rsid w:val="00BC7F64"/>
    <w:rsid w:val="00BD171B"/>
    <w:rsid w:val="00BD3EED"/>
    <w:rsid w:val="00BD42A5"/>
    <w:rsid w:val="00BD4526"/>
    <w:rsid w:val="00BD5F4B"/>
    <w:rsid w:val="00BD6941"/>
    <w:rsid w:val="00BE040F"/>
    <w:rsid w:val="00BE3076"/>
    <w:rsid w:val="00BE3117"/>
    <w:rsid w:val="00BE35DD"/>
    <w:rsid w:val="00BE3AB3"/>
    <w:rsid w:val="00BE425E"/>
    <w:rsid w:val="00BE5B96"/>
    <w:rsid w:val="00BF1E71"/>
    <w:rsid w:val="00BF3575"/>
    <w:rsid w:val="00BF3C1F"/>
    <w:rsid w:val="00BF3E53"/>
    <w:rsid w:val="00BF44F1"/>
    <w:rsid w:val="00BF4901"/>
    <w:rsid w:val="00BF6410"/>
    <w:rsid w:val="00BF7A64"/>
    <w:rsid w:val="00C00706"/>
    <w:rsid w:val="00C04626"/>
    <w:rsid w:val="00C061E9"/>
    <w:rsid w:val="00C070A1"/>
    <w:rsid w:val="00C07139"/>
    <w:rsid w:val="00C1166C"/>
    <w:rsid w:val="00C13718"/>
    <w:rsid w:val="00C149D2"/>
    <w:rsid w:val="00C15EC1"/>
    <w:rsid w:val="00C161D9"/>
    <w:rsid w:val="00C166D0"/>
    <w:rsid w:val="00C22931"/>
    <w:rsid w:val="00C23EC0"/>
    <w:rsid w:val="00C25648"/>
    <w:rsid w:val="00C26825"/>
    <w:rsid w:val="00C300C4"/>
    <w:rsid w:val="00C30B0B"/>
    <w:rsid w:val="00C31C8B"/>
    <w:rsid w:val="00C321CC"/>
    <w:rsid w:val="00C3268A"/>
    <w:rsid w:val="00C32E39"/>
    <w:rsid w:val="00C33421"/>
    <w:rsid w:val="00C35178"/>
    <w:rsid w:val="00C368D8"/>
    <w:rsid w:val="00C36E5C"/>
    <w:rsid w:val="00C3793A"/>
    <w:rsid w:val="00C400C6"/>
    <w:rsid w:val="00C42A91"/>
    <w:rsid w:val="00C4367D"/>
    <w:rsid w:val="00C4430E"/>
    <w:rsid w:val="00C47007"/>
    <w:rsid w:val="00C47FF6"/>
    <w:rsid w:val="00C50568"/>
    <w:rsid w:val="00C50A50"/>
    <w:rsid w:val="00C514B7"/>
    <w:rsid w:val="00C54E86"/>
    <w:rsid w:val="00C56F77"/>
    <w:rsid w:val="00C57480"/>
    <w:rsid w:val="00C576F6"/>
    <w:rsid w:val="00C6172F"/>
    <w:rsid w:val="00C61ABC"/>
    <w:rsid w:val="00C659D5"/>
    <w:rsid w:val="00C65C32"/>
    <w:rsid w:val="00C66076"/>
    <w:rsid w:val="00C66B21"/>
    <w:rsid w:val="00C66EB3"/>
    <w:rsid w:val="00C70C8F"/>
    <w:rsid w:val="00C72101"/>
    <w:rsid w:val="00C72546"/>
    <w:rsid w:val="00C74908"/>
    <w:rsid w:val="00C74E3A"/>
    <w:rsid w:val="00C7501F"/>
    <w:rsid w:val="00C75196"/>
    <w:rsid w:val="00C768F3"/>
    <w:rsid w:val="00C77EC4"/>
    <w:rsid w:val="00C80561"/>
    <w:rsid w:val="00C80AB9"/>
    <w:rsid w:val="00C80CC3"/>
    <w:rsid w:val="00C811DD"/>
    <w:rsid w:val="00C824A7"/>
    <w:rsid w:val="00C82F31"/>
    <w:rsid w:val="00C830DC"/>
    <w:rsid w:val="00C83316"/>
    <w:rsid w:val="00C83606"/>
    <w:rsid w:val="00C84360"/>
    <w:rsid w:val="00C84720"/>
    <w:rsid w:val="00C848A9"/>
    <w:rsid w:val="00C852D0"/>
    <w:rsid w:val="00C861DD"/>
    <w:rsid w:val="00C90B38"/>
    <w:rsid w:val="00C91298"/>
    <w:rsid w:val="00C91FE0"/>
    <w:rsid w:val="00C93573"/>
    <w:rsid w:val="00C972E5"/>
    <w:rsid w:val="00C979E6"/>
    <w:rsid w:val="00CA0B7A"/>
    <w:rsid w:val="00CA1880"/>
    <w:rsid w:val="00CA48D0"/>
    <w:rsid w:val="00CA4AC0"/>
    <w:rsid w:val="00CA6F55"/>
    <w:rsid w:val="00CB1FB4"/>
    <w:rsid w:val="00CB2CED"/>
    <w:rsid w:val="00CB3188"/>
    <w:rsid w:val="00CB4649"/>
    <w:rsid w:val="00CB5880"/>
    <w:rsid w:val="00CB666E"/>
    <w:rsid w:val="00CB6A70"/>
    <w:rsid w:val="00CC0790"/>
    <w:rsid w:val="00CC0D04"/>
    <w:rsid w:val="00CC1316"/>
    <w:rsid w:val="00CC4246"/>
    <w:rsid w:val="00CC4569"/>
    <w:rsid w:val="00CC6A45"/>
    <w:rsid w:val="00CC6CB6"/>
    <w:rsid w:val="00CD0151"/>
    <w:rsid w:val="00CD01B2"/>
    <w:rsid w:val="00CD0908"/>
    <w:rsid w:val="00CD2CB3"/>
    <w:rsid w:val="00CD330C"/>
    <w:rsid w:val="00CD3A90"/>
    <w:rsid w:val="00CD539C"/>
    <w:rsid w:val="00CD54CC"/>
    <w:rsid w:val="00CD6874"/>
    <w:rsid w:val="00CE0307"/>
    <w:rsid w:val="00CE066A"/>
    <w:rsid w:val="00CE1335"/>
    <w:rsid w:val="00CE1BC8"/>
    <w:rsid w:val="00CE4032"/>
    <w:rsid w:val="00CE4860"/>
    <w:rsid w:val="00CE4D26"/>
    <w:rsid w:val="00CE6D31"/>
    <w:rsid w:val="00CE6E0C"/>
    <w:rsid w:val="00CE7AD0"/>
    <w:rsid w:val="00CF1996"/>
    <w:rsid w:val="00CF26ED"/>
    <w:rsid w:val="00CF5A50"/>
    <w:rsid w:val="00CF6943"/>
    <w:rsid w:val="00D00704"/>
    <w:rsid w:val="00D00E51"/>
    <w:rsid w:val="00D0150D"/>
    <w:rsid w:val="00D01CA1"/>
    <w:rsid w:val="00D0239F"/>
    <w:rsid w:val="00D02FB1"/>
    <w:rsid w:val="00D0363D"/>
    <w:rsid w:val="00D0444D"/>
    <w:rsid w:val="00D047F1"/>
    <w:rsid w:val="00D10520"/>
    <w:rsid w:val="00D10581"/>
    <w:rsid w:val="00D10A96"/>
    <w:rsid w:val="00D10E8F"/>
    <w:rsid w:val="00D146E7"/>
    <w:rsid w:val="00D15280"/>
    <w:rsid w:val="00D1566A"/>
    <w:rsid w:val="00D15E7E"/>
    <w:rsid w:val="00D15EE4"/>
    <w:rsid w:val="00D16D3D"/>
    <w:rsid w:val="00D1742D"/>
    <w:rsid w:val="00D17661"/>
    <w:rsid w:val="00D20343"/>
    <w:rsid w:val="00D20D5B"/>
    <w:rsid w:val="00D2230D"/>
    <w:rsid w:val="00D2358E"/>
    <w:rsid w:val="00D26D69"/>
    <w:rsid w:val="00D318AB"/>
    <w:rsid w:val="00D32B59"/>
    <w:rsid w:val="00D32E61"/>
    <w:rsid w:val="00D34DDA"/>
    <w:rsid w:val="00D35CDD"/>
    <w:rsid w:val="00D363E9"/>
    <w:rsid w:val="00D365D4"/>
    <w:rsid w:val="00D415F1"/>
    <w:rsid w:val="00D43B99"/>
    <w:rsid w:val="00D43ED9"/>
    <w:rsid w:val="00D441D0"/>
    <w:rsid w:val="00D44C07"/>
    <w:rsid w:val="00D44E2C"/>
    <w:rsid w:val="00D455F2"/>
    <w:rsid w:val="00D46BE1"/>
    <w:rsid w:val="00D46C41"/>
    <w:rsid w:val="00D4711B"/>
    <w:rsid w:val="00D5007E"/>
    <w:rsid w:val="00D509CD"/>
    <w:rsid w:val="00D54FCF"/>
    <w:rsid w:val="00D5611A"/>
    <w:rsid w:val="00D563A8"/>
    <w:rsid w:val="00D56A6D"/>
    <w:rsid w:val="00D57929"/>
    <w:rsid w:val="00D60159"/>
    <w:rsid w:val="00D6077F"/>
    <w:rsid w:val="00D607DC"/>
    <w:rsid w:val="00D60E1C"/>
    <w:rsid w:val="00D61F97"/>
    <w:rsid w:val="00D66387"/>
    <w:rsid w:val="00D669ED"/>
    <w:rsid w:val="00D66B70"/>
    <w:rsid w:val="00D66E11"/>
    <w:rsid w:val="00D6729F"/>
    <w:rsid w:val="00D70C9C"/>
    <w:rsid w:val="00D73750"/>
    <w:rsid w:val="00D739B9"/>
    <w:rsid w:val="00D742EE"/>
    <w:rsid w:val="00D75536"/>
    <w:rsid w:val="00D7590F"/>
    <w:rsid w:val="00D77A27"/>
    <w:rsid w:val="00D77B46"/>
    <w:rsid w:val="00D77B85"/>
    <w:rsid w:val="00D77EF3"/>
    <w:rsid w:val="00D80026"/>
    <w:rsid w:val="00D80221"/>
    <w:rsid w:val="00D805D7"/>
    <w:rsid w:val="00D80D39"/>
    <w:rsid w:val="00D81B85"/>
    <w:rsid w:val="00D82CAB"/>
    <w:rsid w:val="00D82D84"/>
    <w:rsid w:val="00D83BFC"/>
    <w:rsid w:val="00D842C7"/>
    <w:rsid w:val="00D84870"/>
    <w:rsid w:val="00D87407"/>
    <w:rsid w:val="00D87F07"/>
    <w:rsid w:val="00D92A93"/>
    <w:rsid w:val="00D94516"/>
    <w:rsid w:val="00D95281"/>
    <w:rsid w:val="00DA06ED"/>
    <w:rsid w:val="00DA2FF7"/>
    <w:rsid w:val="00DA4C47"/>
    <w:rsid w:val="00DA5FC7"/>
    <w:rsid w:val="00DA65B8"/>
    <w:rsid w:val="00DA7D99"/>
    <w:rsid w:val="00DB0F18"/>
    <w:rsid w:val="00DB13F2"/>
    <w:rsid w:val="00DB1D09"/>
    <w:rsid w:val="00DB2256"/>
    <w:rsid w:val="00DB303D"/>
    <w:rsid w:val="00DB51F2"/>
    <w:rsid w:val="00DB53E3"/>
    <w:rsid w:val="00DB549C"/>
    <w:rsid w:val="00DB7B8E"/>
    <w:rsid w:val="00DC0CB3"/>
    <w:rsid w:val="00DC1834"/>
    <w:rsid w:val="00DC1943"/>
    <w:rsid w:val="00DC1DE7"/>
    <w:rsid w:val="00DC217C"/>
    <w:rsid w:val="00DC2193"/>
    <w:rsid w:val="00DC3FDC"/>
    <w:rsid w:val="00DC4522"/>
    <w:rsid w:val="00DC4738"/>
    <w:rsid w:val="00DC5609"/>
    <w:rsid w:val="00DD0820"/>
    <w:rsid w:val="00DD11BF"/>
    <w:rsid w:val="00DD121E"/>
    <w:rsid w:val="00DD1A6F"/>
    <w:rsid w:val="00DD29F2"/>
    <w:rsid w:val="00DD2A17"/>
    <w:rsid w:val="00DD2D59"/>
    <w:rsid w:val="00DD384B"/>
    <w:rsid w:val="00DD3F92"/>
    <w:rsid w:val="00DD4449"/>
    <w:rsid w:val="00DD4845"/>
    <w:rsid w:val="00DD48CD"/>
    <w:rsid w:val="00DD4F8B"/>
    <w:rsid w:val="00DD781D"/>
    <w:rsid w:val="00DE0393"/>
    <w:rsid w:val="00DE0651"/>
    <w:rsid w:val="00DE1B0F"/>
    <w:rsid w:val="00DE45F5"/>
    <w:rsid w:val="00DE5ADF"/>
    <w:rsid w:val="00DE5BDC"/>
    <w:rsid w:val="00DE60F1"/>
    <w:rsid w:val="00DE6919"/>
    <w:rsid w:val="00DE7CE7"/>
    <w:rsid w:val="00DF0C3D"/>
    <w:rsid w:val="00DF0E7D"/>
    <w:rsid w:val="00DF18C9"/>
    <w:rsid w:val="00DF1DDA"/>
    <w:rsid w:val="00DF21B7"/>
    <w:rsid w:val="00DF2AD0"/>
    <w:rsid w:val="00DF4883"/>
    <w:rsid w:val="00DF4D05"/>
    <w:rsid w:val="00DF5087"/>
    <w:rsid w:val="00DF6296"/>
    <w:rsid w:val="00DF636A"/>
    <w:rsid w:val="00DF6433"/>
    <w:rsid w:val="00DF6CDE"/>
    <w:rsid w:val="00E00001"/>
    <w:rsid w:val="00E00390"/>
    <w:rsid w:val="00E014E1"/>
    <w:rsid w:val="00E02790"/>
    <w:rsid w:val="00E02C39"/>
    <w:rsid w:val="00E036A3"/>
    <w:rsid w:val="00E04794"/>
    <w:rsid w:val="00E07E31"/>
    <w:rsid w:val="00E13F7A"/>
    <w:rsid w:val="00E141D6"/>
    <w:rsid w:val="00E148B6"/>
    <w:rsid w:val="00E149D1"/>
    <w:rsid w:val="00E15289"/>
    <w:rsid w:val="00E159B2"/>
    <w:rsid w:val="00E15DEE"/>
    <w:rsid w:val="00E16848"/>
    <w:rsid w:val="00E1699C"/>
    <w:rsid w:val="00E16DC1"/>
    <w:rsid w:val="00E16F51"/>
    <w:rsid w:val="00E1790B"/>
    <w:rsid w:val="00E22388"/>
    <w:rsid w:val="00E22AC3"/>
    <w:rsid w:val="00E22B6B"/>
    <w:rsid w:val="00E23FA3"/>
    <w:rsid w:val="00E245AB"/>
    <w:rsid w:val="00E24793"/>
    <w:rsid w:val="00E25497"/>
    <w:rsid w:val="00E3000E"/>
    <w:rsid w:val="00E30BF6"/>
    <w:rsid w:val="00E31B56"/>
    <w:rsid w:val="00E340F3"/>
    <w:rsid w:val="00E37885"/>
    <w:rsid w:val="00E40F82"/>
    <w:rsid w:val="00E40FF6"/>
    <w:rsid w:val="00E42050"/>
    <w:rsid w:val="00E420A1"/>
    <w:rsid w:val="00E44498"/>
    <w:rsid w:val="00E44A88"/>
    <w:rsid w:val="00E45758"/>
    <w:rsid w:val="00E46835"/>
    <w:rsid w:val="00E47713"/>
    <w:rsid w:val="00E47976"/>
    <w:rsid w:val="00E47DE1"/>
    <w:rsid w:val="00E47EE2"/>
    <w:rsid w:val="00E50C41"/>
    <w:rsid w:val="00E51723"/>
    <w:rsid w:val="00E5363C"/>
    <w:rsid w:val="00E53ABF"/>
    <w:rsid w:val="00E546DF"/>
    <w:rsid w:val="00E56480"/>
    <w:rsid w:val="00E5649F"/>
    <w:rsid w:val="00E5707C"/>
    <w:rsid w:val="00E5758B"/>
    <w:rsid w:val="00E5784E"/>
    <w:rsid w:val="00E579B6"/>
    <w:rsid w:val="00E602D1"/>
    <w:rsid w:val="00E61202"/>
    <w:rsid w:val="00E62DC7"/>
    <w:rsid w:val="00E62F02"/>
    <w:rsid w:val="00E63885"/>
    <w:rsid w:val="00E63C35"/>
    <w:rsid w:val="00E63E47"/>
    <w:rsid w:val="00E64383"/>
    <w:rsid w:val="00E65EF5"/>
    <w:rsid w:val="00E66CA7"/>
    <w:rsid w:val="00E67496"/>
    <w:rsid w:val="00E67D86"/>
    <w:rsid w:val="00E71ADB"/>
    <w:rsid w:val="00E73530"/>
    <w:rsid w:val="00E75B9F"/>
    <w:rsid w:val="00E75EC8"/>
    <w:rsid w:val="00E75F4A"/>
    <w:rsid w:val="00E76108"/>
    <w:rsid w:val="00E76293"/>
    <w:rsid w:val="00E76F49"/>
    <w:rsid w:val="00E772F2"/>
    <w:rsid w:val="00E80295"/>
    <w:rsid w:val="00E81803"/>
    <w:rsid w:val="00E83DFE"/>
    <w:rsid w:val="00E85F39"/>
    <w:rsid w:val="00E86EB5"/>
    <w:rsid w:val="00E90B76"/>
    <w:rsid w:val="00E90D04"/>
    <w:rsid w:val="00E919D0"/>
    <w:rsid w:val="00E92540"/>
    <w:rsid w:val="00E94CBF"/>
    <w:rsid w:val="00EA05F1"/>
    <w:rsid w:val="00EA0ECF"/>
    <w:rsid w:val="00EA110A"/>
    <w:rsid w:val="00EA2A41"/>
    <w:rsid w:val="00EA31DF"/>
    <w:rsid w:val="00EA3791"/>
    <w:rsid w:val="00EA63B3"/>
    <w:rsid w:val="00EB1D06"/>
    <w:rsid w:val="00EB3862"/>
    <w:rsid w:val="00EB4060"/>
    <w:rsid w:val="00EB5DC9"/>
    <w:rsid w:val="00EB5EA9"/>
    <w:rsid w:val="00EB5FE1"/>
    <w:rsid w:val="00EC1DC0"/>
    <w:rsid w:val="00EC205B"/>
    <w:rsid w:val="00EC249C"/>
    <w:rsid w:val="00EC2AC6"/>
    <w:rsid w:val="00EC2CA9"/>
    <w:rsid w:val="00EC4DA7"/>
    <w:rsid w:val="00ED0318"/>
    <w:rsid w:val="00ED0C11"/>
    <w:rsid w:val="00ED25F4"/>
    <w:rsid w:val="00ED2619"/>
    <w:rsid w:val="00ED2AA7"/>
    <w:rsid w:val="00ED3243"/>
    <w:rsid w:val="00ED37BE"/>
    <w:rsid w:val="00ED4776"/>
    <w:rsid w:val="00ED4D21"/>
    <w:rsid w:val="00ED6CC9"/>
    <w:rsid w:val="00ED722B"/>
    <w:rsid w:val="00ED73AA"/>
    <w:rsid w:val="00ED7FCA"/>
    <w:rsid w:val="00EE404A"/>
    <w:rsid w:val="00EE4E5C"/>
    <w:rsid w:val="00EE58B0"/>
    <w:rsid w:val="00EE7322"/>
    <w:rsid w:val="00EE784F"/>
    <w:rsid w:val="00EF09A7"/>
    <w:rsid w:val="00EF265C"/>
    <w:rsid w:val="00EF3440"/>
    <w:rsid w:val="00EF3842"/>
    <w:rsid w:val="00EF425B"/>
    <w:rsid w:val="00EF5AA9"/>
    <w:rsid w:val="00EF6803"/>
    <w:rsid w:val="00F0237C"/>
    <w:rsid w:val="00F0278D"/>
    <w:rsid w:val="00F02A5D"/>
    <w:rsid w:val="00F0307F"/>
    <w:rsid w:val="00F04415"/>
    <w:rsid w:val="00F05442"/>
    <w:rsid w:val="00F0573B"/>
    <w:rsid w:val="00F11168"/>
    <w:rsid w:val="00F121A2"/>
    <w:rsid w:val="00F1526B"/>
    <w:rsid w:val="00F15C62"/>
    <w:rsid w:val="00F16213"/>
    <w:rsid w:val="00F16AD2"/>
    <w:rsid w:val="00F16B06"/>
    <w:rsid w:val="00F2092E"/>
    <w:rsid w:val="00F20D77"/>
    <w:rsid w:val="00F212E3"/>
    <w:rsid w:val="00F23831"/>
    <w:rsid w:val="00F240AC"/>
    <w:rsid w:val="00F25365"/>
    <w:rsid w:val="00F255A7"/>
    <w:rsid w:val="00F2592F"/>
    <w:rsid w:val="00F2605E"/>
    <w:rsid w:val="00F262EB"/>
    <w:rsid w:val="00F26EFD"/>
    <w:rsid w:val="00F31C9B"/>
    <w:rsid w:val="00F31F58"/>
    <w:rsid w:val="00F3370F"/>
    <w:rsid w:val="00F337ED"/>
    <w:rsid w:val="00F33F0C"/>
    <w:rsid w:val="00F34F0A"/>
    <w:rsid w:val="00F354F3"/>
    <w:rsid w:val="00F36F00"/>
    <w:rsid w:val="00F40E6A"/>
    <w:rsid w:val="00F41512"/>
    <w:rsid w:val="00F41F07"/>
    <w:rsid w:val="00F420DB"/>
    <w:rsid w:val="00F42C02"/>
    <w:rsid w:val="00F431BB"/>
    <w:rsid w:val="00F43574"/>
    <w:rsid w:val="00F43B50"/>
    <w:rsid w:val="00F45E0D"/>
    <w:rsid w:val="00F46EC7"/>
    <w:rsid w:val="00F50BDB"/>
    <w:rsid w:val="00F50C34"/>
    <w:rsid w:val="00F513AF"/>
    <w:rsid w:val="00F51E2A"/>
    <w:rsid w:val="00F5274A"/>
    <w:rsid w:val="00F52958"/>
    <w:rsid w:val="00F545A8"/>
    <w:rsid w:val="00F556AC"/>
    <w:rsid w:val="00F563CA"/>
    <w:rsid w:val="00F569A6"/>
    <w:rsid w:val="00F575D0"/>
    <w:rsid w:val="00F57D05"/>
    <w:rsid w:val="00F60803"/>
    <w:rsid w:val="00F612FE"/>
    <w:rsid w:val="00F62387"/>
    <w:rsid w:val="00F62414"/>
    <w:rsid w:val="00F63E48"/>
    <w:rsid w:val="00F65A62"/>
    <w:rsid w:val="00F66A84"/>
    <w:rsid w:val="00F70599"/>
    <w:rsid w:val="00F70942"/>
    <w:rsid w:val="00F70CD9"/>
    <w:rsid w:val="00F711BC"/>
    <w:rsid w:val="00F71773"/>
    <w:rsid w:val="00F72F4E"/>
    <w:rsid w:val="00F73DE5"/>
    <w:rsid w:val="00F77622"/>
    <w:rsid w:val="00F80107"/>
    <w:rsid w:val="00F8075F"/>
    <w:rsid w:val="00F81823"/>
    <w:rsid w:val="00F8231B"/>
    <w:rsid w:val="00F836A1"/>
    <w:rsid w:val="00F83C9A"/>
    <w:rsid w:val="00F84AE2"/>
    <w:rsid w:val="00F8501C"/>
    <w:rsid w:val="00F85FA8"/>
    <w:rsid w:val="00F86DAB"/>
    <w:rsid w:val="00F875D0"/>
    <w:rsid w:val="00F878C2"/>
    <w:rsid w:val="00F919B5"/>
    <w:rsid w:val="00F91A00"/>
    <w:rsid w:val="00F92A7D"/>
    <w:rsid w:val="00F93CA2"/>
    <w:rsid w:val="00F9459B"/>
    <w:rsid w:val="00F950E2"/>
    <w:rsid w:val="00F958E3"/>
    <w:rsid w:val="00F95FC8"/>
    <w:rsid w:val="00F9607C"/>
    <w:rsid w:val="00F96B2A"/>
    <w:rsid w:val="00F973BD"/>
    <w:rsid w:val="00FA078F"/>
    <w:rsid w:val="00FA2522"/>
    <w:rsid w:val="00FA30F0"/>
    <w:rsid w:val="00FA3EB4"/>
    <w:rsid w:val="00FA4CC4"/>
    <w:rsid w:val="00FA4DC3"/>
    <w:rsid w:val="00FA5015"/>
    <w:rsid w:val="00FA55F9"/>
    <w:rsid w:val="00FA595C"/>
    <w:rsid w:val="00FB0BF9"/>
    <w:rsid w:val="00FB10BE"/>
    <w:rsid w:val="00FB22B2"/>
    <w:rsid w:val="00FB2592"/>
    <w:rsid w:val="00FB4AB6"/>
    <w:rsid w:val="00FB4DA8"/>
    <w:rsid w:val="00FB4F3F"/>
    <w:rsid w:val="00FB655D"/>
    <w:rsid w:val="00FB6AD5"/>
    <w:rsid w:val="00FB7589"/>
    <w:rsid w:val="00FB7D5A"/>
    <w:rsid w:val="00FC1818"/>
    <w:rsid w:val="00FC33F5"/>
    <w:rsid w:val="00FC3B4A"/>
    <w:rsid w:val="00FC4761"/>
    <w:rsid w:val="00FC4B03"/>
    <w:rsid w:val="00FC4F86"/>
    <w:rsid w:val="00FC5B82"/>
    <w:rsid w:val="00FC5C1A"/>
    <w:rsid w:val="00FC674A"/>
    <w:rsid w:val="00FC70D0"/>
    <w:rsid w:val="00FC7AB5"/>
    <w:rsid w:val="00FC7CF2"/>
    <w:rsid w:val="00FC7D7C"/>
    <w:rsid w:val="00FD14B6"/>
    <w:rsid w:val="00FD15F7"/>
    <w:rsid w:val="00FD17D5"/>
    <w:rsid w:val="00FD2BAD"/>
    <w:rsid w:val="00FD392B"/>
    <w:rsid w:val="00FD415D"/>
    <w:rsid w:val="00FD45C7"/>
    <w:rsid w:val="00FD4EA1"/>
    <w:rsid w:val="00FD5169"/>
    <w:rsid w:val="00FD5E2F"/>
    <w:rsid w:val="00FD73F6"/>
    <w:rsid w:val="00FD7A63"/>
    <w:rsid w:val="00FE29A0"/>
    <w:rsid w:val="00FE37B8"/>
    <w:rsid w:val="00FE4DAC"/>
    <w:rsid w:val="00FE51B4"/>
    <w:rsid w:val="00FE6708"/>
    <w:rsid w:val="00FE6A68"/>
    <w:rsid w:val="00FE6B6A"/>
    <w:rsid w:val="00FE71C3"/>
    <w:rsid w:val="00FF0120"/>
    <w:rsid w:val="00FF1696"/>
    <w:rsid w:val="00FF197F"/>
    <w:rsid w:val="00FF215F"/>
    <w:rsid w:val="00FF22AB"/>
    <w:rsid w:val="00FF31C3"/>
    <w:rsid w:val="00FF3387"/>
    <w:rsid w:val="00FF3AFC"/>
    <w:rsid w:val="00FF4B90"/>
    <w:rsid w:val="00FF4DF6"/>
    <w:rsid w:val="00FF60D9"/>
    <w:rsid w:val="00FF6708"/>
    <w:rsid w:val="00FF697B"/>
    <w:rsid w:val="00F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2802"/>
  <w15:chartTrackingRefBased/>
  <w15:docId w15:val="{D1B161FC-D5BF-C748-9216-DFC7FECE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03"/>
    <w:pPr>
      <w:spacing w:line="480" w:lineRule="auto"/>
      <w:ind w:firstLine="720"/>
    </w:pPr>
    <w:rPr>
      <w:rFonts w:ascii="Times New Roman" w:hAnsi="Times New Roman"/>
      <w:sz w:val="24"/>
      <w:lang w:val="en-GB"/>
    </w:rPr>
  </w:style>
  <w:style w:type="paragraph" w:styleId="Heading1">
    <w:name w:val="heading 1"/>
    <w:basedOn w:val="Normal"/>
    <w:next w:val="Normal"/>
    <w:link w:val="Heading1Char"/>
    <w:autoRedefine/>
    <w:uiPriority w:val="9"/>
    <w:qFormat/>
    <w:rsid w:val="00253D7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E3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952"/>
    <w:rPr>
      <w:color w:val="0000FF"/>
      <w:u w:val="single"/>
    </w:rPr>
  </w:style>
  <w:style w:type="character" w:customStyle="1" w:styleId="Heading1Char">
    <w:name w:val="Heading 1 Char"/>
    <w:basedOn w:val="DefaultParagraphFont"/>
    <w:link w:val="Heading1"/>
    <w:uiPriority w:val="9"/>
    <w:rsid w:val="00253D72"/>
    <w:rPr>
      <w:rFonts w:ascii="Times New Roman" w:eastAsiaTheme="majorEastAsia" w:hAnsi="Times New Roman" w:cstheme="majorBidi"/>
      <w:b/>
      <w:color w:val="000000" w:themeColor="text1"/>
      <w:sz w:val="24"/>
      <w:szCs w:val="32"/>
      <w:lang w:val="en-GB"/>
    </w:rPr>
  </w:style>
  <w:style w:type="paragraph" w:styleId="Header">
    <w:name w:val="header"/>
    <w:basedOn w:val="Normal"/>
    <w:link w:val="HeaderChar"/>
    <w:uiPriority w:val="99"/>
    <w:unhideWhenUsed/>
    <w:rsid w:val="00901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437"/>
    <w:rPr>
      <w:rFonts w:ascii="Times New Roman" w:hAnsi="Times New Roman"/>
      <w:sz w:val="24"/>
    </w:rPr>
  </w:style>
  <w:style w:type="paragraph" w:styleId="Footer">
    <w:name w:val="footer"/>
    <w:basedOn w:val="Normal"/>
    <w:link w:val="FooterChar"/>
    <w:uiPriority w:val="99"/>
    <w:unhideWhenUsed/>
    <w:rsid w:val="00901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437"/>
    <w:rPr>
      <w:rFonts w:ascii="Times New Roman" w:hAnsi="Times New Roman"/>
      <w:sz w:val="24"/>
    </w:rPr>
  </w:style>
  <w:style w:type="paragraph" w:styleId="TOCHeading">
    <w:name w:val="TOC Heading"/>
    <w:basedOn w:val="Heading1"/>
    <w:next w:val="Normal"/>
    <w:uiPriority w:val="39"/>
    <w:unhideWhenUsed/>
    <w:qFormat/>
    <w:rsid w:val="00312556"/>
    <w:pPr>
      <w:spacing w:line="259" w:lineRule="auto"/>
      <w:ind w:firstLine="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12556"/>
    <w:pPr>
      <w:spacing w:after="100"/>
    </w:pPr>
  </w:style>
  <w:style w:type="character" w:customStyle="1" w:styleId="Heading2Char">
    <w:name w:val="Heading 2 Char"/>
    <w:basedOn w:val="DefaultParagraphFont"/>
    <w:link w:val="Heading2"/>
    <w:uiPriority w:val="9"/>
    <w:rsid w:val="006E3DB2"/>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6E3DB2"/>
    <w:rPr>
      <w:color w:val="808080"/>
    </w:rPr>
  </w:style>
  <w:style w:type="paragraph" w:styleId="ListParagraph">
    <w:name w:val="List Paragraph"/>
    <w:basedOn w:val="Normal"/>
    <w:uiPriority w:val="34"/>
    <w:qFormat/>
    <w:rsid w:val="006E3DB2"/>
    <w:pPr>
      <w:ind w:left="720"/>
      <w:contextualSpacing/>
    </w:pPr>
  </w:style>
  <w:style w:type="paragraph" w:customStyle="1" w:styleId="s8">
    <w:name w:val="s8"/>
    <w:basedOn w:val="Normal"/>
    <w:rsid w:val="0030278B"/>
    <w:pPr>
      <w:spacing w:before="100" w:beforeAutospacing="1" w:after="100" w:afterAutospacing="1" w:line="240" w:lineRule="auto"/>
      <w:ind w:firstLine="0"/>
    </w:pPr>
    <w:rPr>
      <w:rFonts w:eastAsiaTheme="minorEastAsia" w:cs="Times New Roman"/>
      <w:szCs w:val="24"/>
      <w:lang w:val="en-JM" w:eastAsia="en-GB"/>
    </w:rPr>
  </w:style>
  <w:style w:type="character" w:customStyle="1" w:styleId="apple-converted-space">
    <w:name w:val="apple-converted-space"/>
    <w:basedOn w:val="DefaultParagraphFont"/>
    <w:rsid w:val="0030278B"/>
  </w:style>
  <w:style w:type="character" w:customStyle="1" w:styleId="s40">
    <w:name w:val="s40"/>
    <w:basedOn w:val="DefaultParagraphFont"/>
    <w:rsid w:val="0030278B"/>
  </w:style>
  <w:style w:type="paragraph" w:styleId="NormalWeb">
    <w:name w:val="Normal (Web)"/>
    <w:basedOn w:val="Normal"/>
    <w:uiPriority w:val="99"/>
    <w:semiHidden/>
    <w:unhideWhenUsed/>
    <w:rsid w:val="00A57971"/>
    <w:pPr>
      <w:spacing w:before="100" w:beforeAutospacing="1" w:after="100" w:afterAutospacing="1" w:line="240" w:lineRule="auto"/>
      <w:ind w:firstLine="0"/>
    </w:pPr>
    <w:rPr>
      <w:rFonts w:eastAsiaTheme="minorEastAsia" w:cs="Times New Roman"/>
      <w:szCs w:val="24"/>
      <w:lang w:val="en-JM" w:eastAsia="en-GB"/>
    </w:rPr>
  </w:style>
  <w:style w:type="character" w:customStyle="1" w:styleId="s2">
    <w:name w:val="s2"/>
    <w:basedOn w:val="DefaultParagraphFont"/>
    <w:rsid w:val="00A57971"/>
  </w:style>
  <w:style w:type="character" w:customStyle="1" w:styleId="s38">
    <w:name w:val="s38"/>
    <w:basedOn w:val="DefaultParagraphFont"/>
    <w:rsid w:val="00A57971"/>
  </w:style>
  <w:style w:type="character" w:customStyle="1" w:styleId="s39">
    <w:name w:val="s39"/>
    <w:basedOn w:val="DefaultParagraphFont"/>
    <w:rsid w:val="00A57971"/>
  </w:style>
  <w:style w:type="paragraph" w:customStyle="1" w:styleId="s23">
    <w:name w:val="s23"/>
    <w:basedOn w:val="Normal"/>
    <w:rsid w:val="00F20D77"/>
    <w:pPr>
      <w:spacing w:before="100" w:beforeAutospacing="1" w:after="100" w:afterAutospacing="1" w:line="240" w:lineRule="auto"/>
      <w:ind w:firstLine="0"/>
    </w:pPr>
    <w:rPr>
      <w:rFonts w:eastAsiaTheme="minorEastAsia" w:cs="Times New Roman"/>
      <w:szCs w:val="24"/>
      <w:lang w:val="en-JM" w:eastAsia="en-GB"/>
    </w:rPr>
  </w:style>
  <w:style w:type="character" w:customStyle="1" w:styleId="s22">
    <w:name w:val="s22"/>
    <w:basedOn w:val="DefaultParagraphFont"/>
    <w:rsid w:val="00F20D77"/>
  </w:style>
  <w:style w:type="character" w:customStyle="1" w:styleId="s24">
    <w:name w:val="s24"/>
    <w:basedOn w:val="DefaultParagraphFont"/>
    <w:rsid w:val="00F20D77"/>
  </w:style>
  <w:style w:type="paragraph" w:customStyle="1" w:styleId="s25">
    <w:name w:val="s25"/>
    <w:basedOn w:val="Normal"/>
    <w:rsid w:val="00F20D77"/>
    <w:pPr>
      <w:spacing w:before="100" w:beforeAutospacing="1" w:after="100" w:afterAutospacing="1" w:line="240" w:lineRule="auto"/>
      <w:ind w:firstLine="0"/>
    </w:pPr>
    <w:rPr>
      <w:rFonts w:eastAsiaTheme="minorEastAsia" w:cs="Times New Roman"/>
      <w:szCs w:val="24"/>
      <w:lang w:val="en-JM" w:eastAsia="en-GB"/>
    </w:rPr>
  </w:style>
  <w:style w:type="character" w:customStyle="1" w:styleId="s26">
    <w:name w:val="s26"/>
    <w:basedOn w:val="DefaultParagraphFont"/>
    <w:rsid w:val="00F20D77"/>
  </w:style>
  <w:style w:type="character" w:customStyle="1" w:styleId="s28">
    <w:name w:val="s28"/>
    <w:basedOn w:val="DefaultParagraphFont"/>
    <w:rsid w:val="00F20D77"/>
  </w:style>
  <w:style w:type="character" w:customStyle="1" w:styleId="s29">
    <w:name w:val="s29"/>
    <w:basedOn w:val="DefaultParagraphFont"/>
    <w:rsid w:val="00F20D77"/>
  </w:style>
  <w:style w:type="character" w:customStyle="1" w:styleId="s30">
    <w:name w:val="s30"/>
    <w:basedOn w:val="DefaultParagraphFont"/>
    <w:rsid w:val="00F20D77"/>
  </w:style>
  <w:style w:type="paragraph" w:customStyle="1" w:styleId="s32">
    <w:name w:val="s32"/>
    <w:basedOn w:val="Normal"/>
    <w:rsid w:val="00F20D77"/>
    <w:pPr>
      <w:spacing w:before="100" w:beforeAutospacing="1" w:after="100" w:afterAutospacing="1" w:line="240" w:lineRule="auto"/>
      <w:ind w:firstLine="0"/>
    </w:pPr>
    <w:rPr>
      <w:rFonts w:eastAsiaTheme="minorEastAsia" w:cs="Times New Roman"/>
      <w:szCs w:val="24"/>
      <w:lang w:val="en-JM" w:eastAsia="en-GB"/>
    </w:rPr>
  </w:style>
  <w:style w:type="paragraph" w:customStyle="1" w:styleId="s41">
    <w:name w:val="s41"/>
    <w:basedOn w:val="Normal"/>
    <w:rsid w:val="006328E4"/>
    <w:pPr>
      <w:spacing w:before="100" w:beforeAutospacing="1" w:after="100" w:afterAutospacing="1" w:line="240" w:lineRule="auto"/>
      <w:ind w:firstLine="0"/>
    </w:pPr>
    <w:rPr>
      <w:rFonts w:eastAsiaTheme="minorEastAsia" w:cs="Times New Roman"/>
      <w:szCs w:val="24"/>
      <w:lang w:val="en-JM" w:eastAsia="en-GB"/>
    </w:rPr>
  </w:style>
  <w:style w:type="character" w:styleId="UnresolvedMention">
    <w:name w:val="Unresolved Mention"/>
    <w:basedOn w:val="DefaultParagraphFont"/>
    <w:uiPriority w:val="99"/>
    <w:semiHidden/>
    <w:unhideWhenUsed/>
    <w:rsid w:val="00EA2A41"/>
    <w:rPr>
      <w:color w:val="605E5C"/>
      <w:shd w:val="clear" w:color="auto" w:fill="E1DFDD"/>
    </w:rPr>
  </w:style>
  <w:style w:type="character" w:styleId="Emphasis">
    <w:name w:val="Emphasis"/>
    <w:basedOn w:val="DefaultParagraphFont"/>
    <w:uiPriority w:val="20"/>
    <w:qFormat/>
    <w:rsid w:val="00BA2FF6"/>
    <w:rPr>
      <w:i/>
      <w:iCs/>
    </w:rPr>
  </w:style>
  <w:style w:type="character" w:customStyle="1" w:styleId="byline">
    <w:name w:val="byline"/>
    <w:basedOn w:val="DefaultParagraphFont"/>
    <w:rsid w:val="00BA2FF6"/>
  </w:style>
  <w:style w:type="character" w:customStyle="1" w:styleId="author">
    <w:name w:val="author"/>
    <w:basedOn w:val="DefaultParagraphFont"/>
    <w:rsid w:val="00BA2FF6"/>
  </w:style>
  <w:style w:type="character" w:customStyle="1" w:styleId="author-name">
    <w:name w:val="author-name"/>
    <w:basedOn w:val="DefaultParagraphFont"/>
    <w:rsid w:val="00BA2FF6"/>
  </w:style>
  <w:style w:type="character" w:customStyle="1" w:styleId="normaltextrun">
    <w:name w:val="normaltextrun"/>
    <w:basedOn w:val="DefaultParagraphFont"/>
    <w:rsid w:val="00BA2FF6"/>
  </w:style>
  <w:style w:type="character" w:customStyle="1" w:styleId="eop">
    <w:name w:val="eop"/>
    <w:basedOn w:val="DefaultParagraphFont"/>
    <w:rsid w:val="00BA2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5893">
      <w:bodyDiv w:val="1"/>
      <w:marLeft w:val="0"/>
      <w:marRight w:val="0"/>
      <w:marTop w:val="0"/>
      <w:marBottom w:val="0"/>
      <w:divBdr>
        <w:top w:val="none" w:sz="0" w:space="0" w:color="auto"/>
        <w:left w:val="none" w:sz="0" w:space="0" w:color="auto"/>
        <w:bottom w:val="none" w:sz="0" w:space="0" w:color="auto"/>
        <w:right w:val="none" w:sz="0" w:space="0" w:color="auto"/>
      </w:divBdr>
    </w:div>
    <w:div w:id="241646778">
      <w:bodyDiv w:val="1"/>
      <w:marLeft w:val="0"/>
      <w:marRight w:val="0"/>
      <w:marTop w:val="0"/>
      <w:marBottom w:val="0"/>
      <w:divBdr>
        <w:top w:val="none" w:sz="0" w:space="0" w:color="auto"/>
        <w:left w:val="none" w:sz="0" w:space="0" w:color="auto"/>
        <w:bottom w:val="none" w:sz="0" w:space="0" w:color="auto"/>
        <w:right w:val="none" w:sz="0" w:space="0" w:color="auto"/>
      </w:divBdr>
    </w:div>
    <w:div w:id="363874200">
      <w:bodyDiv w:val="1"/>
      <w:marLeft w:val="0"/>
      <w:marRight w:val="0"/>
      <w:marTop w:val="0"/>
      <w:marBottom w:val="0"/>
      <w:divBdr>
        <w:top w:val="none" w:sz="0" w:space="0" w:color="auto"/>
        <w:left w:val="none" w:sz="0" w:space="0" w:color="auto"/>
        <w:bottom w:val="none" w:sz="0" w:space="0" w:color="auto"/>
        <w:right w:val="none" w:sz="0" w:space="0" w:color="auto"/>
      </w:divBdr>
    </w:div>
    <w:div w:id="715550067">
      <w:bodyDiv w:val="1"/>
      <w:marLeft w:val="0"/>
      <w:marRight w:val="0"/>
      <w:marTop w:val="0"/>
      <w:marBottom w:val="0"/>
      <w:divBdr>
        <w:top w:val="none" w:sz="0" w:space="0" w:color="auto"/>
        <w:left w:val="none" w:sz="0" w:space="0" w:color="auto"/>
        <w:bottom w:val="none" w:sz="0" w:space="0" w:color="auto"/>
        <w:right w:val="none" w:sz="0" w:space="0" w:color="auto"/>
      </w:divBdr>
    </w:div>
    <w:div w:id="735587644">
      <w:bodyDiv w:val="1"/>
      <w:marLeft w:val="0"/>
      <w:marRight w:val="0"/>
      <w:marTop w:val="0"/>
      <w:marBottom w:val="0"/>
      <w:divBdr>
        <w:top w:val="none" w:sz="0" w:space="0" w:color="auto"/>
        <w:left w:val="none" w:sz="0" w:space="0" w:color="auto"/>
        <w:bottom w:val="none" w:sz="0" w:space="0" w:color="auto"/>
        <w:right w:val="none" w:sz="0" w:space="0" w:color="auto"/>
      </w:divBdr>
    </w:div>
    <w:div w:id="746221177">
      <w:bodyDiv w:val="1"/>
      <w:marLeft w:val="0"/>
      <w:marRight w:val="0"/>
      <w:marTop w:val="0"/>
      <w:marBottom w:val="0"/>
      <w:divBdr>
        <w:top w:val="none" w:sz="0" w:space="0" w:color="auto"/>
        <w:left w:val="none" w:sz="0" w:space="0" w:color="auto"/>
        <w:bottom w:val="none" w:sz="0" w:space="0" w:color="auto"/>
        <w:right w:val="none" w:sz="0" w:space="0" w:color="auto"/>
      </w:divBdr>
    </w:div>
    <w:div w:id="979000224">
      <w:bodyDiv w:val="1"/>
      <w:marLeft w:val="0"/>
      <w:marRight w:val="0"/>
      <w:marTop w:val="0"/>
      <w:marBottom w:val="0"/>
      <w:divBdr>
        <w:top w:val="none" w:sz="0" w:space="0" w:color="auto"/>
        <w:left w:val="none" w:sz="0" w:space="0" w:color="auto"/>
        <w:bottom w:val="none" w:sz="0" w:space="0" w:color="auto"/>
        <w:right w:val="none" w:sz="0" w:space="0" w:color="auto"/>
      </w:divBdr>
      <w:divsChild>
        <w:div w:id="697704743">
          <w:marLeft w:val="0"/>
          <w:marRight w:val="0"/>
          <w:marTop w:val="0"/>
          <w:marBottom w:val="0"/>
          <w:divBdr>
            <w:top w:val="none" w:sz="0" w:space="0" w:color="auto"/>
            <w:left w:val="none" w:sz="0" w:space="0" w:color="auto"/>
            <w:bottom w:val="none" w:sz="0" w:space="0" w:color="auto"/>
            <w:right w:val="none" w:sz="0" w:space="0" w:color="auto"/>
          </w:divBdr>
        </w:div>
        <w:div w:id="904607625">
          <w:marLeft w:val="0"/>
          <w:marRight w:val="0"/>
          <w:marTop w:val="0"/>
          <w:marBottom w:val="0"/>
          <w:divBdr>
            <w:top w:val="none" w:sz="0" w:space="0" w:color="auto"/>
            <w:left w:val="none" w:sz="0" w:space="0" w:color="auto"/>
            <w:bottom w:val="none" w:sz="0" w:space="0" w:color="auto"/>
            <w:right w:val="none" w:sz="0" w:space="0" w:color="auto"/>
          </w:divBdr>
          <w:divsChild>
            <w:div w:id="1377924399">
              <w:marLeft w:val="547"/>
              <w:marRight w:val="0"/>
              <w:marTop w:val="154"/>
              <w:marBottom w:val="0"/>
              <w:divBdr>
                <w:top w:val="none" w:sz="0" w:space="0" w:color="auto"/>
                <w:left w:val="none" w:sz="0" w:space="0" w:color="auto"/>
                <w:bottom w:val="none" w:sz="0" w:space="0" w:color="auto"/>
                <w:right w:val="none" w:sz="0" w:space="0" w:color="auto"/>
              </w:divBdr>
            </w:div>
          </w:divsChild>
        </w:div>
        <w:div w:id="962540127">
          <w:marLeft w:val="0"/>
          <w:marRight w:val="0"/>
          <w:marTop w:val="0"/>
          <w:marBottom w:val="0"/>
          <w:divBdr>
            <w:top w:val="none" w:sz="0" w:space="0" w:color="auto"/>
            <w:left w:val="none" w:sz="0" w:space="0" w:color="auto"/>
            <w:bottom w:val="none" w:sz="0" w:space="0" w:color="auto"/>
            <w:right w:val="none" w:sz="0" w:space="0" w:color="auto"/>
          </w:divBdr>
          <w:divsChild>
            <w:div w:id="224294638">
              <w:marLeft w:val="835"/>
              <w:marRight w:val="0"/>
              <w:marTop w:val="115"/>
              <w:marBottom w:val="0"/>
              <w:divBdr>
                <w:top w:val="none" w:sz="0" w:space="0" w:color="auto"/>
                <w:left w:val="none" w:sz="0" w:space="0" w:color="auto"/>
                <w:bottom w:val="none" w:sz="0" w:space="0" w:color="auto"/>
                <w:right w:val="none" w:sz="0" w:space="0" w:color="auto"/>
              </w:divBdr>
            </w:div>
          </w:divsChild>
        </w:div>
        <w:div w:id="587156125">
          <w:marLeft w:val="0"/>
          <w:marRight w:val="0"/>
          <w:marTop w:val="0"/>
          <w:marBottom w:val="0"/>
          <w:divBdr>
            <w:top w:val="none" w:sz="0" w:space="0" w:color="auto"/>
            <w:left w:val="none" w:sz="0" w:space="0" w:color="auto"/>
            <w:bottom w:val="none" w:sz="0" w:space="0" w:color="auto"/>
            <w:right w:val="none" w:sz="0" w:space="0" w:color="auto"/>
          </w:divBdr>
          <w:divsChild>
            <w:div w:id="699865547">
              <w:marLeft w:val="605"/>
              <w:marRight w:val="0"/>
              <w:marTop w:val="154"/>
              <w:marBottom w:val="0"/>
              <w:divBdr>
                <w:top w:val="none" w:sz="0" w:space="0" w:color="auto"/>
                <w:left w:val="none" w:sz="0" w:space="0" w:color="auto"/>
                <w:bottom w:val="none" w:sz="0" w:space="0" w:color="auto"/>
                <w:right w:val="none" w:sz="0" w:space="0" w:color="auto"/>
              </w:divBdr>
            </w:div>
          </w:divsChild>
        </w:div>
      </w:divsChild>
    </w:div>
    <w:div w:id="1155879262">
      <w:bodyDiv w:val="1"/>
      <w:marLeft w:val="0"/>
      <w:marRight w:val="0"/>
      <w:marTop w:val="0"/>
      <w:marBottom w:val="0"/>
      <w:divBdr>
        <w:top w:val="none" w:sz="0" w:space="0" w:color="auto"/>
        <w:left w:val="none" w:sz="0" w:space="0" w:color="auto"/>
        <w:bottom w:val="none" w:sz="0" w:space="0" w:color="auto"/>
        <w:right w:val="none" w:sz="0" w:space="0" w:color="auto"/>
      </w:divBdr>
    </w:div>
    <w:div w:id="1219392028">
      <w:bodyDiv w:val="1"/>
      <w:marLeft w:val="0"/>
      <w:marRight w:val="0"/>
      <w:marTop w:val="0"/>
      <w:marBottom w:val="0"/>
      <w:divBdr>
        <w:top w:val="none" w:sz="0" w:space="0" w:color="auto"/>
        <w:left w:val="none" w:sz="0" w:space="0" w:color="auto"/>
        <w:bottom w:val="none" w:sz="0" w:space="0" w:color="auto"/>
        <w:right w:val="none" w:sz="0" w:space="0" w:color="auto"/>
      </w:divBdr>
    </w:div>
    <w:div w:id="1417703229">
      <w:bodyDiv w:val="1"/>
      <w:marLeft w:val="0"/>
      <w:marRight w:val="0"/>
      <w:marTop w:val="0"/>
      <w:marBottom w:val="0"/>
      <w:divBdr>
        <w:top w:val="none" w:sz="0" w:space="0" w:color="auto"/>
        <w:left w:val="none" w:sz="0" w:space="0" w:color="auto"/>
        <w:bottom w:val="none" w:sz="0" w:space="0" w:color="auto"/>
        <w:right w:val="none" w:sz="0" w:space="0" w:color="auto"/>
      </w:divBdr>
    </w:div>
    <w:div w:id="1460487622">
      <w:bodyDiv w:val="1"/>
      <w:marLeft w:val="0"/>
      <w:marRight w:val="0"/>
      <w:marTop w:val="0"/>
      <w:marBottom w:val="0"/>
      <w:divBdr>
        <w:top w:val="none" w:sz="0" w:space="0" w:color="auto"/>
        <w:left w:val="none" w:sz="0" w:space="0" w:color="auto"/>
        <w:bottom w:val="none" w:sz="0" w:space="0" w:color="auto"/>
        <w:right w:val="none" w:sz="0" w:space="0" w:color="auto"/>
      </w:divBdr>
    </w:div>
    <w:div w:id="1671758241">
      <w:bodyDiv w:val="1"/>
      <w:marLeft w:val="0"/>
      <w:marRight w:val="0"/>
      <w:marTop w:val="0"/>
      <w:marBottom w:val="0"/>
      <w:divBdr>
        <w:top w:val="none" w:sz="0" w:space="0" w:color="auto"/>
        <w:left w:val="none" w:sz="0" w:space="0" w:color="auto"/>
        <w:bottom w:val="none" w:sz="0" w:space="0" w:color="auto"/>
        <w:right w:val="none" w:sz="0" w:space="0" w:color="auto"/>
      </w:divBdr>
    </w:div>
    <w:div w:id="1714114435">
      <w:bodyDiv w:val="1"/>
      <w:marLeft w:val="0"/>
      <w:marRight w:val="0"/>
      <w:marTop w:val="0"/>
      <w:marBottom w:val="0"/>
      <w:divBdr>
        <w:top w:val="none" w:sz="0" w:space="0" w:color="auto"/>
        <w:left w:val="none" w:sz="0" w:space="0" w:color="auto"/>
        <w:bottom w:val="none" w:sz="0" w:space="0" w:color="auto"/>
        <w:right w:val="none" w:sz="0" w:space="0" w:color="auto"/>
      </w:divBdr>
    </w:div>
    <w:div w:id="1982495019">
      <w:bodyDiv w:val="1"/>
      <w:marLeft w:val="0"/>
      <w:marRight w:val="0"/>
      <w:marTop w:val="0"/>
      <w:marBottom w:val="0"/>
      <w:divBdr>
        <w:top w:val="none" w:sz="0" w:space="0" w:color="auto"/>
        <w:left w:val="none" w:sz="0" w:space="0" w:color="auto"/>
        <w:bottom w:val="none" w:sz="0" w:space="0" w:color="auto"/>
        <w:right w:val="none" w:sz="0" w:space="0" w:color="auto"/>
      </w:divBdr>
    </w:div>
    <w:div w:id="21416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hyperlink" Target="https://www.imf.org/en/Blogs/authors?author=Tobias%20Adrian" TargetMode="External"/><Relationship Id="rId26" Type="http://schemas.openxmlformats.org/officeDocument/2006/relationships/hyperlink" Target="https://www.investopedia.com/articles/forex/080613/effects-currency-fluctuations-economy.asp" TargetMode="External"/><Relationship Id="rId3" Type="http://schemas.openxmlformats.org/officeDocument/2006/relationships/customXml" Target="../customXml/item3.xml"/><Relationship Id="rId21" Type="http://schemas.openxmlformats.org/officeDocument/2006/relationships/hyperlink" Target="https://corporatefinanceinstitute.com/resources/fixed-income/treasury-bills-t-bills/"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chart" Target="charts/chart4.xml"/><Relationship Id="rId25" Type="http://schemas.openxmlformats.org/officeDocument/2006/relationships/hyperlink" Target="https://www.economicshelp.org/blog/1605/economics/higher-inflation-and-exchange-rates/"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www.imf.org/en/Blogs/Articles/2022/08/10/central-banks-hike-interest-rates-in-sync-to-tame-inflation-pressur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economicshelp.org/blog/author/tejvan/" TargetMode="Externa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hyperlink" Target="https://www.mckinsey.com/featured-insights/mckinsey-explainers/what-is-inflation" TargetMode="External"/><Relationship Id="rId28" Type="http://schemas.openxmlformats.org/officeDocument/2006/relationships/hyperlink" Target="https://economictimes.indiatimes.com/definition/treasury-bills" TargetMode="External"/><Relationship Id="rId10" Type="http://schemas.openxmlformats.org/officeDocument/2006/relationships/endnotes" Target="endnotes.xml"/><Relationship Id="rId19" Type="http://schemas.openxmlformats.org/officeDocument/2006/relationships/hyperlink" Target="https://www.imf.org/en/Blogs/authors?author=Fabio%20Natalucci"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s://www.investopedia.com/ask/answers/022415/how-does-inflation-affect-exchange-rate-between-two-nations.asp" TargetMode="External"/><Relationship Id="rId27" Type="http://schemas.openxmlformats.org/officeDocument/2006/relationships/hyperlink" Target="https://doi.org/10.1007/978-1-4419-1698-3_251"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chade\OneDrive%20-%20The%20University%20of%20the%20West%20Indies,%20Mona%20Campus\econ3049%20group%20assigment\Econometrics%20group%20project%20(version%201).xlsb.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chade\OneDrive%20-%20The%20University%20of%20the%20West%20Indies,%20Mona%20Campus\econ3049%20group%20assigment\Econometrics%20group%20project%20(version%201).xlsb.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chade\OneDrive%20-%20The%20University%20of%20the%20West%20Indies,%20Mona%20Campus\econ3049%20group%20assigment\Econometrics%20group%20project%20(version%201).xlsb.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chade\OneDrive%20-%20The%20University%20of%20the%20West%20Indies,%20Mona%20Campus\econ3049%20group%20assigment\Econometrics%20group%20project%20(version%201).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TBRate  Line Fit  Plot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1"/>
          <c:order val="1"/>
          <c:tx>
            <c:v>Predicted InRate </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0"/>
          </c:trendline>
          <c:xVal>
            <c:numRef>
              <c:f>'Data for Regression'!$C$2:$C$26</c:f>
              <c:numCache>
                <c:formatCode>0.00</c:formatCode>
                <c:ptCount val="25"/>
                <c:pt idx="0">
                  <c:v>1.8499099999999999</c:v>
                </c:pt>
                <c:pt idx="1">
                  <c:v>1.0786199999999999</c:v>
                </c:pt>
                <c:pt idx="2">
                  <c:v>1.77552</c:v>
                </c:pt>
                <c:pt idx="3">
                  <c:v>1.27928</c:v>
                </c:pt>
                <c:pt idx="4">
                  <c:v>1.0990500000000001</c:v>
                </c:pt>
                <c:pt idx="5">
                  <c:v>1.1299999999999999</c:v>
                </c:pt>
                <c:pt idx="6">
                  <c:v>1.1436299999999999</c:v>
                </c:pt>
                <c:pt idx="7">
                  <c:v>0.97528999999999999</c:v>
                </c:pt>
                <c:pt idx="8">
                  <c:v>0.78217999999999999</c:v>
                </c:pt>
                <c:pt idx="9">
                  <c:v>0.76741000000000004</c:v>
                </c:pt>
                <c:pt idx="10">
                  <c:v>0.74226999999999999</c:v>
                </c:pt>
                <c:pt idx="11">
                  <c:v>1.5283100000000001</c:v>
                </c:pt>
                <c:pt idx="12">
                  <c:v>1.23475</c:v>
                </c:pt>
                <c:pt idx="13">
                  <c:v>1.93564</c:v>
                </c:pt>
                <c:pt idx="14">
                  <c:v>0.94155999999999995</c:v>
                </c:pt>
                <c:pt idx="15">
                  <c:v>1.0499400000000001</c:v>
                </c:pt>
                <c:pt idx="16">
                  <c:v>0.94074999999999998</c:v>
                </c:pt>
                <c:pt idx="17">
                  <c:v>0.87704000000000004</c:v>
                </c:pt>
                <c:pt idx="18">
                  <c:v>1.4116</c:v>
                </c:pt>
                <c:pt idx="19">
                  <c:v>2.1652399999999998</c:v>
                </c:pt>
                <c:pt idx="20">
                  <c:v>3.5907200000000001</c:v>
                </c:pt>
                <c:pt idx="21">
                  <c:v>4.0924699999999996</c:v>
                </c:pt>
                <c:pt idx="22">
                  <c:v>4.16831</c:v>
                </c:pt>
                <c:pt idx="23">
                  <c:v>3.59233</c:v>
                </c:pt>
                <c:pt idx="24">
                  <c:v>6.1238200000000003</c:v>
                </c:pt>
              </c:numCache>
            </c:numRef>
          </c:xVal>
          <c:yVal>
            <c:numRef>
              <c:f>SLR!$B$25:$B$49</c:f>
              <c:numCache>
                <c:formatCode>General</c:formatCode>
                <c:ptCount val="25"/>
                <c:pt idx="0">
                  <c:v>6.132968455214364</c:v>
                </c:pt>
                <c:pt idx="1">
                  <c:v>5.1841727884022015</c:v>
                </c:pt>
                <c:pt idx="2">
                  <c:v>6.0414582454953774</c:v>
                </c:pt>
                <c:pt idx="3">
                  <c:v>5.4310129373766838</c:v>
                </c:pt>
                <c:pt idx="4">
                  <c:v>5.2093045747250795</c:v>
                </c:pt>
                <c:pt idx="5">
                  <c:v>5.2473774472993853</c:v>
                </c:pt>
                <c:pt idx="6">
                  <c:v>5.2641442729274237</c:v>
                </c:pt>
                <c:pt idx="7">
                  <c:v>5.0570622900790019</c:v>
                </c:pt>
                <c:pt idx="8">
                  <c:v>4.819509707758348</c:v>
                </c:pt>
                <c:pt idx="9">
                  <c:v>4.8013405210726461</c:v>
                </c:pt>
                <c:pt idx="10">
                  <c:v>4.7704147693273127</c:v>
                </c:pt>
                <c:pt idx="11">
                  <c:v>5.7373550199996046</c:v>
                </c:pt>
                <c:pt idx="12">
                  <c:v>5.3762347462382722</c:v>
                </c:pt>
                <c:pt idx="13">
                  <c:v>6.2384284670332733</c:v>
                </c:pt>
                <c:pt idx="14">
                  <c:v>5.0155696247500412</c:v>
                </c:pt>
                <c:pt idx="15">
                  <c:v>5.1488923365304373</c:v>
                </c:pt>
                <c:pt idx="16">
                  <c:v>5.0145732103143317</c:v>
                </c:pt>
                <c:pt idx="17">
                  <c:v>4.9362009094513581</c:v>
                </c:pt>
                <c:pt idx="18">
                  <c:v>5.5937852313680301</c:v>
                </c:pt>
                <c:pt idx="19">
                  <c:v>6.5208689046119694</c:v>
                </c:pt>
                <c:pt idx="20">
                  <c:v>8.2744106945060452</c:v>
                </c:pt>
                <c:pt idx="21">
                  <c:v>8.8916340810701158</c:v>
                </c:pt>
                <c:pt idx="22">
                  <c:v>8.9849279956431474</c:v>
                </c:pt>
                <c:pt idx="23">
                  <c:v>8.2763912219646762</c:v>
                </c:pt>
                <c:pt idx="24">
                  <c:v>11.390481567461599</c:v>
                </c:pt>
              </c:numCache>
            </c:numRef>
          </c:yVal>
          <c:smooth val="0"/>
          <c:extLst>
            <c:ext xmlns:c16="http://schemas.microsoft.com/office/drawing/2014/chart" uri="{C3380CC4-5D6E-409C-BE32-E72D297353CC}">
              <c16:uniqueId val="{00000001-DD3C-4A20-86CC-E1CC871A5F5E}"/>
            </c:ext>
          </c:extLst>
        </c:ser>
        <c:dLbls>
          <c:showLegendKey val="0"/>
          <c:showVal val="0"/>
          <c:showCatName val="0"/>
          <c:showSerName val="0"/>
          <c:showPercent val="0"/>
          <c:showBubbleSize val="0"/>
        </c:dLbls>
        <c:axId val="1032058224"/>
        <c:axId val="1032074864"/>
        <c:extLst>
          <c:ext xmlns:c15="http://schemas.microsoft.com/office/drawing/2012/chart" uri="{02D57815-91ED-43cb-92C2-25804820EDAC}">
            <c15:filteredScatterSeries>
              <c15:ser>
                <c:idx val="0"/>
                <c:order val="0"/>
                <c:tx>
                  <c:v>InRate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extLst>
                      <c:ext uri="{02D57815-91ED-43cb-92C2-25804820EDAC}">
                        <c15:formulaRef>
                          <c15:sqref>'Data for Regression'!$C$2:$C$26</c15:sqref>
                        </c15:formulaRef>
                      </c:ext>
                    </c:extLst>
                    <c:numCache>
                      <c:formatCode>0.00</c:formatCode>
                      <c:ptCount val="25"/>
                      <c:pt idx="0">
                        <c:v>1.8499099999999999</c:v>
                      </c:pt>
                      <c:pt idx="1">
                        <c:v>1.0786199999999999</c:v>
                      </c:pt>
                      <c:pt idx="2">
                        <c:v>1.77552</c:v>
                      </c:pt>
                      <c:pt idx="3">
                        <c:v>1.27928</c:v>
                      </c:pt>
                      <c:pt idx="4">
                        <c:v>1.0990500000000001</c:v>
                      </c:pt>
                      <c:pt idx="5">
                        <c:v>1.1299999999999999</c:v>
                      </c:pt>
                      <c:pt idx="6">
                        <c:v>1.1436299999999999</c:v>
                      </c:pt>
                      <c:pt idx="7">
                        <c:v>0.97528999999999999</c:v>
                      </c:pt>
                      <c:pt idx="8">
                        <c:v>0.78217999999999999</c:v>
                      </c:pt>
                      <c:pt idx="9">
                        <c:v>0.76741000000000004</c:v>
                      </c:pt>
                      <c:pt idx="10">
                        <c:v>0.74226999999999999</c:v>
                      </c:pt>
                      <c:pt idx="11">
                        <c:v>1.5283100000000001</c:v>
                      </c:pt>
                      <c:pt idx="12">
                        <c:v>1.23475</c:v>
                      </c:pt>
                      <c:pt idx="13">
                        <c:v>1.93564</c:v>
                      </c:pt>
                      <c:pt idx="14">
                        <c:v>0.94155999999999995</c:v>
                      </c:pt>
                      <c:pt idx="15">
                        <c:v>1.0499400000000001</c:v>
                      </c:pt>
                      <c:pt idx="16">
                        <c:v>0.94074999999999998</c:v>
                      </c:pt>
                      <c:pt idx="17">
                        <c:v>0.87704000000000004</c:v>
                      </c:pt>
                      <c:pt idx="18">
                        <c:v>1.4116</c:v>
                      </c:pt>
                      <c:pt idx="19">
                        <c:v>2.1652399999999998</c:v>
                      </c:pt>
                      <c:pt idx="20">
                        <c:v>3.5907200000000001</c:v>
                      </c:pt>
                      <c:pt idx="21">
                        <c:v>4.0924699999999996</c:v>
                      </c:pt>
                      <c:pt idx="22">
                        <c:v>4.16831</c:v>
                      </c:pt>
                      <c:pt idx="23">
                        <c:v>3.59233</c:v>
                      </c:pt>
                      <c:pt idx="24">
                        <c:v>6.1238200000000003</c:v>
                      </c:pt>
                    </c:numCache>
                  </c:numRef>
                </c:xVal>
                <c:yVal>
                  <c:numRef>
                    <c:extLst>
                      <c:ext uri="{02D57815-91ED-43cb-92C2-25804820EDAC}">
                        <c15:formulaRef>
                          <c15:sqref>'Data for Regression'!$B$2:$B$26</c15:sqref>
                        </c15:formulaRef>
                      </c:ext>
                    </c:extLst>
                    <c:numCache>
                      <c:formatCode>#,##0.0</c:formatCode>
                      <c:ptCount val="25"/>
                      <c:pt idx="0">
                        <c:v>4.8066875203913355</c:v>
                      </c:pt>
                      <c:pt idx="1">
                        <c:v>5.4835684974431009</c:v>
                      </c:pt>
                      <c:pt idx="2">
                        <c:v>4.7410708803103976</c:v>
                      </c:pt>
                      <c:pt idx="3">
                        <c:v>6.3104731094523663</c:v>
                      </c:pt>
                      <c:pt idx="4">
                        <c:v>5.7039096757925281</c:v>
                      </c:pt>
                      <c:pt idx="5">
                        <c:v>5.099174734360532</c:v>
                      </c:pt>
                      <c:pt idx="6">
                        <c:v>4.8833772526086481</c:v>
                      </c:pt>
                      <c:pt idx="7">
                        <c:v>5.0416851142825454</c:v>
                      </c:pt>
                      <c:pt idx="8">
                        <c:v>4.3291234698862739</c:v>
                      </c:pt>
                      <c:pt idx="9">
                        <c:v>5.1912782412596279</c:v>
                      </c:pt>
                      <c:pt idx="10">
                        <c:v>4.680806604422032</c:v>
                      </c:pt>
                      <c:pt idx="11">
                        <c:v>3.8071059180689133</c:v>
                      </c:pt>
                      <c:pt idx="12">
                        <c:v>5.1751590732589356</c:v>
                      </c:pt>
                      <c:pt idx="13">
                        <c:v>3.8489931285532908</c:v>
                      </c:pt>
                      <c:pt idx="14">
                        <c:v>5.0306752852049819</c:v>
                      </c:pt>
                      <c:pt idx="15">
                        <c:v>4.335475752137623</c:v>
                      </c:pt>
                      <c:pt idx="16">
                        <c:v>5.3456332134086004</c:v>
                      </c:pt>
                      <c:pt idx="17">
                        <c:v>6.0556352801818027</c:v>
                      </c:pt>
                      <c:pt idx="18">
                        <c:v>8.1999999999999993</c:v>
                      </c:pt>
                      <c:pt idx="19">
                        <c:v>8.4585479060929583</c:v>
                      </c:pt>
                      <c:pt idx="20">
                        <c:v>7.8282071402180797</c:v>
                      </c:pt>
                      <c:pt idx="21">
                        <c:v>7.3097506025950914</c:v>
                      </c:pt>
                      <c:pt idx="22">
                        <c:v>9.6746107403760888</c:v>
                      </c:pt>
                      <c:pt idx="23">
                        <c:v>10.709363339323488</c:v>
                      </c:pt>
                      <c:pt idx="24">
                        <c:v>11.308207540991486</c:v>
                      </c:pt>
                    </c:numCache>
                  </c:numRef>
                </c:yVal>
                <c:smooth val="0"/>
                <c:extLst>
                  <c:ext xmlns:c16="http://schemas.microsoft.com/office/drawing/2014/chart" uri="{C3380CC4-5D6E-409C-BE32-E72D297353CC}">
                    <c16:uniqueId val="{00000002-DD3C-4A20-86CC-E1CC871A5F5E}"/>
                  </c:ext>
                </c:extLst>
              </c15:ser>
            </c15:filteredScatterSeries>
          </c:ext>
        </c:extLst>
      </c:scatterChart>
      <c:valAx>
        <c:axId val="103205822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TBRate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2074864"/>
        <c:crosses val="autoZero"/>
        <c:crossBetween val="midCat"/>
      </c:valAx>
      <c:valAx>
        <c:axId val="10320748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InRate %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205822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TBRate  Line Fit  Plot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1"/>
          <c:order val="1"/>
          <c:tx>
            <c:v>Predicted InRate </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1"/>
            <c:dispEq val="1"/>
            <c:trendlineLbl>
              <c:layout>
                <c:manualLayout>
                  <c:x val="-5.3483777048833933E-2"/>
                  <c:y val="-7.318357318357318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'Data for Regression'!$C$2:$C$26</c:f>
              <c:numCache>
                <c:formatCode>0.00</c:formatCode>
                <c:ptCount val="25"/>
                <c:pt idx="0">
                  <c:v>1.8499099999999999</c:v>
                </c:pt>
                <c:pt idx="1">
                  <c:v>1.0786199999999999</c:v>
                </c:pt>
                <c:pt idx="2">
                  <c:v>1.77552</c:v>
                </c:pt>
                <c:pt idx="3">
                  <c:v>1.27928</c:v>
                </c:pt>
                <c:pt idx="4">
                  <c:v>1.0990500000000001</c:v>
                </c:pt>
                <c:pt idx="5">
                  <c:v>1.1299999999999999</c:v>
                </c:pt>
                <c:pt idx="6">
                  <c:v>1.1436299999999999</c:v>
                </c:pt>
                <c:pt idx="7">
                  <c:v>0.97528999999999999</c:v>
                </c:pt>
                <c:pt idx="8">
                  <c:v>0.78217999999999999</c:v>
                </c:pt>
                <c:pt idx="9">
                  <c:v>0.76741000000000004</c:v>
                </c:pt>
                <c:pt idx="10">
                  <c:v>0.74226999999999999</c:v>
                </c:pt>
                <c:pt idx="11">
                  <c:v>1.5283100000000001</c:v>
                </c:pt>
                <c:pt idx="12">
                  <c:v>1.23475</c:v>
                </c:pt>
                <c:pt idx="13">
                  <c:v>1.93564</c:v>
                </c:pt>
                <c:pt idx="14">
                  <c:v>0.94155999999999995</c:v>
                </c:pt>
                <c:pt idx="15">
                  <c:v>1.0499400000000001</c:v>
                </c:pt>
                <c:pt idx="16">
                  <c:v>0.94074999999999998</c:v>
                </c:pt>
                <c:pt idx="17">
                  <c:v>0.87704000000000004</c:v>
                </c:pt>
                <c:pt idx="18">
                  <c:v>1.4116</c:v>
                </c:pt>
                <c:pt idx="19">
                  <c:v>2.1652399999999998</c:v>
                </c:pt>
                <c:pt idx="20">
                  <c:v>3.5907200000000001</c:v>
                </c:pt>
                <c:pt idx="21">
                  <c:v>4.0924699999999996</c:v>
                </c:pt>
                <c:pt idx="22">
                  <c:v>4.16831</c:v>
                </c:pt>
                <c:pt idx="23">
                  <c:v>3.59233</c:v>
                </c:pt>
                <c:pt idx="24">
                  <c:v>6.1238200000000003</c:v>
                </c:pt>
              </c:numCache>
            </c:numRef>
          </c:xVal>
          <c:yVal>
            <c:numRef>
              <c:f>MLR!$B$27:$B$51</c:f>
              <c:numCache>
                <c:formatCode>General</c:formatCode>
                <c:ptCount val="25"/>
                <c:pt idx="0">
                  <c:v>5.0961575909762908</c:v>
                </c:pt>
                <c:pt idx="1">
                  <c:v>5.1070635941027769</c:v>
                </c:pt>
                <c:pt idx="2">
                  <c:v>5.0614520485787171</c:v>
                </c:pt>
                <c:pt idx="3">
                  <c:v>5.1316191866256684</c:v>
                </c:pt>
                <c:pt idx="4">
                  <c:v>5.1236250766636324</c:v>
                </c:pt>
                <c:pt idx="5">
                  <c:v>5.2300656842441438</c:v>
                </c:pt>
                <c:pt idx="6">
                  <c:v>5.2775622778568234</c:v>
                </c:pt>
                <c:pt idx="7">
                  <c:v>5.1812688686500632</c:v>
                </c:pt>
                <c:pt idx="8">
                  <c:v>5.2023287980698365</c:v>
                </c:pt>
                <c:pt idx="9">
                  <c:v>5.2975158596296268</c:v>
                </c:pt>
                <c:pt idx="10">
                  <c:v>5.2787061963510489</c:v>
                </c:pt>
                <c:pt idx="11">
                  <c:v>5.1819377596399452</c:v>
                </c:pt>
                <c:pt idx="12">
                  <c:v>5.3019210488816029</c:v>
                </c:pt>
                <c:pt idx="13">
                  <c:v>5.1667695180263404</c:v>
                </c:pt>
                <c:pt idx="14">
                  <c:v>5.3879869515602525</c:v>
                </c:pt>
                <c:pt idx="15">
                  <c:v>5.3992163331441976</c:v>
                </c:pt>
                <c:pt idx="16">
                  <c:v>5.330997135147272</c:v>
                </c:pt>
                <c:pt idx="17">
                  <c:v>5.3882008208580174</c:v>
                </c:pt>
                <c:pt idx="18">
                  <c:v>5.3727894459168315</c:v>
                </c:pt>
                <c:pt idx="19">
                  <c:v>6.8006563963806332</c:v>
                </c:pt>
                <c:pt idx="20">
                  <c:v>7.5937457793830294</c:v>
                </c:pt>
                <c:pt idx="21">
                  <c:v>8.4544446206902926</c:v>
                </c:pt>
                <c:pt idx="22">
                  <c:v>8.3418872864688289</c:v>
                </c:pt>
                <c:pt idx="23">
                  <c:v>11.002325393824364</c:v>
                </c:pt>
                <c:pt idx="24">
                  <c:v>11.648276348950471</c:v>
                </c:pt>
              </c:numCache>
            </c:numRef>
          </c:yVal>
          <c:smooth val="0"/>
          <c:extLst>
            <c:ext xmlns:c16="http://schemas.microsoft.com/office/drawing/2014/chart" uri="{C3380CC4-5D6E-409C-BE32-E72D297353CC}">
              <c16:uniqueId val="{00000001-EB35-4C40-8A8F-3A60F786D9DB}"/>
            </c:ext>
          </c:extLst>
        </c:ser>
        <c:dLbls>
          <c:showLegendKey val="0"/>
          <c:showVal val="0"/>
          <c:showCatName val="0"/>
          <c:showSerName val="0"/>
          <c:showPercent val="0"/>
          <c:showBubbleSize val="0"/>
        </c:dLbls>
        <c:axId val="474168304"/>
        <c:axId val="474172880"/>
        <c:extLst>
          <c:ext xmlns:c15="http://schemas.microsoft.com/office/drawing/2012/chart" uri="{02D57815-91ED-43cb-92C2-25804820EDAC}">
            <c15:filteredScatterSeries>
              <c15:ser>
                <c:idx val="0"/>
                <c:order val="0"/>
                <c:tx>
                  <c:v>InRate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extLst>
                      <c:ext uri="{02D57815-91ED-43cb-92C2-25804820EDAC}">
                        <c15:formulaRef>
                          <c15:sqref>'Data for Regression'!$C$2:$C$26</c15:sqref>
                        </c15:formulaRef>
                      </c:ext>
                    </c:extLst>
                    <c:numCache>
                      <c:formatCode>0.00</c:formatCode>
                      <c:ptCount val="25"/>
                      <c:pt idx="0">
                        <c:v>1.8499099999999999</c:v>
                      </c:pt>
                      <c:pt idx="1">
                        <c:v>1.0786199999999999</c:v>
                      </c:pt>
                      <c:pt idx="2">
                        <c:v>1.77552</c:v>
                      </c:pt>
                      <c:pt idx="3">
                        <c:v>1.27928</c:v>
                      </c:pt>
                      <c:pt idx="4">
                        <c:v>1.0990500000000001</c:v>
                      </c:pt>
                      <c:pt idx="5">
                        <c:v>1.1299999999999999</c:v>
                      </c:pt>
                      <c:pt idx="6">
                        <c:v>1.1436299999999999</c:v>
                      </c:pt>
                      <c:pt idx="7">
                        <c:v>0.97528999999999999</c:v>
                      </c:pt>
                      <c:pt idx="8">
                        <c:v>0.78217999999999999</c:v>
                      </c:pt>
                      <c:pt idx="9">
                        <c:v>0.76741000000000004</c:v>
                      </c:pt>
                      <c:pt idx="10">
                        <c:v>0.74226999999999999</c:v>
                      </c:pt>
                      <c:pt idx="11">
                        <c:v>1.5283100000000001</c:v>
                      </c:pt>
                      <c:pt idx="12">
                        <c:v>1.23475</c:v>
                      </c:pt>
                      <c:pt idx="13">
                        <c:v>1.93564</c:v>
                      </c:pt>
                      <c:pt idx="14">
                        <c:v>0.94155999999999995</c:v>
                      </c:pt>
                      <c:pt idx="15">
                        <c:v>1.0499400000000001</c:v>
                      </c:pt>
                      <c:pt idx="16">
                        <c:v>0.94074999999999998</c:v>
                      </c:pt>
                      <c:pt idx="17">
                        <c:v>0.87704000000000004</c:v>
                      </c:pt>
                      <c:pt idx="18">
                        <c:v>1.4116</c:v>
                      </c:pt>
                      <c:pt idx="19">
                        <c:v>2.1652399999999998</c:v>
                      </c:pt>
                      <c:pt idx="20">
                        <c:v>3.5907200000000001</c:v>
                      </c:pt>
                      <c:pt idx="21">
                        <c:v>4.0924699999999996</c:v>
                      </c:pt>
                      <c:pt idx="22">
                        <c:v>4.16831</c:v>
                      </c:pt>
                      <c:pt idx="23">
                        <c:v>3.59233</c:v>
                      </c:pt>
                      <c:pt idx="24">
                        <c:v>6.1238200000000003</c:v>
                      </c:pt>
                    </c:numCache>
                  </c:numRef>
                </c:xVal>
                <c:yVal>
                  <c:numRef>
                    <c:extLst>
                      <c:ext uri="{02D57815-91ED-43cb-92C2-25804820EDAC}">
                        <c15:formulaRef>
                          <c15:sqref>'Data for Regression'!$B$2:$B$26</c15:sqref>
                        </c15:formulaRef>
                      </c:ext>
                    </c:extLst>
                    <c:numCache>
                      <c:formatCode>#,##0.0</c:formatCode>
                      <c:ptCount val="25"/>
                      <c:pt idx="0">
                        <c:v>4.8066875203913355</c:v>
                      </c:pt>
                      <c:pt idx="1">
                        <c:v>5.4835684974431009</c:v>
                      </c:pt>
                      <c:pt idx="2">
                        <c:v>4.7410708803103976</c:v>
                      </c:pt>
                      <c:pt idx="3">
                        <c:v>6.3104731094523663</c:v>
                      </c:pt>
                      <c:pt idx="4">
                        <c:v>5.7039096757925281</c:v>
                      </c:pt>
                      <c:pt idx="5">
                        <c:v>5.099174734360532</c:v>
                      </c:pt>
                      <c:pt idx="6">
                        <c:v>4.8833772526086481</c:v>
                      </c:pt>
                      <c:pt idx="7">
                        <c:v>5.0416851142825454</c:v>
                      </c:pt>
                      <c:pt idx="8">
                        <c:v>4.3291234698862739</c:v>
                      </c:pt>
                      <c:pt idx="9">
                        <c:v>5.1912782412596279</c:v>
                      </c:pt>
                      <c:pt idx="10">
                        <c:v>4.680806604422032</c:v>
                      </c:pt>
                      <c:pt idx="11">
                        <c:v>3.8071059180689133</c:v>
                      </c:pt>
                      <c:pt idx="12">
                        <c:v>5.1751590732589356</c:v>
                      </c:pt>
                      <c:pt idx="13">
                        <c:v>3.8489931285532908</c:v>
                      </c:pt>
                      <c:pt idx="14">
                        <c:v>5.0306752852049819</c:v>
                      </c:pt>
                      <c:pt idx="15">
                        <c:v>4.335475752137623</c:v>
                      </c:pt>
                      <c:pt idx="16">
                        <c:v>5.3456332134086004</c:v>
                      </c:pt>
                      <c:pt idx="17">
                        <c:v>6.0556352801818027</c:v>
                      </c:pt>
                      <c:pt idx="18">
                        <c:v>8.1999999999999993</c:v>
                      </c:pt>
                      <c:pt idx="19">
                        <c:v>8.4585479060929583</c:v>
                      </c:pt>
                      <c:pt idx="20">
                        <c:v>7.8282071402180797</c:v>
                      </c:pt>
                      <c:pt idx="21">
                        <c:v>7.3097506025950914</c:v>
                      </c:pt>
                      <c:pt idx="22">
                        <c:v>9.6746107403760888</c:v>
                      </c:pt>
                      <c:pt idx="23">
                        <c:v>10.709363339323488</c:v>
                      </c:pt>
                      <c:pt idx="24">
                        <c:v>11.308207540991486</c:v>
                      </c:pt>
                    </c:numCache>
                  </c:numRef>
                </c:yVal>
                <c:smooth val="0"/>
                <c:extLst>
                  <c:ext xmlns:c16="http://schemas.microsoft.com/office/drawing/2014/chart" uri="{C3380CC4-5D6E-409C-BE32-E72D297353CC}">
                    <c16:uniqueId val="{00000002-EB35-4C40-8A8F-3A60F786D9DB}"/>
                  </c:ext>
                </c:extLst>
              </c15:ser>
            </c15:filteredScatterSeries>
          </c:ext>
        </c:extLst>
      </c:scatterChart>
      <c:valAx>
        <c:axId val="4741683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TBRate %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4172880"/>
        <c:crosses val="autoZero"/>
        <c:crossBetween val="midCat"/>
      </c:valAx>
      <c:valAx>
        <c:axId val="4741728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InRate %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41683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Prate Line Fit  Plot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1"/>
          <c:order val="1"/>
          <c:tx>
            <c:v>Predicted InRate </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1"/>
            <c:dispEq val="1"/>
            <c:trendlineLbl>
              <c:layout>
                <c:manualLayout>
                  <c:x val="-2.9795428601340455E-2"/>
                  <c:y val="-5.339719729595623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'Data for Regression'!$D$2:$D$26</c:f>
              <c:numCache>
                <c:formatCode>0.00</c:formatCode>
                <c:ptCount val="2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1.5</c:v>
                </c:pt>
                <c:pt idx="20">
                  <c:v>2</c:v>
                </c:pt>
                <c:pt idx="21">
                  <c:v>2.5</c:v>
                </c:pt>
                <c:pt idx="22">
                  <c:v>2.5</c:v>
                </c:pt>
                <c:pt idx="23">
                  <c:v>4</c:v>
                </c:pt>
                <c:pt idx="24">
                  <c:v>4.5</c:v>
                </c:pt>
              </c:numCache>
            </c:numRef>
          </c:xVal>
          <c:yVal>
            <c:numRef>
              <c:f>MLR!$B$27:$B$51</c:f>
              <c:numCache>
                <c:formatCode>General</c:formatCode>
                <c:ptCount val="25"/>
                <c:pt idx="0">
                  <c:v>5.0961575909762908</c:v>
                </c:pt>
                <c:pt idx="1">
                  <c:v>5.1070635941027769</c:v>
                </c:pt>
                <c:pt idx="2">
                  <c:v>5.0614520485787171</c:v>
                </c:pt>
                <c:pt idx="3">
                  <c:v>5.1316191866256684</c:v>
                </c:pt>
                <c:pt idx="4">
                  <c:v>5.1236250766636324</c:v>
                </c:pt>
                <c:pt idx="5">
                  <c:v>5.2300656842441438</c:v>
                </c:pt>
                <c:pt idx="6">
                  <c:v>5.2775622778568234</c:v>
                </c:pt>
                <c:pt idx="7">
                  <c:v>5.1812688686500632</c:v>
                </c:pt>
                <c:pt idx="8">
                  <c:v>5.2023287980698365</c:v>
                </c:pt>
                <c:pt idx="9">
                  <c:v>5.2975158596296268</c:v>
                </c:pt>
                <c:pt idx="10">
                  <c:v>5.2787061963510489</c:v>
                </c:pt>
                <c:pt idx="11">
                  <c:v>5.1819377596399452</c:v>
                </c:pt>
                <c:pt idx="12">
                  <c:v>5.3019210488816029</c:v>
                </c:pt>
                <c:pt idx="13">
                  <c:v>5.1667695180263404</c:v>
                </c:pt>
                <c:pt idx="14">
                  <c:v>5.3879869515602525</c:v>
                </c:pt>
                <c:pt idx="15">
                  <c:v>5.3992163331441976</c:v>
                </c:pt>
                <c:pt idx="16">
                  <c:v>5.330997135147272</c:v>
                </c:pt>
                <c:pt idx="17">
                  <c:v>5.3882008208580174</c:v>
                </c:pt>
                <c:pt idx="18">
                  <c:v>5.3727894459168315</c:v>
                </c:pt>
                <c:pt idx="19">
                  <c:v>6.8006563963806332</c:v>
                </c:pt>
                <c:pt idx="20">
                  <c:v>7.5937457793830294</c:v>
                </c:pt>
                <c:pt idx="21">
                  <c:v>8.4544446206902926</c:v>
                </c:pt>
                <c:pt idx="22">
                  <c:v>8.3418872864688289</c:v>
                </c:pt>
                <c:pt idx="23">
                  <c:v>11.002325393824364</c:v>
                </c:pt>
                <c:pt idx="24">
                  <c:v>11.648276348950471</c:v>
                </c:pt>
              </c:numCache>
            </c:numRef>
          </c:yVal>
          <c:smooth val="0"/>
          <c:extLst>
            <c:ext xmlns:c16="http://schemas.microsoft.com/office/drawing/2014/chart" uri="{C3380CC4-5D6E-409C-BE32-E72D297353CC}">
              <c16:uniqueId val="{00000001-A136-47B5-B571-ADBAE7E06B68}"/>
            </c:ext>
          </c:extLst>
        </c:ser>
        <c:dLbls>
          <c:showLegendKey val="0"/>
          <c:showVal val="0"/>
          <c:showCatName val="0"/>
          <c:showSerName val="0"/>
          <c:showPercent val="0"/>
          <c:showBubbleSize val="0"/>
        </c:dLbls>
        <c:axId val="474173712"/>
        <c:axId val="474174544"/>
        <c:extLst>
          <c:ext xmlns:c15="http://schemas.microsoft.com/office/drawing/2012/chart" uri="{02D57815-91ED-43cb-92C2-25804820EDAC}">
            <c15:filteredScatterSeries>
              <c15:ser>
                <c:idx val="0"/>
                <c:order val="0"/>
                <c:tx>
                  <c:v>InRate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extLst>
                      <c:ext uri="{02D57815-91ED-43cb-92C2-25804820EDAC}">
                        <c15:formulaRef>
                          <c15:sqref>'Data for Regression'!$D$2:$D$26</c15:sqref>
                        </c15:formulaRef>
                      </c:ext>
                    </c:extLst>
                    <c:numCache>
                      <c:formatCode>0.00</c:formatCode>
                      <c:ptCount val="2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1.5</c:v>
                      </c:pt>
                      <c:pt idx="20">
                        <c:v>2</c:v>
                      </c:pt>
                      <c:pt idx="21">
                        <c:v>2.5</c:v>
                      </c:pt>
                      <c:pt idx="22">
                        <c:v>2.5</c:v>
                      </c:pt>
                      <c:pt idx="23">
                        <c:v>4</c:v>
                      </c:pt>
                      <c:pt idx="24">
                        <c:v>4.5</c:v>
                      </c:pt>
                    </c:numCache>
                  </c:numRef>
                </c:xVal>
                <c:yVal>
                  <c:numRef>
                    <c:extLst>
                      <c:ext uri="{02D57815-91ED-43cb-92C2-25804820EDAC}">
                        <c15:formulaRef>
                          <c15:sqref>'Data for Regression'!$B$2:$B$26</c15:sqref>
                        </c15:formulaRef>
                      </c:ext>
                    </c:extLst>
                    <c:numCache>
                      <c:formatCode>#,##0.0</c:formatCode>
                      <c:ptCount val="25"/>
                      <c:pt idx="0">
                        <c:v>4.8066875203913355</c:v>
                      </c:pt>
                      <c:pt idx="1">
                        <c:v>5.4835684974431009</c:v>
                      </c:pt>
                      <c:pt idx="2">
                        <c:v>4.7410708803103976</c:v>
                      </c:pt>
                      <c:pt idx="3">
                        <c:v>6.3104731094523663</c:v>
                      </c:pt>
                      <c:pt idx="4">
                        <c:v>5.7039096757925281</c:v>
                      </c:pt>
                      <c:pt idx="5">
                        <c:v>5.099174734360532</c:v>
                      </c:pt>
                      <c:pt idx="6">
                        <c:v>4.8833772526086481</c:v>
                      </c:pt>
                      <c:pt idx="7">
                        <c:v>5.0416851142825454</c:v>
                      </c:pt>
                      <c:pt idx="8">
                        <c:v>4.3291234698862739</c:v>
                      </c:pt>
                      <c:pt idx="9">
                        <c:v>5.1912782412596279</c:v>
                      </c:pt>
                      <c:pt idx="10">
                        <c:v>4.680806604422032</c:v>
                      </c:pt>
                      <c:pt idx="11">
                        <c:v>3.8071059180689133</c:v>
                      </c:pt>
                      <c:pt idx="12">
                        <c:v>5.1751590732589356</c:v>
                      </c:pt>
                      <c:pt idx="13">
                        <c:v>3.8489931285532908</c:v>
                      </c:pt>
                      <c:pt idx="14">
                        <c:v>5.0306752852049819</c:v>
                      </c:pt>
                      <c:pt idx="15">
                        <c:v>4.335475752137623</c:v>
                      </c:pt>
                      <c:pt idx="16">
                        <c:v>5.3456332134086004</c:v>
                      </c:pt>
                      <c:pt idx="17">
                        <c:v>6.0556352801818027</c:v>
                      </c:pt>
                      <c:pt idx="18">
                        <c:v>8.1999999999999993</c:v>
                      </c:pt>
                      <c:pt idx="19">
                        <c:v>8.4585479060929583</c:v>
                      </c:pt>
                      <c:pt idx="20">
                        <c:v>7.8282071402180797</c:v>
                      </c:pt>
                      <c:pt idx="21">
                        <c:v>7.3097506025950914</c:v>
                      </c:pt>
                      <c:pt idx="22">
                        <c:v>9.6746107403760888</c:v>
                      </c:pt>
                      <c:pt idx="23">
                        <c:v>10.709363339323488</c:v>
                      </c:pt>
                      <c:pt idx="24">
                        <c:v>11.308207540991486</c:v>
                      </c:pt>
                    </c:numCache>
                  </c:numRef>
                </c:yVal>
                <c:smooth val="0"/>
                <c:extLst>
                  <c:ext xmlns:c16="http://schemas.microsoft.com/office/drawing/2014/chart" uri="{C3380CC4-5D6E-409C-BE32-E72D297353CC}">
                    <c16:uniqueId val="{00000002-A136-47B5-B571-ADBAE7E06B68}"/>
                  </c:ext>
                </c:extLst>
              </c15:ser>
            </c15:filteredScatterSeries>
          </c:ext>
        </c:extLst>
      </c:scatterChart>
      <c:valAx>
        <c:axId val="47417371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Prate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4174544"/>
        <c:crosses val="autoZero"/>
        <c:crossBetween val="midCat"/>
      </c:valAx>
      <c:valAx>
        <c:axId val="4741745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InRate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41737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Fxrate Line Fit  Plot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1"/>
          <c:order val="1"/>
          <c:tx>
            <c:v>Predicted InRate </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1"/>
            <c:dispEq val="1"/>
            <c:trendlineLbl>
              <c:layout>
                <c:manualLayout>
                  <c:x val="6.9327588250796754E-2"/>
                  <c:y val="-0.258956405959459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'Data for Regression'!$E$2:$E$26</c:f>
              <c:numCache>
                <c:formatCode>#,##0.00_-\ [$$-45C]</c:formatCode>
                <c:ptCount val="25"/>
                <c:pt idx="0">
                  <c:v>154.15</c:v>
                </c:pt>
                <c:pt idx="1">
                  <c:v>157.13</c:v>
                </c:pt>
                <c:pt idx="2">
                  <c:v>156.01</c:v>
                </c:pt>
                <c:pt idx="3">
                  <c:v>155.15</c:v>
                </c:pt>
                <c:pt idx="4">
                  <c:v>156.31</c:v>
                </c:pt>
                <c:pt idx="5">
                  <c:v>151.49</c:v>
                </c:pt>
                <c:pt idx="6">
                  <c:v>149.34</c:v>
                </c:pt>
                <c:pt idx="7">
                  <c:v>154.33000000000001</c:v>
                </c:pt>
                <c:pt idx="8">
                  <c:v>154.27000000000001</c:v>
                </c:pt>
                <c:pt idx="9">
                  <c:v>150.15</c:v>
                </c:pt>
                <c:pt idx="10">
                  <c:v>151.09</c:v>
                </c:pt>
                <c:pt idx="11">
                  <c:v>151.82</c:v>
                </c:pt>
                <c:pt idx="12">
                  <c:v>147.86000000000001</c:v>
                </c:pt>
                <c:pt idx="13">
                  <c:v>150.66</c:v>
                </c:pt>
                <c:pt idx="14">
                  <c:v>145.38999999999999</c:v>
                </c:pt>
                <c:pt idx="15">
                  <c:v>144.41</c:v>
                </c:pt>
                <c:pt idx="16">
                  <c:v>147.9</c:v>
                </c:pt>
                <c:pt idx="17">
                  <c:v>145.66999999999999</c:v>
                </c:pt>
                <c:pt idx="18">
                  <c:v>143.94999999999999</c:v>
                </c:pt>
                <c:pt idx="19">
                  <c:v>150.08000000000001</c:v>
                </c:pt>
                <c:pt idx="20">
                  <c:v>144.96</c:v>
                </c:pt>
                <c:pt idx="21">
                  <c:v>141.01</c:v>
                </c:pt>
                <c:pt idx="22">
                  <c:v>145.62</c:v>
                </c:pt>
                <c:pt idx="23">
                  <c:v>139.66</c:v>
                </c:pt>
                <c:pt idx="24">
                  <c:v>136.05000000000001</c:v>
                </c:pt>
              </c:numCache>
            </c:numRef>
          </c:xVal>
          <c:yVal>
            <c:numRef>
              <c:f>MLR!$B$27:$B$51</c:f>
              <c:numCache>
                <c:formatCode>General</c:formatCode>
                <c:ptCount val="25"/>
                <c:pt idx="0">
                  <c:v>5.0961575909762908</c:v>
                </c:pt>
                <c:pt idx="1">
                  <c:v>5.1070635941027769</c:v>
                </c:pt>
                <c:pt idx="2">
                  <c:v>5.0614520485787171</c:v>
                </c:pt>
                <c:pt idx="3">
                  <c:v>5.1316191866256684</c:v>
                </c:pt>
                <c:pt idx="4">
                  <c:v>5.1236250766636324</c:v>
                </c:pt>
                <c:pt idx="5">
                  <c:v>5.2300656842441438</c:v>
                </c:pt>
                <c:pt idx="6">
                  <c:v>5.2775622778568234</c:v>
                </c:pt>
                <c:pt idx="7">
                  <c:v>5.1812688686500632</c:v>
                </c:pt>
                <c:pt idx="8">
                  <c:v>5.2023287980698365</c:v>
                </c:pt>
                <c:pt idx="9">
                  <c:v>5.2975158596296268</c:v>
                </c:pt>
                <c:pt idx="10">
                  <c:v>5.2787061963510489</c:v>
                </c:pt>
                <c:pt idx="11">
                  <c:v>5.1819377596399452</c:v>
                </c:pt>
                <c:pt idx="12">
                  <c:v>5.3019210488816029</c:v>
                </c:pt>
                <c:pt idx="13">
                  <c:v>5.1667695180263404</c:v>
                </c:pt>
                <c:pt idx="14">
                  <c:v>5.3879869515602525</c:v>
                </c:pt>
                <c:pt idx="15">
                  <c:v>5.3992163331441976</c:v>
                </c:pt>
                <c:pt idx="16">
                  <c:v>5.330997135147272</c:v>
                </c:pt>
                <c:pt idx="17">
                  <c:v>5.3882008208580174</c:v>
                </c:pt>
                <c:pt idx="18">
                  <c:v>5.3727894459168315</c:v>
                </c:pt>
                <c:pt idx="19">
                  <c:v>6.8006563963806332</c:v>
                </c:pt>
                <c:pt idx="20">
                  <c:v>7.5937457793830294</c:v>
                </c:pt>
                <c:pt idx="21">
                  <c:v>8.4544446206902926</c:v>
                </c:pt>
                <c:pt idx="22">
                  <c:v>8.3418872864688289</c:v>
                </c:pt>
                <c:pt idx="23">
                  <c:v>11.002325393824364</c:v>
                </c:pt>
                <c:pt idx="24">
                  <c:v>11.648276348950471</c:v>
                </c:pt>
              </c:numCache>
            </c:numRef>
          </c:yVal>
          <c:smooth val="0"/>
          <c:extLst>
            <c:ext xmlns:c16="http://schemas.microsoft.com/office/drawing/2014/chart" uri="{C3380CC4-5D6E-409C-BE32-E72D297353CC}">
              <c16:uniqueId val="{00000001-4FE0-4AF7-9B43-911B9A1581AA}"/>
            </c:ext>
          </c:extLst>
        </c:ser>
        <c:dLbls>
          <c:showLegendKey val="0"/>
          <c:showVal val="0"/>
          <c:showCatName val="0"/>
          <c:showSerName val="0"/>
          <c:showPercent val="0"/>
          <c:showBubbleSize val="0"/>
        </c:dLbls>
        <c:axId val="474179952"/>
        <c:axId val="474176624"/>
        <c:extLst>
          <c:ext xmlns:c15="http://schemas.microsoft.com/office/drawing/2012/chart" uri="{02D57815-91ED-43cb-92C2-25804820EDAC}">
            <c15:filteredScatterSeries>
              <c15:ser>
                <c:idx val="0"/>
                <c:order val="0"/>
                <c:tx>
                  <c:v>InRate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extLst>
                      <c:ext uri="{02D57815-91ED-43cb-92C2-25804820EDAC}">
                        <c15:formulaRef>
                          <c15:sqref>'Data for Regression'!$E$2:$E$26</c15:sqref>
                        </c15:formulaRef>
                      </c:ext>
                    </c:extLst>
                    <c:numCache>
                      <c:formatCode>#,##0.00_-\ [$$-45C]</c:formatCode>
                      <c:ptCount val="25"/>
                      <c:pt idx="0">
                        <c:v>154.15</c:v>
                      </c:pt>
                      <c:pt idx="1">
                        <c:v>157.13</c:v>
                      </c:pt>
                      <c:pt idx="2">
                        <c:v>156.01</c:v>
                      </c:pt>
                      <c:pt idx="3">
                        <c:v>155.15</c:v>
                      </c:pt>
                      <c:pt idx="4">
                        <c:v>156.31</c:v>
                      </c:pt>
                      <c:pt idx="5">
                        <c:v>151.49</c:v>
                      </c:pt>
                      <c:pt idx="6">
                        <c:v>149.34</c:v>
                      </c:pt>
                      <c:pt idx="7">
                        <c:v>154.33000000000001</c:v>
                      </c:pt>
                      <c:pt idx="8">
                        <c:v>154.27000000000001</c:v>
                      </c:pt>
                      <c:pt idx="9">
                        <c:v>150.15</c:v>
                      </c:pt>
                      <c:pt idx="10">
                        <c:v>151.09</c:v>
                      </c:pt>
                      <c:pt idx="11">
                        <c:v>151.82</c:v>
                      </c:pt>
                      <c:pt idx="12">
                        <c:v>147.86000000000001</c:v>
                      </c:pt>
                      <c:pt idx="13">
                        <c:v>150.66</c:v>
                      </c:pt>
                      <c:pt idx="14">
                        <c:v>145.38999999999999</c:v>
                      </c:pt>
                      <c:pt idx="15">
                        <c:v>144.41</c:v>
                      </c:pt>
                      <c:pt idx="16">
                        <c:v>147.9</c:v>
                      </c:pt>
                      <c:pt idx="17">
                        <c:v>145.66999999999999</c:v>
                      </c:pt>
                      <c:pt idx="18">
                        <c:v>143.94999999999999</c:v>
                      </c:pt>
                      <c:pt idx="19">
                        <c:v>150.08000000000001</c:v>
                      </c:pt>
                      <c:pt idx="20">
                        <c:v>144.96</c:v>
                      </c:pt>
                      <c:pt idx="21">
                        <c:v>141.01</c:v>
                      </c:pt>
                      <c:pt idx="22">
                        <c:v>145.62</c:v>
                      </c:pt>
                      <c:pt idx="23">
                        <c:v>139.66</c:v>
                      </c:pt>
                      <c:pt idx="24">
                        <c:v>136.05000000000001</c:v>
                      </c:pt>
                    </c:numCache>
                  </c:numRef>
                </c:xVal>
                <c:yVal>
                  <c:numRef>
                    <c:extLst>
                      <c:ext uri="{02D57815-91ED-43cb-92C2-25804820EDAC}">
                        <c15:formulaRef>
                          <c15:sqref>'Data for Regression'!$B$2:$B$26</c15:sqref>
                        </c15:formulaRef>
                      </c:ext>
                    </c:extLst>
                    <c:numCache>
                      <c:formatCode>#,##0.0</c:formatCode>
                      <c:ptCount val="25"/>
                      <c:pt idx="0">
                        <c:v>4.8066875203913355</c:v>
                      </c:pt>
                      <c:pt idx="1">
                        <c:v>5.4835684974431009</c:v>
                      </c:pt>
                      <c:pt idx="2">
                        <c:v>4.7410708803103976</c:v>
                      </c:pt>
                      <c:pt idx="3">
                        <c:v>6.3104731094523663</c:v>
                      </c:pt>
                      <c:pt idx="4">
                        <c:v>5.7039096757925281</c:v>
                      </c:pt>
                      <c:pt idx="5">
                        <c:v>5.099174734360532</c:v>
                      </c:pt>
                      <c:pt idx="6">
                        <c:v>4.8833772526086481</c:v>
                      </c:pt>
                      <c:pt idx="7">
                        <c:v>5.0416851142825454</c:v>
                      </c:pt>
                      <c:pt idx="8">
                        <c:v>4.3291234698862739</c:v>
                      </c:pt>
                      <c:pt idx="9">
                        <c:v>5.1912782412596279</c:v>
                      </c:pt>
                      <c:pt idx="10">
                        <c:v>4.680806604422032</c:v>
                      </c:pt>
                      <c:pt idx="11">
                        <c:v>3.8071059180689133</c:v>
                      </c:pt>
                      <c:pt idx="12">
                        <c:v>5.1751590732589356</c:v>
                      </c:pt>
                      <c:pt idx="13">
                        <c:v>3.8489931285532908</c:v>
                      </c:pt>
                      <c:pt idx="14">
                        <c:v>5.0306752852049819</c:v>
                      </c:pt>
                      <c:pt idx="15">
                        <c:v>4.335475752137623</c:v>
                      </c:pt>
                      <c:pt idx="16">
                        <c:v>5.3456332134086004</c:v>
                      </c:pt>
                      <c:pt idx="17">
                        <c:v>6.0556352801818027</c:v>
                      </c:pt>
                      <c:pt idx="18">
                        <c:v>8.1999999999999993</c:v>
                      </c:pt>
                      <c:pt idx="19">
                        <c:v>8.4585479060929583</c:v>
                      </c:pt>
                      <c:pt idx="20">
                        <c:v>7.8282071402180797</c:v>
                      </c:pt>
                      <c:pt idx="21">
                        <c:v>7.3097506025950914</c:v>
                      </c:pt>
                      <c:pt idx="22">
                        <c:v>9.6746107403760888</c:v>
                      </c:pt>
                      <c:pt idx="23">
                        <c:v>10.709363339323488</c:v>
                      </c:pt>
                      <c:pt idx="24">
                        <c:v>11.308207540991486</c:v>
                      </c:pt>
                    </c:numCache>
                  </c:numRef>
                </c:yVal>
                <c:smooth val="0"/>
                <c:extLst>
                  <c:ext xmlns:c16="http://schemas.microsoft.com/office/drawing/2014/chart" uri="{C3380CC4-5D6E-409C-BE32-E72D297353CC}">
                    <c16:uniqueId val="{00000002-4FE0-4AF7-9B43-911B9A1581AA}"/>
                  </c:ext>
                </c:extLst>
              </c15:ser>
            </c15:filteredScatterSeries>
          </c:ext>
        </c:extLst>
      </c:scatterChart>
      <c:valAx>
        <c:axId val="474179952"/>
        <c:scaling>
          <c:orientation val="minMax"/>
          <c:min val="135"/>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Fxrate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_-\ [$$-45C]"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4176624"/>
        <c:crosses val="autoZero"/>
        <c:crossBetween val="midCat"/>
      </c:valAx>
      <c:valAx>
        <c:axId val="4741766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InRate %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417995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76E9DEF84DEBD41B08EB31E9BA148DC" ma:contentTypeVersion="4" ma:contentTypeDescription="Create a new document." ma:contentTypeScope="" ma:versionID="3b228366c2e81fb6da81721258fe63e1">
  <xsd:schema xmlns:xsd="http://www.w3.org/2001/XMLSchema" xmlns:xs="http://www.w3.org/2001/XMLSchema" xmlns:p="http://schemas.microsoft.com/office/2006/metadata/properties" xmlns:ns3="74da21fb-c444-45c0-8a0d-a745145bde1a" targetNamespace="http://schemas.microsoft.com/office/2006/metadata/properties" ma:root="true" ma:fieldsID="d7750071a162e6b6e92456d1fc7973a7" ns3:_="">
    <xsd:import namespace="74da21fb-c444-45c0-8a0d-a745145bde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a21fb-c444-45c0-8a0d-a745145bd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28E2D1-1C19-45B0-B52E-0C0EB9240D00}">
  <ds:schemaRefs>
    <ds:schemaRef ds:uri="http://schemas.openxmlformats.org/officeDocument/2006/bibliography"/>
  </ds:schemaRefs>
</ds:datastoreItem>
</file>

<file path=customXml/itemProps2.xml><?xml version="1.0" encoding="utf-8"?>
<ds:datastoreItem xmlns:ds="http://schemas.openxmlformats.org/officeDocument/2006/customXml" ds:itemID="{58377221-55BE-43AC-91E7-96C57C2437BA}">
  <ds:schemaRefs>
    <ds:schemaRef ds:uri="http://schemas.microsoft.com/sharepoint/v3/contenttype/forms"/>
  </ds:schemaRefs>
</ds:datastoreItem>
</file>

<file path=customXml/itemProps3.xml><?xml version="1.0" encoding="utf-8"?>
<ds:datastoreItem xmlns:ds="http://schemas.openxmlformats.org/officeDocument/2006/customXml" ds:itemID="{7230F78D-9DF5-449B-B708-85AA54D789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FAABAC-F5AD-4FB9-A970-D3438368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a21fb-c444-45c0-8a0d-a745145bd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8531</TotalTime>
  <Pages>22</Pages>
  <Words>3522</Words>
  <Characters>20078</Characters>
  <Application>Microsoft Office Word</Application>
  <DocSecurity>0</DocSecurity>
  <Lines>167</Lines>
  <Paragraphs>47</Paragraphs>
  <ScaleCrop>false</ScaleCrop>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Espeut,Chad</dc:creator>
  <cp:keywords/>
  <dc:description/>
  <cp:lastModifiedBy>Espeut,Chad</cp:lastModifiedBy>
  <cp:revision>1354</cp:revision>
  <dcterms:created xsi:type="dcterms:W3CDTF">2022-11-03T18:08:00Z</dcterms:created>
  <dcterms:modified xsi:type="dcterms:W3CDTF">2022-11-24T14:45:00Z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0x010100A76E9DEF84DEBD41B08EB31E9BA148DC</vt:lpwstr>
  </property>
</Properties>
</file>