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98D67"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Week 5 Project Deliverable</w:t>
      </w:r>
    </w:p>
    <w:p w14:paraId="3EB2899A"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Cybersecurity Framework Profiling and Third-Party Risk Operationalization for PaySphere</w:t>
      </w:r>
    </w:p>
    <w:p w14:paraId="6255A2F9"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GRC Analyst Self-Curated Curriculum — Week 5</w:t>
      </w:r>
    </w:p>
    <w:p w14:paraId="0A5A15F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558CCB49">
          <v:rect id="_x0000_i1025" style="width:0;height:1.5pt" o:hralign="center" o:hrstd="t" o:hr="t" fillcolor="#a0a0a0" stroked="f"/>
        </w:pict>
      </w:r>
    </w:p>
    <w:p w14:paraId="3D0A0AC3"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Executive Summary</w:t>
      </w:r>
    </w:p>
    <w:p w14:paraId="454BA6BE"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This Week 5 project focused on translating previously identified cybersecurity and governance risks into structured, actionable Governance, Risk, and Compliance (GRC) artifacts.</w:t>
      </w:r>
    </w:p>
    <w:p w14:paraId="0248A0F1"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project involved two practical exercises:</w:t>
      </w:r>
    </w:p>
    <w:p w14:paraId="3752EFD4" w14:textId="77777777" w:rsidR="00591F72" w:rsidRPr="00591F72" w:rsidRDefault="00591F72" w:rsidP="00591F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Developing a NIST Cybersecurity Framework (CSF) 2.0 Current and Target Profile for PaySphere</w:t>
      </w:r>
    </w:p>
    <w:p w14:paraId="03C76D4A" w14:textId="77777777" w:rsidR="00591F72" w:rsidRPr="00591F72" w:rsidRDefault="00591F72" w:rsidP="00591F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Creating an operational Vendor Risk Record for a critical third-party supplier, Razorpay</w:t>
      </w:r>
    </w:p>
    <w:p w14:paraId="14B86F20"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purpose of these exercises was to move beyond identifying risks and controls and demonstrate how a GRC analyst can use a cybersecurity framework to:</w:t>
      </w:r>
    </w:p>
    <w:p w14:paraId="028BDDCB" w14:textId="77777777" w:rsidR="00591F72" w:rsidRPr="00591F72" w:rsidRDefault="00591F72" w:rsidP="00591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Assess an organization's current cybersecurity posture</w:t>
      </w:r>
    </w:p>
    <w:p w14:paraId="4AC86CF1" w14:textId="77777777" w:rsidR="00591F72" w:rsidRPr="00591F72" w:rsidRDefault="00591F72" w:rsidP="00591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Define a desired target state</w:t>
      </w:r>
    </w:p>
    <w:p w14:paraId="06083C3D" w14:textId="77777777" w:rsidR="00591F72" w:rsidRPr="00591F72" w:rsidRDefault="00591F72" w:rsidP="00591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Identify explicit gaps between current and target capabilities</w:t>
      </w:r>
    </w:p>
    <w:p w14:paraId="04FB9CBF" w14:textId="77777777" w:rsidR="00591F72" w:rsidRPr="00591F72" w:rsidRDefault="00591F72" w:rsidP="00591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Prioritize remediation based on known organizational risks</w:t>
      </w:r>
    </w:p>
    <w:p w14:paraId="43B901C9" w14:textId="77777777" w:rsidR="00591F72" w:rsidRPr="00591F72" w:rsidRDefault="00591F72" w:rsidP="00591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Operationalize third-party risk management requirements</w:t>
      </w:r>
    </w:p>
    <w:p w14:paraId="2B8650EA" w14:textId="77777777" w:rsidR="00591F72" w:rsidRPr="00591F72" w:rsidRDefault="00591F72" w:rsidP="00591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Establish vendor monitoring and review mechanisms</w:t>
      </w:r>
    </w:p>
    <w:p w14:paraId="5ADAF321" w14:textId="77777777" w:rsidR="00591F72" w:rsidRPr="00591F72" w:rsidRDefault="00591F72" w:rsidP="00591F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Document risk ownership and risk acceptance decisions</w:t>
      </w:r>
    </w:p>
    <w:p w14:paraId="1CAE15D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 xml:space="preserve">The resulting artifacts demonstrate the practical application of </w:t>
      </w:r>
      <w:r w:rsidRPr="00591F72">
        <w:rPr>
          <w:rFonts w:ascii="Times New Roman" w:eastAsia="Times New Roman" w:hAnsi="Times New Roman" w:cs="Times New Roman"/>
          <w:b/>
          <w:bCs/>
          <w:sz w:val="24"/>
          <w:szCs w:val="24"/>
          <w:lang w:eastAsia="en-IN"/>
        </w:rPr>
        <w:t>NIST CSF 2.0</w:t>
      </w:r>
      <w:r w:rsidRPr="00591F72">
        <w:rPr>
          <w:rFonts w:ascii="Times New Roman" w:eastAsia="Times New Roman" w:hAnsi="Times New Roman" w:cs="Times New Roman"/>
          <w:sz w:val="24"/>
          <w:szCs w:val="24"/>
          <w:lang w:eastAsia="en-IN"/>
        </w:rPr>
        <w:t>, risk management principles, vendor risk assessment, control gap analysis, governance, and risk treatment.</w:t>
      </w:r>
    </w:p>
    <w:p w14:paraId="5D881B8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155F9187">
          <v:rect id="_x0000_i1026" style="width:0;height:1.5pt" o:hralign="center" o:hrstd="t" o:hr="t" fillcolor="#a0a0a0" stroked="f"/>
        </w:pict>
      </w:r>
    </w:p>
    <w:p w14:paraId="499464F4"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 Organization Background and Project Scope</w:t>
      </w:r>
    </w:p>
    <w:p w14:paraId="5CF1C1DA"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PaySphere is a hypothetical payment processing organization whose cybersecurity and compliance environment has been assessed throughout the earlier stages of this curriculum.</w:t>
      </w:r>
    </w:p>
    <w:p w14:paraId="41A6A089"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lastRenderedPageBreak/>
        <w:t>The Week 5 deliverables build upon previously identified organizational risks, including:</w:t>
      </w:r>
    </w:p>
    <w:p w14:paraId="30698787" w14:textId="77777777" w:rsidR="00591F72" w:rsidRPr="00591F72" w:rsidRDefault="00591F72" w:rsidP="00591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Privileged access weaknesses</w:t>
      </w:r>
    </w:p>
    <w:p w14:paraId="5B812520" w14:textId="77777777" w:rsidR="00591F72" w:rsidRPr="00591F72" w:rsidRDefault="00591F72" w:rsidP="00591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Critical vendor concentration</w:t>
      </w:r>
    </w:p>
    <w:p w14:paraId="047A29B9" w14:textId="77777777" w:rsidR="00591F72" w:rsidRPr="00591F72" w:rsidRDefault="00591F72" w:rsidP="00591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Incomplete vendor assessments</w:t>
      </w:r>
    </w:p>
    <w:p w14:paraId="5D9F63AA" w14:textId="77777777" w:rsidR="00591F72" w:rsidRPr="00591F72" w:rsidRDefault="00591F72" w:rsidP="00591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Absence of a formal Business Continuity and Disaster Recovery program</w:t>
      </w:r>
    </w:p>
    <w:p w14:paraId="46BF5935" w14:textId="77777777" w:rsidR="00591F72" w:rsidRPr="00591F72" w:rsidRDefault="00591F72" w:rsidP="00591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Merchant portal security vulnerabilities</w:t>
      </w:r>
    </w:p>
    <w:p w14:paraId="35CE2809" w14:textId="77777777" w:rsidR="00591F72" w:rsidRPr="00591F72" w:rsidRDefault="00591F72" w:rsidP="00591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Limited endpoint monitoring</w:t>
      </w:r>
    </w:p>
    <w:p w14:paraId="40E2BCAF" w14:textId="77777777" w:rsidR="00591F72" w:rsidRPr="00591F72" w:rsidRDefault="00591F72" w:rsidP="00591F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Gaps in security governance and policy management</w:t>
      </w:r>
    </w:p>
    <w:p w14:paraId="556D5020"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scope of the cybersecurity profile includes:</w:t>
      </w:r>
    </w:p>
    <w:p w14:paraId="5DA7D190" w14:textId="77777777" w:rsidR="00591F72" w:rsidRPr="00591F72" w:rsidRDefault="00591F72" w:rsidP="00591F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PaySphere payment processing platform</w:t>
      </w:r>
    </w:p>
    <w:p w14:paraId="0A1F5769" w14:textId="77777777" w:rsidR="00591F72" w:rsidRPr="00591F72" w:rsidRDefault="00591F72" w:rsidP="00591F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AWS Mumbai infrastructure</w:t>
      </w:r>
    </w:p>
    <w:p w14:paraId="6F68FF4E" w14:textId="77777777" w:rsidR="00591F72" w:rsidRPr="00591F72" w:rsidRDefault="00591F72" w:rsidP="00591F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DevOps environment</w:t>
      </w:r>
    </w:p>
    <w:p w14:paraId="2A173AF7" w14:textId="77777777" w:rsidR="00591F72" w:rsidRPr="00591F72" w:rsidRDefault="00591F72" w:rsidP="00591F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Customer Support functions</w:t>
      </w:r>
    </w:p>
    <w:p w14:paraId="583DD14C"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selected NIST CSF 2.0 Subcategories were prioritized based on their relevance to the existing PaySphere risk register, including risks PSR-001 through PSR-008.</w:t>
      </w:r>
    </w:p>
    <w:p w14:paraId="569339F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0E5EB200">
          <v:rect id="_x0000_i1027" style="width:0;height:1.5pt" o:hralign="center" o:hrstd="t" o:hr="t" fillcolor="#a0a0a0" stroked="f"/>
        </w:pict>
      </w:r>
    </w:p>
    <w:p w14:paraId="692354AD"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2. Project A — PaySphere NIST CSF 2.0 Current and Target Profile</w:t>
      </w:r>
    </w:p>
    <w:p w14:paraId="0B74678A"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2.1 Objective</w:t>
      </w:r>
    </w:p>
    <w:p w14:paraId="0BB4C1D3"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 xml:space="preserve">The objective of this project was to develop a focused </w:t>
      </w:r>
      <w:r w:rsidRPr="00591F72">
        <w:rPr>
          <w:rFonts w:ascii="Times New Roman" w:eastAsia="Times New Roman" w:hAnsi="Times New Roman" w:cs="Times New Roman"/>
          <w:b/>
          <w:bCs/>
          <w:sz w:val="24"/>
          <w:szCs w:val="24"/>
          <w:lang w:eastAsia="en-IN"/>
        </w:rPr>
        <w:t>NIST Cybersecurity Framework 2.0 Profile</w:t>
      </w:r>
      <w:r w:rsidRPr="00591F72">
        <w:rPr>
          <w:rFonts w:ascii="Times New Roman" w:eastAsia="Times New Roman" w:hAnsi="Times New Roman" w:cs="Times New Roman"/>
          <w:sz w:val="24"/>
          <w:szCs w:val="24"/>
          <w:lang w:eastAsia="en-IN"/>
        </w:rPr>
        <w:t xml:space="preserve"> that compares PaySphere's current cybersecurity posture against a defined target state.</w:t>
      </w:r>
    </w:p>
    <w:p w14:paraId="307C60F8"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Rather than assessing every NIST CSF 2.0 Subcategory, the Profile focuses on the areas most relevant to PaySphere's known risks.</w:t>
      </w:r>
    </w:p>
    <w:p w14:paraId="2EA0CF1B"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For each selected Subcategory, the assessment documents:</w:t>
      </w:r>
    </w:p>
    <w:p w14:paraId="6A35FD72" w14:textId="77777777" w:rsidR="00591F72" w:rsidRPr="00591F72" w:rsidRDefault="00591F72" w:rsidP="00591F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current state of implementation</w:t>
      </w:r>
    </w:p>
    <w:p w14:paraId="3448F8EC" w14:textId="77777777" w:rsidR="00591F72" w:rsidRPr="00591F72" w:rsidRDefault="00591F72" w:rsidP="00591F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desired target state</w:t>
      </w:r>
    </w:p>
    <w:p w14:paraId="6E824EE6" w14:textId="77777777" w:rsidR="00591F72" w:rsidRPr="00591F72" w:rsidRDefault="00591F72" w:rsidP="00591F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explicit capability or control gap</w:t>
      </w:r>
    </w:p>
    <w:p w14:paraId="1819AD3E"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This approach enables the Profile to function as a practical roadmap for security and compliance improvement rather than simply a framework checklist.</w:t>
      </w:r>
    </w:p>
    <w:p w14:paraId="2C17D55A"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61DF6830">
          <v:rect id="_x0000_i1028" style="width:0;height:1.5pt" o:hralign="center" o:hrstd="t" o:hr="t" fillcolor="#a0a0a0" stroked="f"/>
        </w:pict>
      </w:r>
    </w:p>
    <w:p w14:paraId="2960AF85"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2.2 Organizational Cybersecurity Tier Assessment</w:t>
      </w:r>
    </w:p>
    <w:p w14:paraId="7D3A4247"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lastRenderedPageBreak/>
        <w:t>Current Tier: Tier 2 — Risk Informed</w:t>
      </w:r>
    </w:p>
    <w:p w14:paraId="3F0D8A2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PaySphere demonstrates awareness of cybersecurity risks and maintains a documented risk register. Basic security controls are also present across parts of the environment.</w:t>
      </w:r>
    </w:p>
    <w:p w14:paraId="057953BC"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However, risk management practices are not consistently formalized or applied across the organization. Security decisions are frequently made at the team level without a consistently documented risk appetite, governance structure, or policy baseline.</w:t>
      </w:r>
    </w:p>
    <w:p w14:paraId="1A8DFFCF"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Characteristics of the current state include:</w:t>
      </w:r>
    </w:p>
    <w:p w14:paraId="549B57A1" w14:textId="77777777" w:rsidR="00591F72" w:rsidRPr="00591F72" w:rsidRDefault="00591F72" w:rsidP="00591F7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Informal risk ownership</w:t>
      </w:r>
    </w:p>
    <w:p w14:paraId="667D9480" w14:textId="77777777" w:rsidR="00591F72" w:rsidRPr="00591F72" w:rsidRDefault="00591F72" w:rsidP="00591F7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Limited executive-level risk governance</w:t>
      </w:r>
    </w:p>
    <w:p w14:paraId="7AB6EA9B" w14:textId="77777777" w:rsidR="00591F72" w:rsidRPr="00591F72" w:rsidRDefault="00591F72" w:rsidP="00591F7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Inconsistent policy implementation</w:t>
      </w:r>
    </w:p>
    <w:p w14:paraId="56534307" w14:textId="77777777" w:rsidR="00591F72" w:rsidRPr="00591F72" w:rsidRDefault="00591F72" w:rsidP="00591F7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Incomplete vendor monitoring</w:t>
      </w:r>
    </w:p>
    <w:p w14:paraId="533F5429" w14:textId="77777777" w:rsidR="00591F72" w:rsidRPr="00591F72" w:rsidRDefault="00591F72" w:rsidP="00591F7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Controls operating without sufficient formal documentation</w:t>
      </w:r>
    </w:p>
    <w:p w14:paraId="3F8C82F5" w14:textId="77777777" w:rsidR="00591F72" w:rsidRPr="00591F72" w:rsidRDefault="00591F72" w:rsidP="00591F7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Ad hoc decision-making in several security domains</w:t>
      </w:r>
    </w:p>
    <w:p w14:paraId="0C88D79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52ACF07F">
          <v:rect id="_x0000_i1029" style="width:0;height:1.5pt" o:hralign="center" o:hrstd="t" o:hr="t" fillcolor="#a0a0a0" stroked="f"/>
        </w:pict>
      </w:r>
    </w:p>
    <w:p w14:paraId="78C33C27"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Target Tier: Tier 3 — Repeatable</w:t>
      </w:r>
    </w:p>
    <w:p w14:paraId="74E799E1"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target state for PaySphere is a Repeatable cybersecurity risk management approach.</w:t>
      </w:r>
    </w:p>
    <w:p w14:paraId="7407345C"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 this target environment:</w:t>
      </w:r>
    </w:p>
    <w:p w14:paraId="5370B5B7" w14:textId="77777777" w:rsidR="00591F72" w:rsidRPr="00591F72" w:rsidRDefault="00591F72" w:rsidP="00591F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Formal security policies are established and consistently applied</w:t>
      </w:r>
    </w:p>
    <w:p w14:paraId="25F816E8" w14:textId="77777777" w:rsidR="00591F72" w:rsidRPr="00591F72" w:rsidRDefault="00591F72" w:rsidP="00591F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Risk ownership is documented</w:t>
      </w:r>
    </w:p>
    <w:p w14:paraId="39938B90" w14:textId="77777777" w:rsidR="00591F72" w:rsidRPr="00591F72" w:rsidRDefault="00591F72" w:rsidP="00591F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Risk-informed decisions are aligned with leadership-approved risk appetite</w:t>
      </w:r>
    </w:p>
    <w:p w14:paraId="6C5DDF83" w14:textId="77777777" w:rsidR="00591F72" w:rsidRPr="00591F72" w:rsidRDefault="00591F72" w:rsidP="00591F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Third-party risks are assessed and monitored on a defined cadence</w:t>
      </w:r>
    </w:p>
    <w:p w14:paraId="68549A60" w14:textId="77777777" w:rsidR="00591F72" w:rsidRPr="00591F72" w:rsidRDefault="00591F72" w:rsidP="00591F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Security controls operate within documented governance processes</w:t>
      </w:r>
    </w:p>
    <w:p w14:paraId="10B34366" w14:textId="77777777" w:rsidR="00591F72" w:rsidRPr="00591F72" w:rsidRDefault="00591F72" w:rsidP="00591F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Cybersecurity activities are consistently repeatable across the organization</w:t>
      </w:r>
    </w:p>
    <w:p w14:paraId="482D507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4F932A07">
          <v:rect id="_x0000_i1030" style="width:0;height:1.5pt" o:hralign="center" o:hrstd="t" o:hr="t" fillcolor="#a0a0a0" stroked="f"/>
        </w:pict>
      </w:r>
    </w:p>
    <w:p w14:paraId="0D747F62"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3. NIST CSF 2.0 Profile Assessment</w:t>
      </w:r>
    </w:p>
    <w:p w14:paraId="49479523"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3.1 GOVERN Function</w:t>
      </w:r>
    </w:p>
    <w:p w14:paraId="5A3144F1"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GV.RM-01 — Risk Management Objectives Established by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7646"/>
      </w:tblGrid>
      <w:tr w:rsidR="00591F72" w:rsidRPr="00591F72" w14:paraId="1B73EA32" w14:textId="77777777" w:rsidTr="00591F72">
        <w:trPr>
          <w:tblHeader/>
          <w:tblCellSpacing w:w="15" w:type="dxa"/>
        </w:trPr>
        <w:tc>
          <w:tcPr>
            <w:tcW w:w="0" w:type="auto"/>
            <w:vAlign w:val="center"/>
            <w:hideMark/>
          </w:tcPr>
          <w:p w14:paraId="2F2EBA9A"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2EB972C0"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1C7D1E98" w14:textId="77777777" w:rsidTr="00591F72">
        <w:trPr>
          <w:tblCellSpacing w:w="15" w:type="dxa"/>
        </w:trPr>
        <w:tc>
          <w:tcPr>
            <w:tcW w:w="0" w:type="auto"/>
            <w:vAlign w:val="center"/>
            <w:hideMark/>
          </w:tcPr>
          <w:p w14:paraId="48EC4DB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2C6E3F3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formal risk appetite statement exists. Security risk decisions are frequently delegated to engineering leads closest to the issue. Although the PaySphere risk register exists, it has not been formally commissioned by or incorporated into regular executive or board-level governance activities.</w:t>
            </w:r>
          </w:p>
        </w:tc>
      </w:tr>
      <w:tr w:rsidR="00591F72" w:rsidRPr="00591F72" w14:paraId="7E6F2745" w14:textId="77777777" w:rsidTr="00591F72">
        <w:trPr>
          <w:tblCellSpacing w:w="15" w:type="dxa"/>
        </w:trPr>
        <w:tc>
          <w:tcPr>
            <w:tcW w:w="0" w:type="auto"/>
            <w:vAlign w:val="center"/>
            <w:hideMark/>
          </w:tcPr>
          <w:p w14:paraId="070B645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lastRenderedPageBreak/>
              <w:t>Target Profile</w:t>
            </w:r>
          </w:p>
        </w:tc>
        <w:tc>
          <w:tcPr>
            <w:tcW w:w="0" w:type="auto"/>
            <w:vAlign w:val="center"/>
            <w:hideMark/>
          </w:tcPr>
          <w:p w14:paraId="5B1637F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 board-approved risk appetite statement defines tolerance levels for key cybersecurity and business risks, including data exposure, platform downtime, and third-party failure. The risk register is reviewed as part of a recurring executive or board governance process.</w:t>
            </w:r>
          </w:p>
        </w:tc>
      </w:tr>
      <w:tr w:rsidR="00591F72" w:rsidRPr="00591F72" w14:paraId="0478E015" w14:textId="77777777" w:rsidTr="00591F72">
        <w:trPr>
          <w:tblCellSpacing w:w="15" w:type="dxa"/>
        </w:trPr>
        <w:tc>
          <w:tcPr>
            <w:tcW w:w="0" w:type="auto"/>
            <w:vAlign w:val="center"/>
            <w:hideMark/>
          </w:tcPr>
          <w:p w14:paraId="0942890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588F172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documented risk appetite exists. Executive-level accountability for cybersecurity risk is limited, and the risk register operates without a formal leadership mandate.</w:t>
            </w:r>
          </w:p>
        </w:tc>
      </w:tr>
    </w:tbl>
    <w:p w14:paraId="2C394B1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5BC02BFA">
          <v:rect id="_x0000_i1031" style="width:0;height:1.5pt" o:hralign="center" o:hrstd="t" o:hr="t" fillcolor="#a0a0a0" stroked="f"/>
        </w:pict>
      </w:r>
    </w:p>
    <w:p w14:paraId="2D027372"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GV.RR-02 — Cybersecurity Roles and Responsibilities Established and Communicated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7634"/>
      </w:tblGrid>
      <w:tr w:rsidR="00591F72" w:rsidRPr="00591F72" w14:paraId="30AFB34D" w14:textId="77777777" w:rsidTr="00591F72">
        <w:trPr>
          <w:tblHeader/>
          <w:tblCellSpacing w:w="15" w:type="dxa"/>
        </w:trPr>
        <w:tc>
          <w:tcPr>
            <w:tcW w:w="0" w:type="auto"/>
            <w:vAlign w:val="center"/>
            <w:hideMark/>
          </w:tcPr>
          <w:p w14:paraId="521397D5"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54B4A1CA"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62734F2A" w14:textId="77777777" w:rsidTr="00591F72">
        <w:trPr>
          <w:tblCellSpacing w:w="15" w:type="dxa"/>
        </w:trPr>
        <w:tc>
          <w:tcPr>
            <w:tcW w:w="0" w:type="auto"/>
            <w:vAlign w:val="center"/>
            <w:hideMark/>
          </w:tcPr>
          <w:p w14:paraId="5F7E608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0E4AB0F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Cybersecurity ownership is largely informal. Security responsibilities are generally perceived as belonging to the security team, and individual ownership of specific risks is not consistently documented.</w:t>
            </w:r>
          </w:p>
        </w:tc>
      </w:tr>
      <w:tr w:rsidR="00591F72" w:rsidRPr="00591F72" w14:paraId="467BC989" w14:textId="77777777" w:rsidTr="00591F72">
        <w:trPr>
          <w:tblCellSpacing w:w="15" w:type="dxa"/>
        </w:trPr>
        <w:tc>
          <w:tcPr>
            <w:tcW w:w="0" w:type="auto"/>
            <w:vAlign w:val="center"/>
            <w:hideMark/>
          </w:tcPr>
          <w:p w14:paraId="7CB0E5E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296FF0F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 documented RACI model assigns ownership for all significant risks. For example, privileged access and application vulnerabilities have designated security ownership, BCDR has infrastructure ownership, and vendor or regulatory risks have compliance ownership.</w:t>
            </w:r>
          </w:p>
        </w:tc>
      </w:tr>
      <w:tr w:rsidR="00591F72" w:rsidRPr="00591F72" w14:paraId="75DD1756" w14:textId="77777777" w:rsidTr="00591F72">
        <w:trPr>
          <w:tblCellSpacing w:w="15" w:type="dxa"/>
        </w:trPr>
        <w:tc>
          <w:tcPr>
            <w:tcW w:w="0" w:type="auto"/>
            <w:vAlign w:val="center"/>
            <w:hideMark/>
          </w:tcPr>
          <w:p w14:paraId="15EF612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1B6E69C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formal RACI exists, and risk accountability is assumed rather than explicitly assigned.</w:t>
            </w:r>
          </w:p>
        </w:tc>
      </w:tr>
    </w:tbl>
    <w:p w14:paraId="3DD53DD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76640310">
          <v:rect id="_x0000_i1032" style="width:0;height:1.5pt" o:hralign="center" o:hrstd="t" o:hr="t" fillcolor="#a0a0a0" stroked="f"/>
        </w:pict>
      </w:r>
    </w:p>
    <w:p w14:paraId="38B26E32"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GV.PO-01 — Policy for Managing Cybersecurity Risk Established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7636"/>
      </w:tblGrid>
      <w:tr w:rsidR="00591F72" w:rsidRPr="00591F72" w14:paraId="6D11BD04" w14:textId="77777777" w:rsidTr="00591F72">
        <w:trPr>
          <w:tblHeader/>
          <w:tblCellSpacing w:w="15" w:type="dxa"/>
        </w:trPr>
        <w:tc>
          <w:tcPr>
            <w:tcW w:w="0" w:type="auto"/>
            <w:vAlign w:val="center"/>
            <w:hideMark/>
          </w:tcPr>
          <w:p w14:paraId="303A4F21"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47FA6C18"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584DB366" w14:textId="77777777" w:rsidTr="00591F72">
        <w:trPr>
          <w:tblCellSpacing w:w="15" w:type="dxa"/>
        </w:trPr>
        <w:tc>
          <w:tcPr>
            <w:tcW w:w="0" w:type="auto"/>
            <w:vAlign w:val="center"/>
            <w:hideMark/>
          </w:tcPr>
          <w:p w14:paraId="5C8D3CA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315D032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Key policies are missing or incomplete, including formal access control and security awareness requirements. Security decisions are often made in response to incidents rather than through an established policy framework.</w:t>
            </w:r>
          </w:p>
        </w:tc>
      </w:tr>
      <w:tr w:rsidR="00591F72" w:rsidRPr="00591F72" w14:paraId="25F1F964" w14:textId="77777777" w:rsidTr="00591F72">
        <w:trPr>
          <w:tblCellSpacing w:w="15" w:type="dxa"/>
        </w:trPr>
        <w:tc>
          <w:tcPr>
            <w:tcW w:w="0" w:type="auto"/>
            <w:vAlign w:val="center"/>
            <w:hideMark/>
          </w:tcPr>
          <w:p w14:paraId="37E8228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5F82548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 minimum governance policy set is implemented, including an Information Security Policy, Access Control Policy, Vendor Risk Management Policy, and Incident Response Policy. Policies are approved by appropriate leadership, version-controlled, and reviewed annually.</w:t>
            </w:r>
          </w:p>
        </w:tc>
      </w:tr>
      <w:tr w:rsidR="00591F72" w:rsidRPr="00591F72" w14:paraId="058F4D2E" w14:textId="77777777" w:rsidTr="00591F72">
        <w:trPr>
          <w:tblCellSpacing w:w="15" w:type="dxa"/>
        </w:trPr>
        <w:tc>
          <w:tcPr>
            <w:tcW w:w="0" w:type="auto"/>
            <w:vAlign w:val="center"/>
            <w:hideMark/>
          </w:tcPr>
          <w:p w14:paraId="4EF9413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4B47337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Controls are operating without an adequate policy backbone, creating governance and audit readiness concerns.</w:t>
            </w:r>
          </w:p>
        </w:tc>
      </w:tr>
    </w:tbl>
    <w:p w14:paraId="6590A07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75D67691">
          <v:rect id="_x0000_i1033" style="width:0;height:1.5pt" o:hralign="center" o:hrstd="t" o:hr="t" fillcolor="#a0a0a0" stroked="f"/>
        </w:pict>
      </w:r>
    </w:p>
    <w:p w14:paraId="786915B9"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GV.SC-07 — Supplier Risks Understood, Recorded, Prioritized, and Monitored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7636"/>
      </w:tblGrid>
      <w:tr w:rsidR="00591F72" w:rsidRPr="00591F72" w14:paraId="3BF3A61B" w14:textId="77777777" w:rsidTr="00591F72">
        <w:trPr>
          <w:tblHeader/>
          <w:tblCellSpacing w:w="15" w:type="dxa"/>
        </w:trPr>
        <w:tc>
          <w:tcPr>
            <w:tcW w:w="0" w:type="auto"/>
            <w:vAlign w:val="center"/>
            <w:hideMark/>
          </w:tcPr>
          <w:p w14:paraId="72735D41"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lastRenderedPageBreak/>
              <w:t>Assessment Area</w:t>
            </w:r>
          </w:p>
        </w:tc>
        <w:tc>
          <w:tcPr>
            <w:tcW w:w="0" w:type="auto"/>
            <w:vAlign w:val="center"/>
            <w:hideMark/>
          </w:tcPr>
          <w:p w14:paraId="4ECD7AFA"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6E04DA3A" w14:textId="77777777" w:rsidTr="00591F72">
        <w:trPr>
          <w:tblCellSpacing w:w="15" w:type="dxa"/>
        </w:trPr>
        <w:tc>
          <w:tcPr>
            <w:tcW w:w="0" w:type="auto"/>
            <w:vAlign w:val="center"/>
            <w:hideMark/>
          </w:tcPr>
          <w:p w14:paraId="0D38391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40F40F8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Vendor concentration risk has been identified at a high level, but individual vendor risk records are incomplete. Some critical vendors have contractual documentation, while others have not been formally assessed. No consistent monitoring cadence exists.</w:t>
            </w:r>
          </w:p>
        </w:tc>
      </w:tr>
      <w:tr w:rsidR="00591F72" w:rsidRPr="00591F72" w14:paraId="4651A1BA" w14:textId="77777777" w:rsidTr="00591F72">
        <w:trPr>
          <w:tblCellSpacing w:w="15" w:type="dxa"/>
        </w:trPr>
        <w:tc>
          <w:tcPr>
            <w:tcW w:w="0" w:type="auto"/>
            <w:vAlign w:val="center"/>
            <w:hideMark/>
          </w:tcPr>
          <w:p w14:paraId="4B34CCA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439BAD3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 vendor risk record exists for each critical supplier and includes vendor criticality, data access scope, security attestations, contractual obligations, assessment history, and review dates. Critical vendors are monitored on a recurring basis with defined escalation triggers.</w:t>
            </w:r>
          </w:p>
        </w:tc>
      </w:tr>
      <w:tr w:rsidR="00591F72" w:rsidRPr="00591F72" w14:paraId="31CBAE6F" w14:textId="77777777" w:rsidTr="00591F72">
        <w:trPr>
          <w:tblCellSpacing w:w="15" w:type="dxa"/>
        </w:trPr>
        <w:tc>
          <w:tcPr>
            <w:tcW w:w="0" w:type="auto"/>
            <w:vAlign w:val="center"/>
            <w:hideMark/>
          </w:tcPr>
          <w:p w14:paraId="44B6289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1B41439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Vendor assessments are incomplete, monitoring is inconsistent, and no standardized process exists for tracking supplier security posture changes.</w:t>
            </w:r>
          </w:p>
        </w:tc>
      </w:tr>
    </w:tbl>
    <w:p w14:paraId="6DEFAE5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3F8F9F53">
          <v:rect id="_x0000_i1034" style="width:0;height:1.5pt" o:hralign="center" o:hrstd="t" o:hr="t" fillcolor="#a0a0a0" stroked="f"/>
        </w:pict>
      </w:r>
    </w:p>
    <w:p w14:paraId="1F002D87"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4. PROTECT Function</w:t>
      </w:r>
    </w:p>
    <w:p w14:paraId="64DF5980"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PR.AA-05 — Access Permissions Managed Using Least Privilege and Separation of Duties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7644"/>
      </w:tblGrid>
      <w:tr w:rsidR="00591F72" w:rsidRPr="00591F72" w14:paraId="0493B9DE" w14:textId="77777777" w:rsidTr="00591F72">
        <w:trPr>
          <w:tblHeader/>
          <w:tblCellSpacing w:w="15" w:type="dxa"/>
        </w:trPr>
        <w:tc>
          <w:tcPr>
            <w:tcW w:w="0" w:type="auto"/>
            <w:vAlign w:val="center"/>
            <w:hideMark/>
          </w:tcPr>
          <w:p w14:paraId="67796BF3"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382F2B0F"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774A394D" w14:textId="77777777" w:rsidTr="00591F72">
        <w:trPr>
          <w:tblCellSpacing w:w="15" w:type="dxa"/>
        </w:trPr>
        <w:tc>
          <w:tcPr>
            <w:tcW w:w="0" w:type="auto"/>
            <w:vAlign w:val="center"/>
            <w:hideMark/>
          </w:tcPr>
          <w:p w14:paraId="324E1DD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79DB90A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Standing administrative access exists within the production environment. Formal access review processes are not established, and separation of duties between DevOps and database administration functions is not consistently documented. MFA is available but not uniformly enforced.</w:t>
            </w:r>
          </w:p>
        </w:tc>
      </w:tr>
      <w:tr w:rsidR="00591F72" w:rsidRPr="00591F72" w14:paraId="616B348D" w14:textId="77777777" w:rsidTr="00591F72">
        <w:trPr>
          <w:tblCellSpacing w:w="15" w:type="dxa"/>
        </w:trPr>
        <w:tc>
          <w:tcPr>
            <w:tcW w:w="0" w:type="auto"/>
            <w:vAlign w:val="center"/>
            <w:hideMark/>
          </w:tcPr>
          <w:p w14:paraId="758533E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1226467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Production privileged access operates through a Just-in-Time access model. Access control lists are reviewed quarterly, separation of duties is documented, and MFA is enforced for all applicable accounts.</w:t>
            </w:r>
          </w:p>
        </w:tc>
      </w:tr>
      <w:tr w:rsidR="00591F72" w:rsidRPr="00591F72" w14:paraId="7FB47144" w14:textId="77777777" w:rsidTr="00591F72">
        <w:trPr>
          <w:tblCellSpacing w:w="15" w:type="dxa"/>
        </w:trPr>
        <w:tc>
          <w:tcPr>
            <w:tcW w:w="0" w:type="auto"/>
            <w:vAlign w:val="center"/>
            <w:hideMark/>
          </w:tcPr>
          <w:p w14:paraId="68CBEAD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71FC862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Standing privileged access remains in production, periodic access reviews are absent, separation of duties is undocumented, and MFA enforcement is inconsistent.</w:t>
            </w:r>
          </w:p>
        </w:tc>
      </w:tr>
    </w:tbl>
    <w:p w14:paraId="486A46E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03DFF65E">
          <v:rect id="_x0000_i1035" style="width:0;height:1.5pt" o:hralign="center" o:hrstd="t" o:hr="t" fillcolor="#a0a0a0" stroked="f"/>
        </w:pict>
      </w:r>
    </w:p>
    <w:p w14:paraId="302EAF83"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PR.DS-01 — Data at Rest Protected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7635"/>
      </w:tblGrid>
      <w:tr w:rsidR="00591F72" w:rsidRPr="00591F72" w14:paraId="0DAA7597" w14:textId="77777777" w:rsidTr="00591F72">
        <w:trPr>
          <w:tblHeader/>
          <w:tblCellSpacing w:w="15" w:type="dxa"/>
        </w:trPr>
        <w:tc>
          <w:tcPr>
            <w:tcW w:w="0" w:type="auto"/>
            <w:vAlign w:val="center"/>
            <w:hideMark/>
          </w:tcPr>
          <w:p w14:paraId="0A0FF2C9"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20E1B35B"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5A2FA85D" w14:textId="77777777" w:rsidTr="00591F72">
        <w:trPr>
          <w:tblCellSpacing w:w="15" w:type="dxa"/>
        </w:trPr>
        <w:tc>
          <w:tcPr>
            <w:tcW w:w="0" w:type="auto"/>
            <w:vAlign w:val="center"/>
            <w:hideMark/>
          </w:tcPr>
          <w:p w14:paraId="5F6DD8E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1427E95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Encryption at rest is enabled for the primary AWS RDS transaction database. However, encryption coverage across other systems and third-party platforms has not been comprehensively documented.</w:t>
            </w:r>
          </w:p>
        </w:tc>
      </w:tr>
      <w:tr w:rsidR="00591F72" w:rsidRPr="00591F72" w14:paraId="06A76C49" w14:textId="77777777" w:rsidTr="00591F72">
        <w:trPr>
          <w:tblCellSpacing w:w="15" w:type="dxa"/>
        </w:trPr>
        <w:tc>
          <w:tcPr>
            <w:tcW w:w="0" w:type="auto"/>
            <w:vAlign w:val="center"/>
            <w:hideMark/>
          </w:tcPr>
          <w:p w14:paraId="715AD7F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451D0DC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Encryption-at-rest requirements are confirmed and documented for all systems storing transaction, payment, or sensitive customer information. A centralized encryption inventory is maintained, and key management and rotation requirements are formally defined.</w:t>
            </w:r>
          </w:p>
        </w:tc>
      </w:tr>
      <w:tr w:rsidR="00591F72" w:rsidRPr="00591F72" w14:paraId="28620D62" w14:textId="77777777" w:rsidTr="00591F72">
        <w:trPr>
          <w:tblCellSpacing w:w="15" w:type="dxa"/>
        </w:trPr>
        <w:tc>
          <w:tcPr>
            <w:tcW w:w="0" w:type="auto"/>
            <w:vAlign w:val="center"/>
            <w:hideMark/>
          </w:tcPr>
          <w:p w14:paraId="5FF1D4D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lastRenderedPageBreak/>
              <w:t>Gap</w:t>
            </w:r>
          </w:p>
        </w:tc>
        <w:tc>
          <w:tcPr>
            <w:tcW w:w="0" w:type="auto"/>
            <w:vAlign w:val="center"/>
            <w:hideMark/>
          </w:tcPr>
          <w:p w14:paraId="5B7EBE9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complete encryption inventory exists, encryption coverage outside the primary database is not fully confirmed, and key rotation requirements are not formally documented.</w:t>
            </w:r>
          </w:p>
        </w:tc>
      </w:tr>
    </w:tbl>
    <w:p w14:paraId="54A8255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41FB2500">
          <v:rect id="_x0000_i1036" style="width:0;height:1.5pt" o:hralign="center" o:hrstd="t" o:hr="t" fillcolor="#a0a0a0" stroked="f"/>
        </w:pict>
      </w:r>
    </w:p>
    <w:p w14:paraId="51AE6CE6"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PR.DS-02 — Data in Transit Protected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7588"/>
      </w:tblGrid>
      <w:tr w:rsidR="00591F72" w:rsidRPr="00591F72" w14:paraId="034798C9" w14:textId="77777777" w:rsidTr="00591F72">
        <w:trPr>
          <w:tblHeader/>
          <w:tblCellSpacing w:w="15" w:type="dxa"/>
        </w:trPr>
        <w:tc>
          <w:tcPr>
            <w:tcW w:w="0" w:type="auto"/>
            <w:vAlign w:val="center"/>
            <w:hideMark/>
          </w:tcPr>
          <w:p w14:paraId="2B94A705"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00D84123"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47B58EB2" w14:textId="77777777" w:rsidTr="00591F72">
        <w:trPr>
          <w:tblCellSpacing w:w="15" w:type="dxa"/>
        </w:trPr>
        <w:tc>
          <w:tcPr>
            <w:tcW w:w="0" w:type="auto"/>
            <w:vAlign w:val="center"/>
            <w:hideMark/>
          </w:tcPr>
          <w:p w14:paraId="6CBD0BE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2B7F24DA"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TLS protects merchant portal communications, but encryption between internal services is not consistently implemented. Certificate inventory and expiry monitoring are also absent.</w:t>
            </w:r>
          </w:p>
        </w:tc>
      </w:tr>
      <w:tr w:rsidR="00591F72" w:rsidRPr="00591F72" w14:paraId="639004CB" w14:textId="77777777" w:rsidTr="00591F72">
        <w:trPr>
          <w:tblCellSpacing w:w="15" w:type="dxa"/>
        </w:trPr>
        <w:tc>
          <w:tcPr>
            <w:tcW w:w="0" w:type="auto"/>
            <w:vAlign w:val="center"/>
            <w:hideMark/>
          </w:tcPr>
          <w:p w14:paraId="1B3011CA"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1E27450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TLS 1.2 or higher is enforced across external-facing services. Internal service-to-service encryption is consistently implemented, and certificate inventory and automated expiry alerting are maintained.</w:t>
            </w:r>
          </w:p>
        </w:tc>
      </w:tr>
      <w:tr w:rsidR="00591F72" w:rsidRPr="00591F72" w14:paraId="0D63B4D0" w14:textId="77777777" w:rsidTr="00591F72">
        <w:trPr>
          <w:tblCellSpacing w:w="15" w:type="dxa"/>
        </w:trPr>
        <w:tc>
          <w:tcPr>
            <w:tcW w:w="0" w:type="auto"/>
            <w:vAlign w:val="center"/>
            <w:hideMark/>
          </w:tcPr>
          <w:p w14:paraId="2714C52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62DB2D3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Internal encryption coverage is incomplete, and no formal certificate monitoring or inventory exists.</w:t>
            </w:r>
          </w:p>
        </w:tc>
      </w:tr>
    </w:tbl>
    <w:p w14:paraId="451C4AC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5AC75B52">
          <v:rect id="_x0000_i1037" style="width:0;height:1.5pt" o:hralign="center" o:hrstd="t" o:hr="t" fillcolor="#a0a0a0" stroked="f"/>
        </w:pict>
      </w:r>
    </w:p>
    <w:p w14:paraId="696CBAFB"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5. DETECT Function</w:t>
      </w:r>
    </w:p>
    <w:p w14:paraId="0B4E2C78"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DE.CM-01 — Networks and Services Monitored for Adverse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7646"/>
      </w:tblGrid>
      <w:tr w:rsidR="00591F72" w:rsidRPr="00591F72" w14:paraId="55B248A0" w14:textId="77777777" w:rsidTr="00591F72">
        <w:trPr>
          <w:tblHeader/>
          <w:tblCellSpacing w:w="15" w:type="dxa"/>
        </w:trPr>
        <w:tc>
          <w:tcPr>
            <w:tcW w:w="0" w:type="auto"/>
            <w:vAlign w:val="center"/>
            <w:hideMark/>
          </w:tcPr>
          <w:p w14:paraId="510C9FAE"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6C56B6DE"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7D823CC7" w14:textId="77777777" w:rsidTr="00591F72">
        <w:trPr>
          <w:tblCellSpacing w:w="15" w:type="dxa"/>
        </w:trPr>
        <w:tc>
          <w:tcPr>
            <w:tcW w:w="0" w:type="auto"/>
            <w:vAlign w:val="center"/>
            <w:hideMark/>
          </w:tcPr>
          <w:p w14:paraId="3399043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1043362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Basic AWS CloudWatch logging is enabled, but logs are not centrally correlated or actively monitored through a SIEM. No specific detection rules exist for anomalous privileged account activity, unusual production access, or bulk data export events.</w:t>
            </w:r>
          </w:p>
        </w:tc>
      </w:tr>
      <w:tr w:rsidR="00591F72" w:rsidRPr="00591F72" w14:paraId="0FDF1C20" w14:textId="77777777" w:rsidTr="00591F72">
        <w:trPr>
          <w:tblCellSpacing w:w="15" w:type="dxa"/>
        </w:trPr>
        <w:tc>
          <w:tcPr>
            <w:tcW w:w="0" w:type="auto"/>
            <w:vAlign w:val="center"/>
            <w:hideMark/>
          </w:tcPr>
          <w:p w14:paraId="086295B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4916EF1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Centralized monitoring is implemented through a SIEM or equivalent monitoring platform. Detection rules monitor anomalous administrative logins, after-hours production access, and unusual data export activity. A defined alert escalation and on-call process supports continuous monitoring.</w:t>
            </w:r>
          </w:p>
        </w:tc>
      </w:tr>
      <w:tr w:rsidR="00591F72" w:rsidRPr="00591F72" w14:paraId="7CE50F43" w14:textId="77777777" w:rsidTr="00591F72">
        <w:trPr>
          <w:tblCellSpacing w:w="15" w:type="dxa"/>
        </w:trPr>
        <w:tc>
          <w:tcPr>
            <w:tcW w:w="0" w:type="auto"/>
            <w:vAlign w:val="center"/>
            <w:hideMark/>
          </w:tcPr>
          <w:p w14:paraId="7D46B82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1D12FF9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Logging exists but active monitoring and detection capabilities are insufficient. This creates a distinction between collecting security logs and actually detecting security events.</w:t>
            </w:r>
          </w:p>
        </w:tc>
      </w:tr>
    </w:tbl>
    <w:p w14:paraId="7A87666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2D074F54">
          <v:rect id="_x0000_i1038" style="width:0;height:1.5pt" o:hralign="center" o:hrstd="t" o:hr="t" fillcolor="#a0a0a0" stroked="f"/>
        </w:pict>
      </w:r>
    </w:p>
    <w:p w14:paraId="376FD748"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DE.CM-09 — Endpoint Hardware and Software Monitored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7600"/>
      </w:tblGrid>
      <w:tr w:rsidR="00591F72" w:rsidRPr="00591F72" w14:paraId="200FCF75" w14:textId="77777777" w:rsidTr="00591F72">
        <w:trPr>
          <w:tblHeader/>
          <w:tblCellSpacing w:w="15" w:type="dxa"/>
        </w:trPr>
        <w:tc>
          <w:tcPr>
            <w:tcW w:w="0" w:type="auto"/>
            <w:vAlign w:val="center"/>
            <w:hideMark/>
          </w:tcPr>
          <w:p w14:paraId="58A2AD9C"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lastRenderedPageBreak/>
              <w:t>Assessment Area</w:t>
            </w:r>
          </w:p>
        </w:tc>
        <w:tc>
          <w:tcPr>
            <w:tcW w:w="0" w:type="auto"/>
            <w:vAlign w:val="center"/>
            <w:hideMark/>
          </w:tcPr>
          <w:p w14:paraId="73EB2C4F"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5235D2AD" w14:textId="77777777" w:rsidTr="00591F72">
        <w:trPr>
          <w:tblCellSpacing w:w="15" w:type="dxa"/>
        </w:trPr>
        <w:tc>
          <w:tcPr>
            <w:tcW w:w="0" w:type="auto"/>
            <w:vAlign w:val="center"/>
            <w:hideMark/>
          </w:tcPr>
          <w:p w14:paraId="19967F9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3DAA882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Developer endpoints do not have a centralized endpoint monitoring or device management capability. Device loss or theft may therefore occur without sufficient visibility into potential unauthorized access or compromise.</w:t>
            </w:r>
          </w:p>
        </w:tc>
      </w:tr>
      <w:tr w:rsidR="00591F72" w:rsidRPr="00591F72" w14:paraId="79690CAD" w14:textId="77777777" w:rsidTr="00591F72">
        <w:trPr>
          <w:tblCellSpacing w:w="15" w:type="dxa"/>
        </w:trPr>
        <w:tc>
          <w:tcPr>
            <w:tcW w:w="0" w:type="auto"/>
            <w:vAlign w:val="center"/>
            <w:hideMark/>
          </w:tcPr>
          <w:p w14:paraId="75E00B8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2F26AA8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Mobile Device Management and endpoint monitoring are deployed across developer devices. Controls include device inventory, unauthorized software detection, remote wipe capability, and login anomaly monitoring.</w:t>
            </w:r>
          </w:p>
        </w:tc>
      </w:tr>
      <w:tr w:rsidR="00591F72" w:rsidRPr="00591F72" w14:paraId="1168EF9B" w14:textId="77777777" w:rsidTr="00591F72">
        <w:trPr>
          <w:tblCellSpacing w:w="15" w:type="dxa"/>
        </w:trPr>
        <w:tc>
          <w:tcPr>
            <w:tcW w:w="0" w:type="auto"/>
            <w:vAlign w:val="center"/>
            <w:hideMark/>
          </w:tcPr>
          <w:p w14:paraId="4E1850E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15E51BD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Endpoint visibility and monitoring are limited, leaving device loss and compromise risks without adequate detective coverage.</w:t>
            </w:r>
          </w:p>
        </w:tc>
      </w:tr>
    </w:tbl>
    <w:p w14:paraId="01BCB62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0C7B0AA2">
          <v:rect id="_x0000_i1039" style="width:0;height:1.5pt" o:hralign="center" o:hrstd="t" o:hr="t" fillcolor="#a0a0a0" stroked="f"/>
        </w:pict>
      </w:r>
    </w:p>
    <w:p w14:paraId="3FA4830E"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6. RESPOND AND RECOVER Functions</w:t>
      </w:r>
    </w:p>
    <w:p w14:paraId="25449338"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RS.CO-02 — Stakeholders Notified of Cybersecurity Incidents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608"/>
      </w:tblGrid>
      <w:tr w:rsidR="00591F72" w:rsidRPr="00591F72" w14:paraId="3E03EACE" w14:textId="77777777" w:rsidTr="00591F72">
        <w:trPr>
          <w:tblHeader/>
          <w:tblCellSpacing w:w="15" w:type="dxa"/>
        </w:trPr>
        <w:tc>
          <w:tcPr>
            <w:tcW w:w="0" w:type="auto"/>
            <w:vAlign w:val="center"/>
            <w:hideMark/>
          </w:tcPr>
          <w:p w14:paraId="52D0A1BC"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28D993B2"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74655FD1" w14:textId="77777777" w:rsidTr="00591F72">
        <w:trPr>
          <w:tblCellSpacing w:w="15" w:type="dxa"/>
        </w:trPr>
        <w:tc>
          <w:tcPr>
            <w:tcW w:w="0" w:type="auto"/>
            <w:vAlign w:val="center"/>
            <w:hideMark/>
          </w:tcPr>
          <w:p w14:paraId="3753C43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239A601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formal incident notification procedure exists. Merchant notification obligations have been identified, but notification responsibilities and timelines have not been operationalized.</w:t>
            </w:r>
          </w:p>
        </w:tc>
      </w:tr>
      <w:tr w:rsidR="00591F72" w:rsidRPr="00591F72" w14:paraId="4C4AE43A" w14:textId="77777777" w:rsidTr="00591F72">
        <w:trPr>
          <w:tblCellSpacing w:w="15" w:type="dxa"/>
        </w:trPr>
        <w:tc>
          <w:tcPr>
            <w:tcW w:w="0" w:type="auto"/>
            <w:vAlign w:val="center"/>
            <w:hideMark/>
          </w:tcPr>
          <w:p w14:paraId="7019D2BA"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29B628E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An Incident Response playbook defines stakeholder notification procedures, escalation responsibilities, internal reporting timelines, customer communication requirements, and applicable regulatory notification requirements.</w:t>
            </w:r>
          </w:p>
        </w:tc>
      </w:tr>
      <w:tr w:rsidR="00591F72" w:rsidRPr="00591F72" w14:paraId="585D4B32" w14:textId="77777777" w:rsidTr="00591F72">
        <w:trPr>
          <w:tblCellSpacing w:w="15" w:type="dxa"/>
        </w:trPr>
        <w:tc>
          <w:tcPr>
            <w:tcW w:w="0" w:type="auto"/>
            <w:vAlign w:val="center"/>
            <w:hideMark/>
          </w:tcPr>
          <w:p w14:paraId="7022708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744363E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formal incident notification playbook or operational procedure exists.</w:t>
            </w:r>
          </w:p>
        </w:tc>
      </w:tr>
    </w:tbl>
    <w:p w14:paraId="0E1A9DC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67539668">
          <v:rect id="_x0000_i1040" style="width:0;height:1.5pt" o:hralign="center" o:hrstd="t" o:hr="t" fillcolor="#a0a0a0" stroked="f"/>
        </w:pict>
      </w:r>
    </w:p>
    <w:p w14:paraId="2E228766"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RC.RP-01 — Recovery Plan Executed During or Following an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7589"/>
      </w:tblGrid>
      <w:tr w:rsidR="00591F72" w:rsidRPr="00591F72" w14:paraId="23F6B4E0" w14:textId="77777777" w:rsidTr="00591F72">
        <w:trPr>
          <w:tblHeader/>
          <w:tblCellSpacing w:w="15" w:type="dxa"/>
        </w:trPr>
        <w:tc>
          <w:tcPr>
            <w:tcW w:w="0" w:type="auto"/>
            <w:vAlign w:val="center"/>
            <w:hideMark/>
          </w:tcPr>
          <w:p w14:paraId="7DB113D1"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Area</w:t>
            </w:r>
          </w:p>
        </w:tc>
        <w:tc>
          <w:tcPr>
            <w:tcW w:w="0" w:type="auto"/>
            <w:vAlign w:val="center"/>
            <w:hideMark/>
          </w:tcPr>
          <w:p w14:paraId="0D5228DF"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Profile</w:t>
            </w:r>
          </w:p>
        </w:tc>
      </w:tr>
      <w:tr w:rsidR="00591F72" w:rsidRPr="00591F72" w14:paraId="4A534AF9" w14:textId="77777777" w:rsidTr="00591F72">
        <w:trPr>
          <w:tblCellSpacing w:w="15" w:type="dxa"/>
        </w:trPr>
        <w:tc>
          <w:tcPr>
            <w:tcW w:w="0" w:type="auto"/>
            <w:vAlign w:val="center"/>
            <w:hideMark/>
          </w:tcPr>
          <w:p w14:paraId="4A85C24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Current Profile</w:t>
            </w:r>
          </w:p>
        </w:tc>
        <w:tc>
          <w:tcPr>
            <w:tcW w:w="0" w:type="auto"/>
            <w:vAlign w:val="center"/>
            <w:hideMark/>
          </w:tcPr>
          <w:p w14:paraId="0879F90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documented or tested Business Continuity and Disaster Recovery plan exists. Recovery objectives and failover procedures have not been formally defined.</w:t>
            </w:r>
          </w:p>
        </w:tc>
      </w:tr>
      <w:tr w:rsidR="00591F72" w:rsidRPr="00591F72" w14:paraId="00AFF843" w14:textId="77777777" w:rsidTr="00591F72">
        <w:trPr>
          <w:tblCellSpacing w:w="15" w:type="dxa"/>
        </w:trPr>
        <w:tc>
          <w:tcPr>
            <w:tcW w:w="0" w:type="auto"/>
            <w:vAlign w:val="center"/>
            <w:hideMark/>
          </w:tcPr>
          <w:p w14:paraId="78700C9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Target Profile</w:t>
            </w:r>
          </w:p>
        </w:tc>
        <w:tc>
          <w:tcPr>
            <w:tcW w:w="0" w:type="auto"/>
            <w:vAlign w:val="center"/>
            <w:hideMark/>
          </w:tcPr>
          <w:p w14:paraId="7DA010C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 documented and tested BCDR program defines Recovery Time Objectives and Recovery Point Objectives by system criticality. AWS failover procedures are documented and tested through periodic exercises.</w:t>
            </w:r>
          </w:p>
        </w:tc>
      </w:tr>
      <w:tr w:rsidR="00591F72" w:rsidRPr="00591F72" w14:paraId="643F48D3" w14:textId="77777777" w:rsidTr="00591F72">
        <w:trPr>
          <w:tblCellSpacing w:w="15" w:type="dxa"/>
        </w:trPr>
        <w:tc>
          <w:tcPr>
            <w:tcW w:w="0" w:type="auto"/>
            <w:vAlign w:val="center"/>
            <w:hideMark/>
          </w:tcPr>
          <w:p w14:paraId="79D3D9B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Gap</w:t>
            </w:r>
          </w:p>
        </w:tc>
        <w:tc>
          <w:tcPr>
            <w:tcW w:w="0" w:type="auto"/>
            <w:vAlign w:val="center"/>
            <w:hideMark/>
          </w:tcPr>
          <w:p w14:paraId="4F53FDE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BCDR plan, RTO/RPO definition, or tested recovery procedure currently exists.</w:t>
            </w:r>
          </w:p>
        </w:tc>
      </w:tr>
    </w:tbl>
    <w:p w14:paraId="6AD9A74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0CBDFE68">
          <v:rect id="_x0000_i1041" style="width:0;height:1.5pt" o:hralign="center" o:hrstd="t" o:hr="t" fillcolor="#a0a0a0" stroked="f"/>
        </w:pict>
      </w:r>
    </w:p>
    <w:p w14:paraId="3AF467AD"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lastRenderedPageBreak/>
        <w:t>7. Key Findings from the CSF Profile</w:t>
      </w:r>
    </w:p>
    <w:p w14:paraId="4D3A39EE"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Profile identified several cross-functional themes that significantly affect PaySphere's overall cybersecurity posture.</w:t>
      </w:r>
    </w:p>
    <w:p w14:paraId="4DCD3062"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Governance Maturity</w:t>
      </w:r>
    </w:p>
    <w:p w14:paraId="53C60009"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organization has identified risks but lacks sufficient formalization around:</w:t>
      </w:r>
    </w:p>
    <w:p w14:paraId="6DFC2A57" w14:textId="77777777" w:rsidR="00591F72" w:rsidRPr="00591F72" w:rsidRDefault="00591F72" w:rsidP="00591F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Risk appetite</w:t>
      </w:r>
    </w:p>
    <w:p w14:paraId="7DF139F9" w14:textId="77777777" w:rsidR="00591F72" w:rsidRPr="00591F72" w:rsidRDefault="00591F72" w:rsidP="00591F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Executive oversight</w:t>
      </w:r>
    </w:p>
    <w:p w14:paraId="2A49F4BA" w14:textId="77777777" w:rsidR="00591F72" w:rsidRPr="00591F72" w:rsidRDefault="00591F72" w:rsidP="00591F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Risk ownership</w:t>
      </w:r>
    </w:p>
    <w:p w14:paraId="723E535E" w14:textId="77777777" w:rsidR="00591F72" w:rsidRPr="00591F72" w:rsidRDefault="00591F72" w:rsidP="00591F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Security policies</w:t>
      </w:r>
    </w:p>
    <w:p w14:paraId="5C112825"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This creates a gap between risk awareness and mature risk governance.</w:t>
      </w:r>
    </w:p>
    <w:p w14:paraId="193DFBF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6FD5A176">
          <v:rect id="_x0000_i1042" style="width:0;height:1.5pt" o:hralign="center" o:hrstd="t" o:hr="t" fillcolor="#a0a0a0" stroked="f"/>
        </w:pict>
      </w:r>
    </w:p>
    <w:p w14:paraId="79F81B7A"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Privileged Access Risk</w:t>
      </w:r>
    </w:p>
    <w:p w14:paraId="3E4314FA"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Privileged access remains one of the most significant control gaps because of:</w:t>
      </w:r>
    </w:p>
    <w:p w14:paraId="2E8885D3" w14:textId="77777777" w:rsidR="00591F72" w:rsidRPr="00591F72" w:rsidRDefault="00591F72" w:rsidP="00591F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Standing administrative access</w:t>
      </w:r>
    </w:p>
    <w:p w14:paraId="4682C2AC" w14:textId="77777777" w:rsidR="00591F72" w:rsidRPr="00591F72" w:rsidRDefault="00591F72" w:rsidP="00591F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Inconsistent MFA enforcement</w:t>
      </w:r>
    </w:p>
    <w:p w14:paraId="21732437" w14:textId="77777777" w:rsidR="00591F72" w:rsidRPr="00591F72" w:rsidRDefault="00591F72" w:rsidP="00591F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Absence of periodic access reviews</w:t>
      </w:r>
    </w:p>
    <w:p w14:paraId="594122C0" w14:textId="77777777" w:rsidR="00591F72" w:rsidRPr="00591F72" w:rsidRDefault="00591F72" w:rsidP="00591F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Limited separation of duties</w:t>
      </w:r>
    </w:p>
    <w:p w14:paraId="32DF189C" w14:textId="77777777" w:rsidR="00591F72" w:rsidRPr="00591F72" w:rsidRDefault="00591F72" w:rsidP="00591F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Insufficient detection for anomalous privileged activity</w:t>
      </w:r>
    </w:p>
    <w:p w14:paraId="33BFF1F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71A02938">
          <v:rect id="_x0000_i1043" style="width:0;height:1.5pt" o:hralign="center" o:hrstd="t" o:hr="t" fillcolor="#a0a0a0" stroked="f"/>
        </w:pict>
      </w:r>
    </w:p>
    <w:p w14:paraId="65B33E2A"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Third-Party Risk</w:t>
      </w:r>
    </w:p>
    <w:p w14:paraId="2864C77F"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Critical vendor dependencies are not yet supported by a sufficiently mature vendor risk management process.</w:t>
      </w:r>
    </w:p>
    <w:p w14:paraId="3D461EBD"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major concerns include:</w:t>
      </w:r>
    </w:p>
    <w:p w14:paraId="46161D10" w14:textId="77777777" w:rsidR="00591F72" w:rsidRPr="00591F72" w:rsidRDefault="00591F72" w:rsidP="00591F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Concentration risk</w:t>
      </w:r>
    </w:p>
    <w:p w14:paraId="5965D7F0" w14:textId="77777777" w:rsidR="00591F72" w:rsidRPr="00591F72" w:rsidRDefault="00591F72" w:rsidP="00591F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Incomplete vendor assessments</w:t>
      </w:r>
    </w:p>
    <w:p w14:paraId="3319E5F5" w14:textId="77777777" w:rsidR="00591F72" w:rsidRPr="00591F72" w:rsidRDefault="00591F72" w:rsidP="00591F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Limited monitoring</w:t>
      </w:r>
    </w:p>
    <w:p w14:paraId="0397C4B2" w14:textId="77777777" w:rsidR="00591F72" w:rsidRPr="00591F72" w:rsidRDefault="00591F72" w:rsidP="00591F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Lack of standardized vendor risk records</w:t>
      </w:r>
    </w:p>
    <w:p w14:paraId="70618839" w14:textId="77777777" w:rsidR="00591F72" w:rsidRPr="00591F72" w:rsidRDefault="00591F72" w:rsidP="00591F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Insufficient contingency planning for critical suppliers</w:t>
      </w:r>
    </w:p>
    <w:p w14:paraId="68B3EF5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285A4534">
          <v:rect id="_x0000_i1044" style="width:0;height:1.5pt" o:hralign="center" o:hrstd="t" o:hr="t" fillcolor="#a0a0a0" stroked="f"/>
        </w:pict>
      </w:r>
    </w:p>
    <w:p w14:paraId="59F0AC99"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Detection and Monitoring</w:t>
      </w:r>
    </w:p>
    <w:p w14:paraId="011A4FF0"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lastRenderedPageBreak/>
        <w:t>PaySphere collects security logs but has limited capability to convert those logs into actionable detection.</w:t>
      </w:r>
    </w:p>
    <w:p w14:paraId="6979624E"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This highlights an important cybersecurity principle:</w:t>
      </w:r>
    </w:p>
    <w:p w14:paraId="70BD4C69" w14:textId="77777777" w:rsidR="00591F72" w:rsidRPr="00591F72" w:rsidRDefault="00591F72" w:rsidP="00591F72">
      <w:pPr>
        <w:spacing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Logging alone does not provide effective detection without monitoring, alerting, investigation, and response processes.</w:t>
      </w:r>
    </w:p>
    <w:p w14:paraId="29294A0A"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2A1D991C">
          <v:rect id="_x0000_i1045" style="width:0;height:1.5pt" o:hralign="center" o:hrstd="t" o:hr="t" fillcolor="#a0a0a0" stroked="f"/>
        </w:pict>
      </w:r>
    </w:p>
    <w:p w14:paraId="300A18B5"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Resilience and Recovery</w:t>
      </w:r>
    </w:p>
    <w:p w14:paraId="0E629EA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absence of a formal BCDR capability remains a multiplier risk because the inability to recover effectively can amplify the impact of other cybersecurity incidents.</w:t>
      </w:r>
    </w:p>
    <w:p w14:paraId="786CA69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4C878A02">
          <v:rect id="_x0000_i1046" style="width:0;height:1.5pt" o:hralign="center" o:hrstd="t" o:hr="t" fillcolor="#a0a0a0" stroked="f"/>
        </w:pict>
      </w:r>
    </w:p>
    <w:p w14:paraId="7B408EE0"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8. Project B — Razorpay Vendor Risk Record</w:t>
      </w:r>
    </w:p>
    <w:p w14:paraId="76B63044"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8.1 Objective</w:t>
      </w:r>
    </w:p>
    <w:p w14:paraId="46669B83"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 xml:space="preserve">The second project operationalizes the NIST CSF 2.0 requirement represented by </w:t>
      </w:r>
      <w:r w:rsidRPr="00591F72">
        <w:rPr>
          <w:rFonts w:ascii="Times New Roman" w:eastAsia="Times New Roman" w:hAnsi="Times New Roman" w:cs="Times New Roman"/>
          <w:b/>
          <w:bCs/>
          <w:sz w:val="24"/>
          <w:szCs w:val="24"/>
          <w:lang w:eastAsia="en-IN"/>
        </w:rPr>
        <w:t>GV.SC-07</w:t>
      </w:r>
      <w:r w:rsidRPr="00591F72">
        <w:rPr>
          <w:rFonts w:ascii="Times New Roman" w:eastAsia="Times New Roman" w:hAnsi="Times New Roman" w:cs="Times New Roman"/>
          <w:sz w:val="24"/>
          <w:szCs w:val="24"/>
          <w:lang w:eastAsia="en-IN"/>
        </w:rPr>
        <w:t>.</w:t>
      </w:r>
    </w:p>
    <w:p w14:paraId="6968BF56"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objective was to create a practical vendor risk record demonstrating how a critical supplier's cybersecurity and operational risks can be:</w:t>
      </w:r>
    </w:p>
    <w:p w14:paraId="728142C5" w14:textId="77777777" w:rsidR="00591F72" w:rsidRPr="00591F72" w:rsidRDefault="00591F72" w:rsidP="00591F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Identified</w:t>
      </w:r>
    </w:p>
    <w:p w14:paraId="63EB7B6C" w14:textId="77777777" w:rsidR="00591F72" w:rsidRPr="00591F72" w:rsidRDefault="00591F72" w:rsidP="00591F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Recorded</w:t>
      </w:r>
    </w:p>
    <w:p w14:paraId="5BEAC1D0" w14:textId="77777777" w:rsidR="00591F72" w:rsidRPr="00591F72" w:rsidRDefault="00591F72" w:rsidP="00591F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Prioritized</w:t>
      </w:r>
    </w:p>
    <w:p w14:paraId="581A31C3" w14:textId="77777777" w:rsidR="00591F72" w:rsidRPr="00591F72" w:rsidRDefault="00591F72" w:rsidP="00591F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Treated</w:t>
      </w:r>
    </w:p>
    <w:p w14:paraId="7FF3E093" w14:textId="77777777" w:rsidR="00591F72" w:rsidRPr="00591F72" w:rsidRDefault="00591F72" w:rsidP="00591F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Monitored</w:t>
      </w:r>
    </w:p>
    <w:p w14:paraId="49FB6655" w14:textId="77777777" w:rsidR="00591F72" w:rsidRPr="00591F72" w:rsidRDefault="00591F72" w:rsidP="00591F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Escalated</w:t>
      </w:r>
    </w:p>
    <w:p w14:paraId="4C91995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Razorpay was selected because it represents a critical payment processing dependency for PaySphere.</w:t>
      </w:r>
    </w:p>
    <w:p w14:paraId="08B40C2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06C64978">
          <v:rect id="_x0000_i1047" style="width:0;height:1.5pt" o:hralign="center" o:hrstd="t" o:hr="t" fillcolor="#a0a0a0" stroked="f"/>
        </w:pict>
      </w:r>
    </w:p>
    <w:p w14:paraId="7E43D9F5"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PAYSPHERE — VENDOR RISK RECORD</w:t>
      </w:r>
    </w:p>
    <w:p w14:paraId="0C0D9460"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Vendor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4842"/>
      </w:tblGrid>
      <w:tr w:rsidR="00591F72" w:rsidRPr="00591F72" w14:paraId="1B2786BE" w14:textId="77777777" w:rsidTr="00591F72">
        <w:trPr>
          <w:tblHeader/>
          <w:tblCellSpacing w:w="15" w:type="dxa"/>
        </w:trPr>
        <w:tc>
          <w:tcPr>
            <w:tcW w:w="0" w:type="auto"/>
            <w:vAlign w:val="center"/>
            <w:hideMark/>
          </w:tcPr>
          <w:p w14:paraId="0001F0D5"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lastRenderedPageBreak/>
              <w:t>Field</w:t>
            </w:r>
          </w:p>
        </w:tc>
        <w:tc>
          <w:tcPr>
            <w:tcW w:w="0" w:type="auto"/>
            <w:vAlign w:val="center"/>
            <w:hideMark/>
          </w:tcPr>
          <w:p w14:paraId="6580D991"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Details</w:t>
            </w:r>
          </w:p>
        </w:tc>
      </w:tr>
      <w:tr w:rsidR="00591F72" w:rsidRPr="00591F72" w14:paraId="07522009" w14:textId="77777777" w:rsidTr="00591F72">
        <w:trPr>
          <w:tblCellSpacing w:w="15" w:type="dxa"/>
        </w:trPr>
        <w:tc>
          <w:tcPr>
            <w:tcW w:w="0" w:type="auto"/>
            <w:vAlign w:val="center"/>
            <w:hideMark/>
          </w:tcPr>
          <w:p w14:paraId="5668DA0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Vendor Name</w:t>
            </w:r>
          </w:p>
        </w:tc>
        <w:tc>
          <w:tcPr>
            <w:tcW w:w="0" w:type="auto"/>
            <w:vAlign w:val="center"/>
            <w:hideMark/>
          </w:tcPr>
          <w:p w14:paraId="0F81F2F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Razorpay Software Private Limited</w:t>
            </w:r>
          </w:p>
        </w:tc>
      </w:tr>
      <w:tr w:rsidR="00591F72" w:rsidRPr="00591F72" w14:paraId="2D7EAC24" w14:textId="77777777" w:rsidTr="00591F72">
        <w:trPr>
          <w:tblCellSpacing w:w="15" w:type="dxa"/>
        </w:trPr>
        <w:tc>
          <w:tcPr>
            <w:tcW w:w="0" w:type="auto"/>
            <w:vAlign w:val="center"/>
            <w:hideMark/>
          </w:tcPr>
          <w:p w14:paraId="74A39EE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Record ID</w:t>
            </w:r>
          </w:p>
        </w:tc>
        <w:tc>
          <w:tcPr>
            <w:tcW w:w="0" w:type="auto"/>
            <w:vAlign w:val="center"/>
            <w:hideMark/>
          </w:tcPr>
          <w:p w14:paraId="441324F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VRR-002b</w:t>
            </w:r>
          </w:p>
        </w:tc>
      </w:tr>
      <w:tr w:rsidR="00591F72" w:rsidRPr="00591F72" w14:paraId="25F71C6B" w14:textId="77777777" w:rsidTr="00591F72">
        <w:trPr>
          <w:tblCellSpacing w:w="15" w:type="dxa"/>
        </w:trPr>
        <w:tc>
          <w:tcPr>
            <w:tcW w:w="0" w:type="auto"/>
            <w:vAlign w:val="center"/>
            <w:hideMark/>
          </w:tcPr>
          <w:p w14:paraId="6F9EBDB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Linked Risk Register Entry</w:t>
            </w:r>
          </w:p>
        </w:tc>
        <w:tc>
          <w:tcPr>
            <w:tcW w:w="0" w:type="auto"/>
            <w:vAlign w:val="center"/>
            <w:hideMark/>
          </w:tcPr>
          <w:p w14:paraId="37DFF64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PSR-002b — Critical Vendor Concentration Risk</w:t>
            </w:r>
          </w:p>
        </w:tc>
      </w:tr>
      <w:tr w:rsidR="00591F72" w:rsidRPr="00591F72" w14:paraId="7561904D" w14:textId="77777777" w:rsidTr="00591F72">
        <w:trPr>
          <w:tblCellSpacing w:w="15" w:type="dxa"/>
        </w:trPr>
        <w:tc>
          <w:tcPr>
            <w:tcW w:w="0" w:type="auto"/>
            <w:vAlign w:val="center"/>
            <w:hideMark/>
          </w:tcPr>
          <w:p w14:paraId="1409F19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Record Owner</w:t>
            </w:r>
          </w:p>
        </w:tc>
        <w:tc>
          <w:tcPr>
            <w:tcW w:w="0" w:type="auto"/>
            <w:vAlign w:val="center"/>
            <w:hideMark/>
          </w:tcPr>
          <w:p w14:paraId="5C85001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Head of Compliance / CISO</w:t>
            </w:r>
          </w:p>
        </w:tc>
      </w:tr>
      <w:tr w:rsidR="00591F72" w:rsidRPr="00591F72" w14:paraId="7FCC70C2" w14:textId="77777777" w:rsidTr="00591F72">
        <w:trPr>
          <w:tblCellSpacing w:w="15" w:type="dxa"/>
        </w:trPr>
        <w:tc>
          <w:tcPr>
            <w:tcW w:w="0" w:type="auto"/>
            <w:vAlign w:val="center"/>
            <w:hideMark/>
          </w:tcPr>
          <w:p w14:paraId="3AE9D64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Review Frequency</w:t>
            </w:r>
          </w:p>
        </w:tc>
        <w:tc>
          <w:tcPr>
            <w:tcW w:w="0" w:type="auto"/>
            <w:vAlign w:val="center"/>
            <w:hideMark/>
          </w:tcPr>
          <w:p w14:paraId="37CE48D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Quarterly</w:t>
            </w:r>
          </w:p>
        </w:tc>
      </w:tr>
      <w:tr w:rsidR="00591F72" w:rsidRPr="00591F72" w14:paraId="2D881CC5" w14:textId="77777777" w:rsidTr="00591F72">
        <w:trPr>
          <w:tblCellSpacing w:w="15" w:type="dxa"/>
        </w:trPr>
        <w:tc>
          <w:tcPr>
            <w:tcW w:w="0" w:type="auto"/>
            <w:vAlign w:val="center"/>
            <w:hideMark/>
          </w:tcPr>
          <w:p w14:paraId="610EC5D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Next Scheduled Review</w:t>
            </w:r>
          </w:p>
        </w:tc>
        <w:tc>
          <w:tcPr>
            <w:tcW w:w="0" w:type="auto"/>
            <w:vAlign w:val="center"/>
            <w:hideMark/>
          </w:tcPr>
          <w:p w14:paraId="0EC8198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Quarterly cadence</w:t>
            </w:r>
          </w:p>
        </w:tc>
      </w:tr>
    </w:tbl>
    <w:p w14:paraId="59C48B6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7FFD32CB">
          <v:rect id="_x0000_i1048" style="width:0;height:1.5pt" o:hralign="center" o:hrstd="t" o:hr="t" fillcolor="#a0a0a0" stroked="f"/>
        </w:pict>
      </w:r>
    </w:p>
    <w:p w14:paraId="6424E674"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9. Service Description</w:t>
      </w:r>
    </w:p>
    <w:p w14:paraId="76A9C987"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Razorpay provides PaySphere's primary payment gateway and settlement infrastructure.</w:t>
      </w:r>
    </w:p>
    <w:p w14:paraId="6AA534A1"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service supports:</w:t>
      </w:r>
    </w:p>
    <w:p w14:paraId="5EE0F69A" w14:textId="77777777" w:rsidR="00591F72" w:rsidRPr="00591F72" w:rsidRDefault="00591F72" w:rsidP="00591F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Merchant payment processing</w:t>
      </w:r>
    </w:p>
    <w:p w14:paraId="77616448" w14:textId="77777777" w:rsidR="00591F72" w:rsidRPr="00591F72" w:rsidRDefault="00591F72" w:rsidP="00591F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Transaction routing</w:t>
      </w:r>
    </w:p>
    <w:p w14:paraId="6E512566" w14:textId="77777777" w:rsidR="00591F72" w:rsidRPr="00591F72" w:rsidRDefault="00591F72" w:rsidP="00591F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Payment processing operations</w:t>
      </w:r>
    </w:p>
    <w:p w14:paraId="3A14B503" w14:textId="77777777" w:rsidR="00591F72" w:rsidRPr="00591F72" w:rsidRDefault="00591F72" w:rsidP="00591F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Settlement disbursement to merchant accounts</w:t>
      </w:r>
    </w:p>
    <w:p w14:paraId="477110C7"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PaySphere currently does not maintain an operational alternative payment gateway. This creates significant dependency and concentration risk because disruption to Razorpay could directly affect PaySphere's transaction processing capability.</w:t>
      </w:r>
    </w:p>
    <w:p w14:paraId="579D703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2F928A69">
          <v:rect id="_x0000_i1049" style="width:0;height:1.5pt" o:hralign="center" o:hrstd="t" o:hr="t" fillcolor="#a0a0a0" stroked="f"/>
        </w:pict>
      </w:r>
    </w:p>
    <w:p w14:paraId="4DE6EA96"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10. Vendor Criticality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780"/>
        <w:gridCol w:w="6060"/>
      </w:tblGrid>
      <w:tr w:rsidR="00591F72" w:rsidRPr="00591F72" w14:paraId="2AE94A5C" w14:textId="77777777" w:rsidTr="00591F72">
        <w:trPr>
          <w:tblHeader/>
          <w:tblCellSpacing w:w="15" w:type="dxa"/>
        </w:trPr>
        <w:tc>
          <w:tcPr>
            <w:tcW w:w="0" w:type="auto"/>
            <w:vAlign w:val="center"/>
            <w:hideMark/>
          </w:tcPr>
          <w:p w14:paraId="2EC258F4"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Risk Factor</w:t>
            </w:r>
          </w:p>
        </w:tc>
        <w:tc>
          <w:tcPr>
            <w:tcW w:w="0" w:type="auto"/>
            <w:vAlign w:val="center"/>
            <w:hideMark/>
          </w:tcPr>
          <w:p w14:paraId="70DB6806"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Rating</w:t>
            </w:r>
          </w:p>
        </w:tc>
        <w:tc>
          <w:tcPr>
            <w:tcW w:w="0" w:type="auto"/>
            <w:vAlign w:val="center"/>
            <w:hideMark/>
          </w:tcPr>
          <w:p w14:paraId="2C3290C9"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Assessment Basis</w:t>
            </w:r>
          </w:p>
        </w:tc>
      </w:tr>
      <w:tr w:rsidR="00591F72" w:rsidRPr="00591F72" w14:paraId="332A21B0" w14:textId="77777777" w:rsidTr="00591F72">
        <w:trPr>
          <w:tblCellSpacing w:w="15" w:type="dxa"/>
        </w:trPr>
        <w:tc>
          <w:tcPr>
            <w:tcW w:w="0" w:type="auto"/>
            <w:vAlign w:val="center"/>
            <w:hideMark/>
          </w:tcPr>
          <w:p w14:paraId="52D66F0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Financial Criticality</w:t>
            </w:r>
          </w:p>
        </w:tc>
        <w:tc>
          <w:tcPr>
            <w:tcW w:w="0" w:type="auto"/>
            <w:vAlign w:val="center"/>
            <w:hideMark/>
          </w:tcPr>
          <w:p w14:paraId="076D736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Critical</w:t>
            </w:r>
          </w:p>
        </w:tc>
        <w:tc>
          <w:tcPr>
            <w:tcW w:w="0" w:type="auto"/>
            <w:vAlign w:val="center"/>
            <w:hideMark/>
          </w:tcPr>
          <w:p w14:paraId="0CF1CBF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 significant dependency exists on Razorpay for payment transaction processing and business operations.</w:t>
            </w:r>
          </w:p>
        </w:tc>
      </w:tr>
      <w:tr w:rsidR="00591F72" w:rsidRPr="00591F72" w14:paraId="1FFC0A9D" w14:textId="77777777" w:rsidTr="00591F72">
        <w:trPr>
          <w:tblCellSpacing w:w="15" w:type="dxa"/>
        </w:trPr>
        <w:tc>
          <w:tcPr>
            <w:tcW w:w="0" w:type="auto"/>
            <w:vAlign w:val="center"/>
            <w:hideMark/>
          </w:tcPr>
          <w:p w14:paraId="725B32C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Data Access Scope</w:t>
            </w:r>
          </w:p>
        </w:tc>
        <w:tc>
          <w:tcPr>
            <w:tcW w:w="0" w:type="auto"/>
            <w:vAlign w:val="center"/>
            <w:hideMark/>
          </w:tcPr>
          <w:p w14:paraId="2FB8E8D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High</w:t>
            </w:r>
          </w:p>
        </w:tc>
        <w:tc>
          <w:tcPr>
            <w:tcW w:w="0" w:type="auto"/>
            <w:vAlign w:val="center"/>
            <w:hideMark/>
          </w:tcPr>
          <w:p w14:paraId="63C88DF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service processes sensitive transaction information and merchant-related data.</w:t>
            </w:r>
          </w:p>
        </w:tc>
      </w:tr>
      <w:tr w:rsidR="00591F72" w:rsidRPr="00591F72" w14:paraId="61FA8AB6" w14:textId="77777777" w:rsidTr="00591F72">
        <w:trPr>
          <w:tblCellSpacing w:w="15" w:type="dxa"/>
        </w:trPr>
        <w:tc>
          <w:tcPr>
            <w:tcW w:w="0" w:type="auto"/>
            <w:vAlign w:val="center"/>
            <w:hideMark/>
          </w:tcPr>
          <w:p w14:paraId="232FEB8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Substitutability</w:t>
            </w:r>
          </w:p>
        </w:tc>
        <w:tc>
          <w:tcPr>
            <w:tcW w:w="0" w:type="auto"/>
            <w:vAlign w:val="center"/>
            <w:hideMark/>
          </w:tcPr>
          <w:p w14:paraId="006A456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Low</w:t>
            </w:r>
          </w:p>
        </w:tc>
        <w:tc>
          <w:tcPr>
            <w:tcW w:w="0" w:type="auto"/>
            <w:vAlign w:val="center"/>
            <w:hideMark/>
          </w:tcPr>
          <w:p w14:paraId="07F520D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immediately available secondary gateway exists, and replacement would require significant implementation effort.</w:t>
            </w:r>
          </w:p>
        </w:tc>
      </w:tr>
      <w:tr w:rsidR="00591F72" w:rsidRPr="00591F72" w14:paraId="540E15D7" w14:textId="77777777" w:rsidTr="00591F72">
        <w:trPr>
          <w:tblCellSpacing w:w="15" w:type="dxa"/>
        </w:trPr>
        <w:tc>
          <w:tcPr>
            <w:tcW w:w="0" w:type="auto"/>
            <w:vAlign w:val="center"/>
            <w:hideMark/>
          </w:tcPr>
          <w:p w14:paraId="63A857F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Geographic Concentration</w:t>
            </w:r>
          </w:p>
        </w:tc>
        <w:tc>
          <w:tcPr>
            <w:tcW w:w="0" w:type="auto"/>
            <w:vAlign w:val="center"/>
            <w:hideMark/>
          </w:tcPr>
          <w:p w14:paraId="4C42CFC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High</w:t>
            </w:r>
          </w:p>
        </w:tc>
        <w:tc>
          <w:tcPr>
            <w:tcW w:w="0" w:type="auto"/>
            <w:vAlign w:val="center"/>
            <w:hideMark/>
          </w:tcPr>
          <w:p w14:paraId="3A290E1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Operational dependency is concentrated without an established alternative regional failover path.</w:t>
            </w:r>
          </w:p>
        </w:tc>
      </w:tr>
      <w:tr w:rsidR="00591F72" w:rsidRPr="00591F72" w14:paraId="369B5283" w14:textId="77777777" w:rsidTr="00591F72">
        <w:trPr>
          <w:tblCellSpacing w:w="15" w:type="dxa"/>
        </w:trPr>
        <w:tc>
          <w:tcPr>
            <w:tcW w:w="0" w:type="auto"/>
            <w:vAlign w:val="center"/>
            <w:hideMark/>
          </w:tcPr>
          <w:p w14:paraId="3B68CD9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Regulatory Exposure</w:t>
            </w:r>
          </w:p>
        </w:tc>
        <w:tc>
          <w:tcPr>
            <w:tcW w:w="0" w:type="auto"/>
            <w:vAlign w:val="center"/>
            <w:hideMark/>
          </w:tcPr>
          <w:p w14:paraId="3EA5118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High</w:t>
            </w:r>
          </w:p>
        </w:tc>
        <w:tc>
          <w:tcPr>
            <w:tcW w:w="0" w:type="auto"/>
            <w:vAlign w:val="center"/>
            <w:hideMark/>
          </w:tcPr>
          <w:p w14:paraId="5D9EF7F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vendor's regulatory and operational posture can directly affect PaySphere's compliance obligations.</w:t>
            </w:r>
          </w:p>
        </w:tc>
      </w:tr>
    </w:tbl>
    <w:p w14:paraId="7FB943A1"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Overall Vendor Risk Tier: CRITICAL</w:t>
      </w:r>
    </w:p>
    <w:p w14:paraId="016461BE"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vendor is classified as Critical because a failure, compromise, or significant regulatory issue could materially affect PaySphere's:</w:t>
      </w:r>
    </w:p>
    <w:p w14:paraId="03065905" w14:textId="77777777" w:rsidR="00591F72" w:rsidRPr="00591F72" w:rsidRDefault="00591F72" w:rsidP="00591F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lastRenderedPageBreak/>
        <w:t>Revenue generation</w:t>
      </w:r>
    </w:p>
    <w:p w14:paraId="2591C1A0" w14:textId="77777777" w:rsidR="00591F72" w:rsidRPr="00591F72" w:rsidRDefault="00591F72" w:rsidP="00591F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Merchant operations</w:t>
      </w:r>
    </w:p>
    <w:p w14:paraId="63BDEDED" w14:textId="77777777" w:rsidR="00591F72" w:rsidRPr="00591F72" w:rsidRDefault="00591F72" w:rsidP="00591F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Payment processing capability</w:t>
      </w:r>
    </w:p>
    <w:p w14:paraId="085D83A4" w14:textId="77777777" w:rsidR="00591F72" w:rsidRPr="00591F72" w:rsidRDefault="00591F72" w:rsidP="00591F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Regulatory posture</w:t>
      </w:r>
    </w:p>
    <w:p w14:paraId="068FE0FB" w14:textId="77777777" w:rsidR="00591F72" w:rsidRPr="00591F72" w:rsidRDefault="00591F72" w:rsidP="00591F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Customer trust</w:t>
      </w:r>
    </w:p>
    <w:p w14:paraId="58B6ABB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23D4B0F1">
          <v:rect id="_x0000_i1050" style="width:0;height:1.5pt" o:hralign="center" o:hrstd="t" o:hr="t" fillcolor="#a0a0a0" stroked="f"/>
        </w:pict>
      </w:r>
    </w:p>
    <w:p w14:paraId="72E65D99"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11. Security Attestation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914"/>
        <w:gridCol w:w="3006"/>
        <w:gridCol w:w="2234"/>
      </w:tblGrid>
      <w:tr w:rsidR="00591F72" w:rsidRPr="00591F72" w14:paraId="00F91E81" w14:textId="77777777" w:rsidTr="00591F72">
        <w:trPr>
          <w:tblHeader/>
          <w:tblCellSpacing w:w="15" w:type="dxa"/>
        </w:trPr>
        <w:tc>
          <w:tcPr>
            <w:tcW w:w="0" w:type="auto"/>
            <w:vAlign w:val="center"/>
            <w:hideMark/>
          </w:tcPr>
          <w:p w14:paraId="0AA1B9C9"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Document</w:t>
            </w:r>
          </w:p>
        </w:tc>
        <w:tc>
          <w:tcPr>
            <w:tcW w:w="0" w:type="auto"/>
            <w:vAlign w:val="center"/>
            <w:hideMark/>
          </w:tcPr>
          <w:p w14:paraId="79610997"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Status</w:t>
            </w:r>
          </w:p>
        </w:tc>
        <w:tc>
          <w:tcPr>
            <w:tcW w:w="0" w:type="auto"/>
            <w:vAlign w:val="center"/>
            <w:hideMark/>
          </w:tcPr>
          <w:p w14:paraId="1AB9E131"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Review Considerations</w:t>
            </w:r>
          </w:p>
        </w:tc>
        <w:tc>
          <w:tcPr>
            <w:tcW w:w="0" w:type="auto"/>
            <w:vAlign w:val="center"/>
            <w:hideMark/>
          </w:tcPr>
          <w:p w14:paraId="6800C7AD"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Monitoring Requirement</w:t>
            </w:r>
          </w:p>
        </w:tc>
      </w:tr>
      <w:tr w:rsidR="00591F72" w:rsidRPr="00591F72" w14:paraId="1538F91C" w14:textId="77777777" w:rsidTr="00591F72">
        <w:trPr>
          <w:tblCellSpacing w:w="15" w:type="dxa"/>
        </w:trPr>
        <w:tc>
          <w:tcPr>
            <w:tcW w:w="0" w:type="auto"/>
            <w:vAlign w:val="center"/>
            <w:hideMark/>
          </w:tcPr>
          <w:p w14:paraId="7013E87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SOC 2 Type II Report</w:t>
            </w:r>
          </w:p>
        </w:tc>
        <w:tc>
          <w:tcPr>
            <w:tcW w:w="0" w:type="auto"/>
            <w:vAlign w:val="center"/>
            <w:hideMark/>
          </w:tcPr>
          <w:p w14:paraId="46CB1B5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Received</w:t>
            </w:r>
          </w:p>
        </w:tc>
        <w:tc>
          <w:tcPr>
            <w:tcW w:w="0" w:type="auto"/>
            <w:vAlign w:val="center"/>
            <w:hideMark/>
          </w:tcPr>
          <w:p w14:paraId="78E5B23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Review applicable Trust Services Criteria and identified exceptions relevant to PaySphere's use case.</w:t>
            </w:r>
          </w:p>
        </w:tc>
        <w:tc>
          <w:tcPr>
            <w:tcW w:w="0" w:type="auto"/>
            <w:vAlign w:val="center"/>
            <w:hideMark/>
          </w:tcPr>
          <w:p w14:paraId="1EF4179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Track report period and renewal date. Escalate overdue evidence.</w:t>
            </w:r>
          </w:p>
        </w:tc>
      </w:tr>
      <w:tr w:rsidR="00591F72" w:rsidRPr="00591F72" w14:paraId="55D0164E" w14:textId="77777777" w:rsidTr="00591F72">
        <w:trPr>
          <w:tblCellSpacing w:w="15" w:type="dxa"/>
        </w:trPr>
        <w:tc>
          <w:tcPr>
            <w:tcW w:w="0" w:type="auto"/>
            <w:vAlign w:val="center"/>
            <w:hideMark/>
          </w:tcPr>
          <w:p w14:paraId="45B95C1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Data Processing Agreement</w:t>
            </w:r>
          </w:p>
        </w:tc>
        <w:tc>
          <w:tcPr>
            <w:tcW w:w="0" w:type="auto"/>
            <w:vAlign w:val="center"/>
            <w:hideMark/>
          </w:tcPr>
          <w:p w14:paraId="730E018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Active</w:t>
            </w:r>
          </w:p>
        </w:tc>
        <w:tc>
          <w:tcPr>
            <w:tcW w:w="0" w:type="auto"/>
            <w:vAlign w:val="center"/>
            <w:hideMark/>
          </w:tcPr>
          <w:p w14:paraId="7B5D232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Review data processing obligations, breach notification requirements, and data handling responsibilities.</w:t>
            </w:r>
          </w:p>
        </w:tc>
        <w:tc>
          <w:tcPr>
            <w:tcW w:w="0" w:type="auto"/>
            <w:vAlign w:val="center"/>
            <w:hideMark/>
          </w:tcPr>
          <w:p w14:paraId="3F19A4B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Reassess during contract renewal or material service changes.</w:t>
            </w:r>
          </w:p>
        </w:tc>
      </w:tr>
      <w:tr w:rsidR="00591F72" w:rsidRPr="00591F72" w14:paraId="10CA97AC" w14:textId="77777777" w:rsidTr="00591F72">
        <w:trPr>
          <w:tblCellSpacing w:w="15" w:type="dxa"/>
        </w:trPr>
        <w:tc>
          <w:tcPr>
            <w:tcW w:w="0" w:type="auto"/>
            <w:vAlign w:val="center"/>
            <w:hideMark/>
          </w:tcPr>
          <w:p w14:paraId="2AF49FC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Payment Regulatory Authorization</w:t>
            </w:r>
          </w:p>
        </w:tc>
        <w:tc>
          <w:tcPr>
            <w:tcW w:w="0" w:type="auto"/>
            <w:vAlign w:val="center"/>
            <w:hideMark/>
          </w:tcPr>
          <w:p w14:paraId="05A26F4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Verified</w:t>
            </w:r>
          </w:p>
        </w:tc>
        <w:tc>
          <w:tcPr>
            <w:tcW w:w="0" w:type="auto"/>
            <w:vAlign w:val="center"/>
            <w:hideMark/>
          </w:tcPr>
          <w:p w14:paraId="4393FCC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Confirm regulatory standing and applicability to the service relationship.</w:t>
            </w:r>
          </w:p>
        </w:tc>
        <w:tc>
          <w:tcPr>
            <w:tcW w:w="0" w:type="auto"/>
            <w:vAlign w:val="center"/>
            <w:hideMark/>
          </w:tcPr>
          <w:p w14:paraId="1F54BC5A"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Periodic verification.</w:t>
            </w:r>
          </w:p>
        </w:tc>
      </w:tr>
      <w:tr w:rsidR="00591F72" w:rsidRPr="00591F72" w14:paraId="7883248D" w14:textId="77777777" w:rsidTr="00591F72">
        <w:trPr>
          <w:tblCellSpacing w:w="15" w:type="dxa"/>
        </w:trPr>
        <w:tc>
          <w:tcPr>
            <w:tcW w:w="0" w:type="auto"/>
            <w:vAlign w:val="center"/>
            <w:hideMark/>
          </w:tcPr>
          <w:p w14:paraId="4729663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Penetration Test Evidence</w:t>
            </w:r>
          </w:p>
        </w:tc>
        <w:tc>
          <w:tcPr>
            <w:tcW w:w="0" w:type="auto"/>
            <w:vAlign w:val="center"/>
            <w:hideMark/>
          </w:tcPr>
          <w:p w14:paraId="1A42554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Requested/Pending</w:t>
            </w:r>
          </w:p>
        </w:tc>
        <w:tc>
          <w:tcPr>
            <w:tcW w:w="0" w:type="auto"/>
            <w:vAlign w:val="center"/>
            <w:hideMark/>
          </w:tcPr>
          <w:p w14:paraId="7DCF02D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Review available independent testing evidence when provided.</w:t>
            </w:r>
          </w:p>
        </w:tc>
        <w:tc>
          <w:tcPr>
            <w:tcW w:w="0" w:type="auto"/>
            <w:vAlign w:val="center"/>
            <w:hideMark/>
          </w:tcPr>
          <w:p w14:paraId="09AE230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Track request and escalate if evidence remains unavailable.</w:t>
            </w:r>
          </w:p>
        </w:tc>
      </w:tr>
    </w:tbl>
    <w:p w14:paraId="5A1E20F8"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attestation review process is intended to evaluate not simply whether documentation has been received, but whether the evidence:</w:t>
      </w:r>
    </w:p>
    <w:p w14:paraId="50E3ABB9" w14:textId="77777777" w:rsidR="00591F72" w:rsidRPr="00591F72" w:rsidRDefault="00591F72" w:rsidP="00591F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Covers the relevant service period</w:t>
      </w:r>
    </w:p>
    <w:p w14:paraId="493FCC0C" w14:textId="77777777" w:rsidR="00591F72" w:rsidRPr="00591F72" w:rsidRDefault="00591F72" w:rsidP="00591F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Applies to PaySphere's use case</w:t>
      </w:r>
    </w:p>
    <w:p w14:paraId="2F83BB28" w14:textId="77777777" w:rsidR="00591F72" w:rsidRPr="00591F72" w:rsidRDefault="00591F72" w:rsidP="00591F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Identifies material control exceptions</w:t>
      </w:r>
    </w:p>
    <w:p w14:paraId="6BAFBC5A" w14:textId="77777777" w:rsidR="00591F72" w:rsidRPr="00591F72" w:rsidRDefault="00591F72" w:rsidP="00591F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Requires compensating controls</w:t>
      </w:r>
    </w:p>
    <w:p w14:paraId="4FD9CC32" w14:textId="77777777" w:rsidR="00591F72" w:rsidRPr="00591F72" w:rsidRDefault="00591F72" w:rsidP="00591F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Needs renewal or follow-up</w:t>
      </w:r>
    </w:p>
    <w:p w14:paraId="717B6B9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3194DC60">
          <v:rect id="_x0000_i1051" style="width:0;height:1.5pt" o:hralign="center" o:hrstd="t" o:hr="t" fillcolor="#a0a0a0" stroked="f"/>
        </w:pict>
      </w:r>
    </w:p>
    <w:p w14:paraId="26DC2A86"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12. Contractual Security Requirements</w:t>
      </w:r>
    </w:p>
    <w:p w14:paraId="67580B0D"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vendor relationship should be assessed against contractual security requirements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385"/>
        <w:gridCol w:w="4719"/>
      </w:tblGrid>
      <w:tr w:rsidR="00591F72" w:rsidRPr="00591F72" w14:paraId="53D4C9C8" w14:textId="77777777" w:rsidTr="00591F72">
        <w:trPr>
          <w:tblHeader/>
          <w:tblCellSpacing w:w="15" w:type="dxa"/>
        </w:trPr>
        <w:tc>
          <w:tcPr>
            <w:tcW w:w="0" w:type="auto"/>
            <w:vAlign w:val="center"/>
            <w:hideMark/>
          </w:tcPr>
          <w:p w14:paraId="37ACF0A7"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Requirement</w:t>
            </w:r>
          </w:p>
        </w:tc>
        <w:tc>
          <w:tcPr>
            <w:tcW w:w="0" w:type="auto"/>
            <w:vAlign w:val="center"/>
            <w:hideMark/>
          </w:tcPr>
          <w:p w14:paraId="009904F9"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Status</w:t>
            </w:r>
          </w:p>
        </w:tc>
        <w:tc>
          <w:tcPr>
            <w:tcW w:w="0" w:type="auto"/>
            <w:vAlign w:val="center"/>
            <w:hideMark/>
          </w:tcPr>
          <w:p w14:paraId="096070D1"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Risk Management Consideration</w:t>
            </w:r>
          </w:p>
        </w:tc>
      </w:tr>
      <w:tr w:rsidR="00591F72" w:rsidRPr="00591F72" w14:paraId="3C5C8F56" w14:textId="77777777" w:rsidTr="00591F72">
        <w:trPr>
          <w:tblCellSpacing w:w="15" w:type="dxa"/>
        </w:trPr>
        <w:tc>
          <w:tcPr>
            <w:tcW w:w="0" w:type="auto"/>
            <w:vAlign w:val="center"/>
            <w:hideMark/>
          </w:tcPr>
          <w:p w14:paraId="254DEA6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Data breach notification</w:t>
            </w:r>
          </w:p>
        </w:tc>
        <w:tc>
          <w:tcPr>
            <w:tcW w:w="0" w:type="auto"/>
            <w:vAlign w:val="center"/>
            <w:hideMark/>
          </w:tcPr>
          <w:p w14:paraId="3926C41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Confirmed through contractual obligations</w:t>
            </w:r>
          </w:p>
        </w:tc>
        <w:tc>
          <w:tcPr>
            <w:tcW w:w="0" w:type="auto"/>
            <w:vAlign w:val="center"/>
            <w:hideMark/>
          </w:tcPr>
          <w:p w14:paraId="1F3E840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Notification requirements must support PaySphere's regulatory obligations.</w:t>
            </w:r>
          </w:p>
        </w:tc>
      </w:tr>
      <w:tr w:rsidR="00591F72" w:rsidRPr="00591F72" w14:paraId="10BEBAD5" w14:textId="77777777" w:rsidTr="00591F72">
        <w:trPr>
          <w:tblCellSpacing w:w="15" w:type="dxa"/>
        </w:trPr>
        <w:tc>
          <w:tcPr>
            <w:tcW w:w="0" w:type="auto"/>
            <w:vAlign w:val="center"/>
            <w:hideMark/>
          </w:tcPr>
          <w:p w14:paraId="45F39AF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lastRenderedPageBreak/>
              <w:t>Data minimization</w:t>
            </w:r>
          </w:p>
        </w:tc>
        <w:tc>
          <w:tcPr>
            <w:tcW w:w="0" w:type="auto"/>
            <w:vAlign w:val="center"/>
            <w:hideMark/>
          </w:tcPr>
          <w:p w14:paraId="2D8C4BC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Confirmed</w:t>
            </w:r>
          </w:p>
        </w:tc>
        <w:tc>
          <w:tcPr>
            <w:tcW w:w="0" w:type="auto"/>
            <w:vAlign w:val="center"/>
            <w:hideMark/>
          </w:tcPr>
          <w:p w14:paraId="7A43A93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Vendor should only process information necessary for the contracted service.</w:t>
            </w:r>
          </w:p>
        </w:tc>
      </w:tr>
      <w:tr w:rsidR="00591F72" w:rsidRPr="00591F72" w14:paraId="09184BDC" w14:textId="77777777" w:rsidTr="00591F72">
        <w:trPr>
          <w:tblCellSpacing w:w="15" w:type="dxa"/>
        </w:trPr>
        <w:tc>
          <w:tcPr>
            <w:tcW w:w="0" w:type="auto"/>
            <w:vAlign w:val="center"/>
            <w:hideMark/>
          </w:tcPr>
          <w:p w14:paraId="001244F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Audit and assurance rights</w:t>
            </w:r>
          </w:p>
        </w:tc>
        <w:tc>
          <w:tcPr>
            <w:tcW w:w="0" w:type="auto"/>
            <w:vAlign w:val="center"/>
            <w:hideMark/>
          </w:tcPr>
          <w:p w14:paraId="57EB709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Partially available</w:t>
            </w:r>
          </w:p>
        </w:tc>
        <w:tc>
          <w:tcPr>
            <w:tcW w:w="0" w:type="auto"/>
            <w:vAlign w:val="center"/>
            <w:hideMark/>
          </w:tcPr>
          <w:p w14:paraId="7E4A728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Reliance may be placed on independent assurance reports where direct audit rights are limited.</w:t>
            </w:r>
          </w:p>
        </w:tc>
      </w:tr>
      <w:tr w:rsidR="00591F72" w:rsidRPr="00591F72" w14:paraId="4A5C8953" w14:textId="77777777" w:rsidTr="00591F72">
        <w:trPr>
          <w:tblCellSpacing w:w="15" w:type="dxa"/>
        </w:trPr>
        <w:tc>
          <w:tcPr>
            <w:tcW w:w="0" w:type="auto"/>
            <w:vAlign w:val="center"/>
            <w:hideMark/>
          </w:tcPr>
          <w:p w14:paraId="0422EE0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Encryption in transit</w:t>
            </w:r>
          </w:p>
        </w:tc>
        <w:tc>
          <w:tcPr>
            <w:tcW w:w="0" w:type="auto"/>
            <w:vAlign w:val="center"/>
            <w:hideMark/>
          </w:tcPr>
          <w:p w14:paraId="4B11168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Confirmed</w:t>
            </w:r>
          </w:p>
        </w:tc>
        <w:tc>
          <w:tcPr>
            <w:tcW w:w="0" w:type="auto"/>
            <w:vAlign w:val="center"/>
            <w:hideMark/>
          </w:tcPr>
          <w:p w14:paraId="6999BFB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Secure communication requirements apply to payment and API interactions.</w:t>
            </w:r>
          </w:p>
        </w:tc>
      </w:tr>
      <w:tr w:rsidR="00591F72" w:rsidRPr="00591F72" w14:paraId="13134E16" w14:textId="77777777" w:rsidTr="00591F72">
        <w:trPr>
          <w:tblCellSpacing w:w="15" w:type="dxa"/>
        </w:trPr>
        <w:tc>
          <w:tcPr>
            <w:tcW w:w="0" w:type="auto"/>
            <w:vAlign w:val="center"/>
            <w:hideMark/>
          </w:tcPr>
          <w:p w14:paraId="5B0D17A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Subprocessor notification</w:t>
            </w:r>
          </w:p>
        </w:tc>
        <w:tc>
          <w:tcPr>
            <w:tcW w:w="0" w:type="auto"/>
            <w:vAlign w:val="center"/>
            <w:hideMark/>
          </w:tcPr>
          <w:p w14:paraId="205268F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Confirmed</w:t>
            </w:r>
          </w:p>
        </w:tc>
        <w:tc>
          <w:tcPr>
            <w:tcW w:w="0" w:type="auto"/>
            <w:vAlign w:val="center"/>
            <w:hideMark/>
          </w:tcPr>
          <w:p w14:paraId="1490D3A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Material changes to subprocessors should trigger additional risk review.</w:t>
            </w:r>
          </w:p>
        </w:tc>
      </w:tr>
    </w:tbl>
    <w:p w14:paraId="66A754D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36D72C03">
          <v:rect id="_x0000_i1052" style="width:0;height:1.5pt" o:hralign="center" o:hrstd="t" o:hr="t" fillcolor="#a0a0a0" stroked="f"/>
        </w:pict>
      </w:r>
    </w:p>
    <w:p w14:paraId="3C6FAF4D"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13. Risk Treatment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844"/>
        <w:gridCol w:w="1373"/>
        <w:gridCol w:w="1571"/>
      </w:tblGrid>
      <w:tr w:rsidR="00591F72" w:rsidRPr="00591F72" w14:paraId="564DDFBA" w14:textId="77777777" w:rsidTr="00591F72">
        <w:trPr>
          <w:tblHeader/>
          <w:tblCellSpacing w:w="15" w:type="dxa"/>
        </w:trPr>
        <w:tc>
          <w:tcPr>
            <w:tcW w:w="0" w:type="auto"/>
            <w:vAlign w:val="center"/>
            <w:hideMark/>
          </w:tcPr>
          <w:p w14:paraId="23A4F0F8"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Risk Factor</w:t>
            </w:r>
          </w:p>
        </w:tc>
        <w:tc>
          <w:tcPr>
            <w:tcW w:w="0" w:type="auto"/>
            <w:vAlign w:val="center"/>
            <w:hideMark/>
          </w:tcPr>
          <w:p w14:paraId="09BD2553"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Current Treatment</w:t>
            </w:r>
          </w:p>
        </w:tc>
        <w:tc>
          <w:tcPr>
            <w:tcW w:w="0" w:type="auto"/>
            <w:vAlign w:val="center"/>
            <w:hideMark/>
          </w:tcPr>
          <w:p w14:paraId="384DA2B7"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Residual Risk</w:t>
            </w:r>
          </w:p>
        </w:tc>
        <w:tc>
          <w:tcPr>
            <w:tcW w:w="0" w:type="auto"/>
            <w:vAlign w:val="center"/>
            <w:hideMark/>
          </w:tcPr>
          <w:p w14:paraId="15681DDA"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Owner</w:t>
            </w:r>
          </w:p>
        </w:tc>
      </w:tr>
      <w:tr w:rsidR="00591F72" w:rsidRPr="00591F72" w14:paraId="222E0B29" w14:textId="77777777" w:rsidTr="00591F72">
        <w:trPr>
          <w:tblCellSpacing w:w="15" w:type="dxa"/>
        </w:trPr>
        <w:tc>
          <w:tcPr>
            <w:tcW w:w="0" w:type="auto"/>
            <w:vAlign w:val="center"/>
            <w:hideMark/>
          </w:tcPr>
          <w:p w14:paraId="048CD0D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No secondary payment gateway</w:t>
            </w:r>
          </w:p>
        </w:tc>
        <w:tc>
          <w:tcPr>
            <w:tcW w:w="0" w:type="auto"/>
            <w:vAlign w:val="center"/>
            <w:hideMark/>
          </w:tcPr>
          <w:p w14:paraId="2935968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Risk remains open pending business and engineering investment decisions.</w:t>
            </w:r>
          </w:p>
        </w:tc>
        <w:tc>
          <w:tcPr>
            <w:tcW w:w="0" w:type="auto"/>
            <w:vAlign w:val="center"/>
            <w:hideMark/>
          </w:tcPr>
          <w:p w14:paraId="07DBEC7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High</w:t>
            </w:r>
          </w:p>
        </w:tc>
        <w:tc>
          <w:tcPr>
            <w:tcW w:w="0" w:type="auto"/>
            <w:vAlign w:val="center"/>
            <w:hideMark/>
          </w:tcPr>
          <w:p w14:paraId="1B0B790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CTO</w:t>
            </w:r>
          </w:p>
        </w:tc>
      </w:tr>
      <w:tr w:rsidR="00591F72" w:rsidRPr="00591F72" w14:paraId="7C5CB9BB" w14:textId="77777777" w:rsidTr="00591F72">
        <w:trPr>
          <w:tblCellSpacing w:w="15" w:type="dxa"/>
        </w:trPr>
        <w:tc>
          <w:tcPr>
            <w:tcW w:w="0" w:type="auto"/>
            <w:vAlign w:val="center"/>
            <w:hideMark/>
          </w:tcPr>
          <w:p w14:paraId="5B6ED7A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Security assurance renewal gaps</w:t>
            </w:r>
          </w:p>
        </w:tc>
        <w:tc>
          <w:tcPr>
            <w:tcW w:w="0" w:type="auto"/>
            <w:vAlign w:val="center"/>
            <w:hideMark/>
          </w:tcPr>
          <w:p w14:paraId="4654A8A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Evidence requests and escalation procedures established.</w:t>
            </w:r>
          </w:p>
        </w:tc>
        <w:tc>
          <w:tcPr>
            <w:tcW w:w="0" w:type="auto"/>
            <w:vAlign w:val="center"/>
            <w:hideMark/>
          </w:tcPr>
          <w:p w14:paraId="38D7710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Medium</w:t>
            </w:r>
          </w:p>
        </w:tc>
        <w:tc>
          <w:tcPr>
            <w:tcW w:w="0" w:type="auto"/>
            <w:vAlign w:val="center"/>
            <w:hideMark/>
          </w:tcPr>
          <w:p w14:paraId="3C17E94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Head of Compliance</w:t>
            </w:r>
          </w:p>
        </w:tc>
      </w:tr>
      <w:tr w:rsidR="00591F72" w:rsidRPr="00591F72" w14:paraId="287AB85F" w14:textId="77777777" w:rsidTr="00591F72">
        <w:trPr>
          <w:tblCellSpacing w:w="15" w:type="dxa"/>
        </w:trPr>
        <w:tc>
          <w:tcPr>
            <w:tcW w:w="0" w:type="auto"/>
            <w:vAlign w:val="center"/>
            <w:hideMark/>
          </w:tcPr>
          <w:p w14:paraId="0C4E279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Limited independent testing evidence</w:t>
            </w:r>
          </w:p>
        </w:tc>
        <w:tc>
          <w:tcPr>
            <w:tcW w:w="0" w:type="auto"/>
            <w:vAlign w:val="center"/>
            <w:hideMark/>
          </w:tcPr>
          <w:p w14:paraId="2D51414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Additional assurance documentation requested from vendor.</w:t>
            </w:r>
          </w:p>
        </w:tc>
        <w:tc>
          <w:tcPr>
            <w:tcW w:w="0" w:type="auto"/>
            <w:vAlign w:val="center"/>
            <w:hideMark/>
          </w:tcPr>
          <w:p w14:paraId="21429CA2"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Medium</w:t>
            </w:r>
          </w:p>
        </w:tc>
        <w:tc>
          <w:tcPr>
            <w:tcW w:w="0" w:type="auto"/>
            <w:vAlign w:val="center"/>
            <w:hideMark/>
          </w:tcPr>
          <w:p w14:paraId="137FCA2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Head of Compliance</w:t>
            </w:r>
          </w:p>
        </w:tc>
      </w:tr>
      <w:tr w:rsidR="00591F72" w:rsidRPr="00591F72" w14:paraId="74D15047" w14:textId="77777777" w:rsidTr="00591F72">
        <w:trPr>
          <w:tblCellSpacing w:w="15" w:type="dxa"/>
        </w:trPr>
        <w:tc>
          <w:tcPr>
            <w:tcW w:w="0" w:type="auto"/>
            <w:vAlign w:val="center"/>
            <w:hideMark/>
          </w:tcPr>
          <w:p w14:paraId="06FFE09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Regulatory dependency</w:t>
            </w:r>
          </w:p>
        </w:tc>
        <w:tc>
          <w:tcPr>
            <w:tcW w:w="0" w:type="auto"/>
            <w:vAlign w:val="center"/>
            <w:hideMark/>
          </w:tcPr>
          <w:p w14:paraId="2156DC2A"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Regulatory standing periodically verified.</w:t>
            </w:r>
          </w:p>
        </w:tc>
        <w:tc>
          <w:tcPr>
            <w:tcW w:w="0" w:type="auto"/>
            <w:vAlign w:val="center"/>
            <w:hideMark/>
          </w:tcPr>
          <w:p w14:paraId="1C4907A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Low after treatment</w:t>
            </w:r>
          </w:p>
        </w:tc>
        <w:tc>
          <w:tcPr>
            <w:tcW w:w="0" w:type="auto"/>
            <w:vAlign w:val="center"/>
            <w:hideMark/>
          </w:tcPr>
          <w:p w14:paraId="38B78E0D"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Compliance</w:t>
            </w:r>
          </w:p>
        </w:tc>
      </w:tr>
    </w:tbl>
    <w:p w14:paraId="1D019F8B"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77C04075">
          <v:rect id="_x0000_i1053" style="width:0;height:1.5pt" o:hralign="center" o:hrstd="t" o:hr="t" fillcolor="#a0a0a0" stroked="f"/>
        </w:pict>
      </w:r>
    </w:p>
    <w:p w14:paraId="625252C3"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14. Vendor Monitoring and Review Cadence</w:t>
      </w:r>
    </w:p>
    <w:p w14:paraId="0B3DF6AF"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Vendor risk management must continue after onboarding.</w:t>
      </w:r>
    </w:p>
    <w:p w14:paraId="632D4401"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following monitoring triggers are established for the Razorpay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4984"/>
        <w:gridCol w:w="1626"/>
      </w:tblGrid>
      <w:tr w:rsidR="00591F72" w:rsidRPr="00591F72" w14:paraId="0291BAA1" w14:textId="77777777" w:rsidTr="00591F72">
        <w:trPr>
          <w:tblHeader/>
          <w:tblCellSpacing w:w="15" w:type="dxa"/>
        </w:trPr>
        <w:tc>
          <w:tcPr>
            <w:tcW w:w="0" w:type="auto"/>
            <w:vAlign w:val="center"/>
            <w:hideMark/>
          </w:tcPr>
          <w:p w14:paraId="5A96CF8D"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Trigger</w:t>
            </w:r>
          </w:p>
        </w:tc>
        <w:tc>
          <w:tcPr>
            <w:tcW w:w="0" w:type="auto"/>
            <w:vAlign w:val="center"/>
            <w:hideMark/>
          </w:tcPr>
          <w:p w14:paraId="66A5315B"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Required Action</w:t>
            </w:r>
          </w:p>
        </w:tc>
        <w:tc>
          <w:tcPr>
            <w:tcW w:w="0" w:type="auto"/>
            <w:vAlign w:val="center"/>
            <w:hideMark/>
          </w:tcPr>
          <w:p w14:paraId="6A6367CB" w14:textId="77777777" w:rsidR="00591F72" w:rsidRPr="00591F72" w:rsidRDefault="00591F72" w:rsidP="00591F72">
            <w:pPr>
              <w:spacing w:after="0" w:line="240" w:lineRule="auto"/>
              <w:jc w:val="center"/>
              <w:rPr>
                <w:rFonts w:ascii="Times New Roman" w:eastAsia="Times New Roman" w:hAnsi="Times New Roman" w:cs="Times New Roman"/>
                <w:b/>
                <w:bCs/>
                <w:sz w:val="24"/>
                <w:szCs w:val="24"/>
                <w:lang w:eastAsia="en-IN"/>
              </w:rPr>
            </w:pPr>
            <w:r w:rsidRPr="00591F72">
              <w:rPr>
                <w:rFonts w:ascii="Times New Roman" w:eastAsia="Times New Roman" w:hAnsi="Times New Roman" w:cs="Times New Roman"/>
                <w:b/>
                <w:bCs/>
                <w:sz w:val="24"/>
                <w:szCs w:val="24"/>
                <w:lang w:eastAsia="en-IN"/>
              </w:rPr>
              <w:t>Owner</w:t>
            </w:r>
          </w:p>
        </w:tc>
      </w:tr>
      <w:tr w:rsidR="00591F72" w:rsidRPr="00591F72" w14:paraId="40B506E7" w14:textId="77777777" w:rsidTr="00591F72">
        <w:trPr>
          <w:tblCellSpacing w:w="15" w:type="dxa"/>
        </w:trPr>
        <w:tc>
          <w:tcPr>
            <w:tcW w:w="0" w:type="auto"/>
            <w:vAlign w:val="center"/>
            <w:hideMark/>
          </w:tcPr>
          <w:p w14:paraId="2BB16AD6"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Quarterly Review</w:t>
            </w:r>
          </w:p>
        </w:tc>
        <w:tc>
          <w:tcPr>
            <w:tcW w:w="0" w:type="auto"/>
            <w:vAlign w:val="center"/>
            <w:hideMark/>
          </w:tcPr>
          <w:p w14:paraId="505C5DFF"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Review vendor risk record, update assurance documentation, review security events, and reassess criticality.</w:t>
            </w:r>
          </w:p>
        </w:tc>
        <w:tc>
          <w:tcPr>
            <w:tcW w:w="0" w:type="auto"/>
            <w:vAlign w:val="center"/>
            <w:hideMark/>
          </w:tcPr>
          <w:p w14:paraId="028EF0B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Head of Compliance</w:t>
            </w:r>
          </w:p>
        </w:tc>
      </w:tr>
      <w:tr w:rsidR="00591F72" w:rsidRPr="00591F72" w14:paraId="5885C453" w14:textId="77777777" w:rsidTr="00591F72">
        <w:trPr>
          <w:tblCellSpacing w:w="15" w:type="dxa"/>
        </w:trPr>
        <w:tc>
          <w:tcPr>
            <w:tcW w:w="0" w:type="auto"/>
            <w:vAlign w:val="center"/>
            <w:hideMark/>
          </w:tcPr>
          <w:p w14:paraId="7BD699C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Vendor Security Incident</w:t>
            </w:r>
          </w:p>
        </w:tc>
        <w:tc>
          <w:tcPr>
            <w:tcW w:w="0" w:type="auto"/>
            <w:vAlign w:val="center"/>
            <w:hideMark/>
          </w:tcPr>
          <w:p w14:paraId="72D600D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Perform an out-of-cycle risk reassessment and notify senior security leadership.</w:t>
            </w:r>
          </w:p>
        </w:tc>
        <w:tc>
          <w:tcPr>
            <w:tcW w:w="0" w:type="auto"/>
            <w:vAlign w:val="center"/>
            <w:hideMark/>
          </w:tcPr>
          <w:p w14:paraId="16EB361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CISO</w:t>
            </w:r>
          </w:p>
        </w:tc>
      </w:tr>
      <w:tr w:rsidR="00591F72" w:rsidRPr="00591F72" w14:paraId="31D01A51" w14:textId="77777777" w:rsidTr="00591F72">
        <w:trPr>
          <w:tblCellSpacing w:w="15" w:type="dxa"/>
        </w:trPr>
        <w:tc>
          <w:tcPr>
            <w:tcW w:w="0" w:type="auto"/>
            <w:vAlign w:val="center"/>
            <w:hideMark/>
          </w:tcPr>
          <w:p w14:paraId="1EC98D0E"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Expired Security Assurance Evidence</w:t>
            </w:r>
          </w:p>
        </w:tc>
        <w:tc>
          <w:tcPr>
            <w:tcW w:w="0" w:type="auto"/>
            <w:vAlign w:val="center"/>
            <w:hideMark/>
          </w:tcPr>
          <w:p w14:paraId="353510F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Escalate overdue evidence and assess the impact on vendor risk status.</w:t>
            </w:r>
          </w:p>
        </w:tc>
        <w:tc>
          <w:tcPr>
            <w:tcW w:w="0" w:type="auto"/>
            <w:vAlign w:val="center"/>
            <w:hideMark/>
          </w:tcPr>
          <w:p w14:paraId="4FD8235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Head of Compliance</w:t>
            </w:r>
          </w:p>
        </w:tc>
      </w:tr>
      <w:tr w:rsidR="00591F72" w:rsidRPr="00591F72" w14:paraId="2AA7AACA" w14:textId="77777777" w:rsidTr="00591F72">
        <w:trPr>
          <w:tblCellSpacing w:w="15" w:type="dxa"/>
        </w:trPr>
        <w:tc>
          <w:tcPr>
            <w:tcW w:w="0" w:type="auto"/>
            <w:vAlign w:val="center"/>
            <w:hideMark/>
          </w:tcPr>
          <w:p w14:paraId="178E763C"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Subprocessor Change</w:t>
            </w:r>
          </w:p>
        </w:tc>
        <w:tc>
          <w:tcPr>
            <w:tcW w:w="0" w:type="auto"/>
            <w:vAlign w:val="center"/>
            <w:hideMark/>
          </w:tcPr>
          <w:p w14:paraId="4F5AA959"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Assess changes to data access and security exposure.</w:t>
            </w:r>
          </w:p>
        </w:tc>
        <w:tc>
          <w:tcPr>
            <w:tcW w:w="0" w:type="auto"/>
            <w:vAlign w:val="center"/>
            <w:hideMark/>
          </w:tcPr>
          <w:p w14:paraId="641F951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Compliance</w:t>
            </w:r>
          </w:p>
        </w:tc>
      </w:tr>
      <w:tr w:rsidR="00591F72" w:rsidRPr="00591F72" w14:paraId="07A9FBC8" w14:textId="77777777" w:rsidTr="00591F72">
        <w:trPr>
          <w:tblCellSpacing w:w="15" w:type="dxa"/>
        </w:trPr>
        <w:tc>
          <w:tcPr>
            <w:tcW w:w="0" w:type="auto"/>
            <w:vAlign w:val="center"/>
            <w:hideMark/>
          </w:tcPr>
          <w:p w14:paraId="7D4FBE8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lastRenderedPageBreak/>
              <w:t>Contract Renewal</w:t>
            </w:r>
          </w:p>
        </w:tc>
        <w:tc>
          <w:tcPr>
            <w:tcW w:w="0" w:type="auto"/>
            <w:vAlign w:val="center"/>
            <w:hideMark/>
          </w:tcPr>
          <w:p w14:paraId="774D3541"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Perform full contractual and security requirement review.</w:t>
            </w:r>
          </w:p>
        </w:tc>
        <w:tc>
          <w:tcPr>
            <w:tcW w:w="0" w:type="auto"/>
            <w:vAlign w:val="center"/>
            <w:hideMark/>
          </w:tcPr>
          <w:p w14:paraId="6800F453"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Legal and Compliance</w:t>
            </w:r>
          </w:p>
        </w:tc>
      </w:tr>
    </w:tbl>
    <w:p w14:paraId="1F2CE327"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2575D2C0">
          <v:rect id="_x0000_i1054" style="width:0;height:1.5pt" o:hralign="center" o:hrstd="t" o:hr="t" fillcolor="#a0a0a0" stroked="f"/>
        </w:pict>
      </w:r>
    </w:p>
    <w:p w14:paraId="18130B30"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15. Risk Acceptance and Escalation</w:t>
      </w:r>
    </w:p>
    <w:p w14:paraId="2DA0F6DF"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absence of a secondary payment gateway represents a significant residual concentration risk.</w:t>
      </w:r>
    </w:p>
    <w:p w14:paraId="132B98F7"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This risk should not be treated as an informal operational assumption. If accepted, it must be formally documented and approved by the appropriate risk owners.</w:t>
      </w:r>
    </w:p>
    <w:p w14:paraId="0A97E7F1"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risk acceptance should include:</w:t>
      </w:r>
    </w:p>
    <w:p w14:paraId="00A9C279" w14:textId="77777777" w:rsidR="00591F72" w:rsidRPr="00591F72" w:rsidRDefault="00591F72" w:rsidP="00591F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Description of the accepted risk</w:t>
      </w:r>
    </w:p>
    <w:p w14:paraId="0B965F19" w14:textId="77777777" w:rsidR="00591F72" w:rsidRPr="00591F72" w:rsidRDefault="00591F72" w:rsidP="00591F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Business justification</w:t>
      </w:r>
    </w:p>
    <w:p w14:paraId="22CAEBF8" w14:textId="77777777" w:rsidR="00591F72" w:rsidRPr="00591F72" w:rsidRDefault="00591F72" w:rsidP="00591F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Risk owner</w:t>
      </w:r>
    </w:p>
    <w:p w14:paraId="5DCB5CAD" w14:textId="77777777" w:rsidR="00591F72" w:rsidRPr="00591F72" w:rsidRDefault="00591F72" w:rsidP="00591F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Approval authority</w:t>
      </w:r>
    </w:p>
    <w:p w14:paraId="5DAF374B" w14:textId="77777777" w:rsidR="00591F72" w:rsidRPr="00591F72" w:rsidRDefault="00591F72" w:rsidP="00591F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Date of acceptance</w:t>
      </w:r>
    </w:p>
    <w:p w14:paraId="25E923B2" w14:textId="77777777" w:rsidR="00591F72" w:rsidRPr="00591F72" w:rsidRDefault="00591F72" w:rsidP="00591F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Review date</w:t>
      </w:r>
    </w:p>
    <w:p w14:paraId="7C0B2945" w14:textId="77777777" w:rsidR="00591F72" w:rsidRPr="00591F72" w:rsidRDefault="00591F72" w:rsidP="00591F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Conditions that trigger reassessment</w:t>
      </w:r>
    </w:p>
    <w:p w14:paraId="533B327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Recommended reassessment triggers include:</w:t>
      </w:r>
    </w:p>
    <w:p w14:paraId="210B65AF" w14:textId="77777777" w:rsidR="00591F72" w:rsidRPr="00591F72" w:rsidRDefault="00591F72" w:rsidP="00591F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Significant increase in transaction volume</w:t>
      </w:r>
    </w:p>
    <w:p w14:paraId="4D48A05F" w14:textId="77777777" w:rsidR="00591F72" w:rsidRPr="00591F72" w:rsidRDefault="00591F72" w:rsidP="00591F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Major Razorpay service disruption</w:t>
      </w:r>
    </w:p>
    <w:p w14:paraId="763D4662" w14:textId="77777777" w:rsidR="00591F72" w:rsidRPr="00591F72" w:rsidRDefault="00591F72" w:rsidP="00591F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Material security incident</w:t>
      </w:r>
    </w:p>
    <w:p w14:paraId="27C210B1" w14:textId="77777777" w:rsidR="00591F72" w:rsidRPr="00591F72" w:rsidRDefault="00591F72" w:rsidP="00591F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Regulatory action affecting the vendor</w:t>
      </w:r>
    </w:p>
    <w:p w14:paraId="5B073023" w14:textId="77777777" w:rsidR="00591F72" w:rsidRPr="00591F72" w:rsidRDefault="00591F72" w:rsidP="00591F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Significant deterioration in vendor security posture</w:t>
      </w:r>
    </w:p>
    <w:p w14:paraId="3DCEA6C0"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This ensures that risk acceptance remains an active management decision rather than becoming a permanent unmanaged exception.</w:t>
      </w:r>
    </w:p>
    <w:p w14:paraId="3BDFED24"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3422C82C">
          <v:rect id="_x0000_i1055" style="width:0;height:1.5pt" o:hralign="center" o:hrstd="t" o:hr="t" fillcolor="#a0a0a0" stroked="f"/>
        </w:pict>
      </w:r>
    </w:p>
    <w:p w14:paraId="18994C4E"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16. Final Deliverables</w:t>
      </w:r>
    </w:p>
    <w:p w14:paraId="4C111817"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Week 5 project produced two primary GRC artifacts.</w:t>
      </w:r>
    </w:p>
    <w:p w14:paraId="46D5F655"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Deliverable 1: PaySphere NIST CSF 2.0 Current and Target Profile</w:t>
      </w:r>
    </w:p>
    <w:p w14:paraId="1957FBC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Profile demonstrates the ability to:</w:t>
      </w:r>
    </w:p>
    <w:p w14:paraId="5F623C5B" w14:textId="77777777" w:rsidR="00591F72" w:rsidRPr="00591F72" w:rsidRDefault="00591F72" w:rsidP="00591F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Select relevant NIST CSF 2.0 Subcategories</w:t>
      </w:r>
    </w:p>
    <w:p w14:paraId="56B26B10" w14:textId="77777777" w:rsidR="00591F72" w:rsidRPr="00591F72" w:rsidRDefault="00591F72" w:rsidP="00591F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lastRenderedPageBreak/>
        <w:t>Assess a Current Profile based on available organizational evidence</w:t>
      </w:r>
    </w:p>
    <w:p w14:paraId="15C23642" w14:textId="77777777" w:rsidR="00591F72" w:rsidRPr="00591F72" w:rsidRDefault="00591F72" w:rsidP="00591F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Define a measurable Target Profile</w:t>
      </w:r>
    </w:p>
    <w:p w14:paraId="56A8359A" w14:textId="77777777" w:rsidR="00591F72" w:rsidRPr="00591F72" w:rsidRDefault="00591F72" w:rsidP="00591F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Identify explicit capability gaps</w:t>
      </w:r>
    </w:p>
    <w:p w14:paraId="0E1D348F" w14:textId="77777777" w:rsidR="00591F72" w:rsidRPr="00591F72" w:rsidRDefault="00591F72" w:rsidP="00591F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Connect framework requirements to known organizational risks</w:t>
      </w:r>
    </w:p>
    <w:p w14:paraId="1175FCBD" w14:textId="77777777" w:rsidR="00591F72" w:rsidRPr="00591F72" w:rsidRDefault="00591F72" w:rsidP="00591F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Use the Profile as a roadmap for cybersecurity improvement</w:t>
      </w:r>
    </w:p>
    <w:p w14:paraId="766D8745"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35661135">
          <v:rect id="_x0000_i1056" style="width:0;height:1.5pt" o:hralign="center" o:hrstd="t" o:hr="t" fillcolor="#a0a0a0" stroked="f"/>
        </w:pict>
      </w:r>
    </w:p>
    <w:p w14:paraId="62EB4D23" w14:textId="77777777" w:rsidR="00591F72" w:rsidRPr="00591F72" w:rsidRDefault="00591F72" w:rsidP="00591F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F72">
        <w:rPr>
          <w:rFonts w:ascii="Times New Roman" w:eastAsia="Times New Roman" w:hAnsi="Times New Roman" w:cs="Times New Roman"/>
          <w:b/>
          <w:bCs/>
          <w:sz w:val="36"/>
          <w:szCs w:val="36"/>
          <w:lang w:eastAsia="en-IN"/>
        </w:rPr>
        <w:t>Deliverable 2: Critical Vendor Risk Record</w:t>
      </w:r>
    </w:p>
    <w:p w14:paraId="77FB2748"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Vendor Risk Record demonstrates the ability to:</w:t>
      </w:r>
    </w:p>
    <w:p w14:paraId="791EE0C0"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Assess vendor criticality</w:t>
      </w:r>
    </w:p>
    <w:p w14:paraId="30A11FA9"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Evaluate third-party risk factors</w:t>
      </w:r>
    </w:p>
    <w:p w14:paraId="30485E41"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Track security assurance documentation</w:t>
      </w:r>
    </w:p>
    <w:p w14:paraId="63549E81"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Review contractual security requirements</w:t>
      </w:r>
    </w:p>
    <w:p w14:paraId="4051B239"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Assign risk ownership</w:t>
      </w:r>
    </w:p>
    <w:p w14:paraId="192F1C1C"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Define risk treatment activities</w:t>
      </w:r>
    </w:p>
    <w:p w14:paraId="3F562B20"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Establish ongoing monitoring</w:t>
      </w:r>
    </w:p>
    <w:p w14:paraId="67C13301" w14:textId="77777777" w:rsidR="00591F72" w:rsidRPr="00591F72" w:rsidRDefault="00591F72" w:rsidP="00591F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Document risk acceptance and escalation triggers</w:t>
      </w:r>
    </w:p>
    <w:p w14:paraId="79CE9908"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27AEF433">
          <v:rect id="_x0000_i1057" style="width:0;height:1.5pt" o:hralign="center" o:hrstd="t" o:hr="t" fillcolor="#a0a0a0" stroked="f"/>
        </w:pict>
      </w:r>
    </w:p>
    <w:p w14:paraId="05D1C8C9"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17. Key GRC Competencies Demonstrated</w:t>
      </w:r>
    </w:p>
    <w:p w14:paraId="5C108AAE"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Through this project, the following practical competencies were demonstrated:</w:t>
      </w:r>
    </w:p>
    <w:p w14:paraId="01A50FE1"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Cybersecurity Framework Application</w:t>
      </w:r>
    </w:p>
    <w:p w14:paraId="345ED5F9"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Applying NIST CSF 2.0 requirements to a realistic organizational environment.</w:t>
      </w:r>
    </w:p>
    <w:p w14:paraId="354383E1"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Current-State Assessment</w:t>
      </w:r>
    </w:p>
    <w:p w14:paraId="7A272C95"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Documenting what actually exists rather than assigning generic implementation labels.</w:t>
      </w:r>
    </w:p>
    <w:p w14:paraId="4BE65085"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Target-State Definition</w:t>
      </w:r>
    </w:p>
    <w:p w14:paraId="5DABCE43"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Defining specific, measurable, and actionable cybersecurity outcomes.</w:t>
      </w:r>
    </w:p>
    <w:p w14:paraId="2314D947"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Gap Analysis</w:t>
      </w:r>
    </w:p>
    <w:p w14:paraId="71E032B6"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Identifying the precise difference between the organization's existing and desired capabilities.</w:t>
      </w:r>
    </w:p>
    <w:p w14:paraId="4106599E"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Risk-Based Prioritization</w:t>
      </w:r>
    </w:p>
    <w:p w14:paraId="2BA8D2A6"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Selecting framework areas based on material organizational risks.</w:t>
      </w:r>
    </w:p>
    <w:p w14:paraId="06A5F264"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Third-Party Risk Management</w:t>
      </w:r>
    </w:p>
    <w:p w14:paraId="27508FC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lastRenderedPageBreak/>
        <w:t>Assessing vendor criticality, security evidence, contractual obligations, residual risk, and monitoring requirements.</w:t>
      </w:r>
    </w:p>
    <w:p w14:paraId="58A816D6"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Governance and Accountability</w:t>
      </w:r>
    </w:p>
    <w:p w14:paraId="4380F844"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Establishing risk ownership, review cadences, escalation processes, and documented risk acceptance.</w:t>
      </w:r>
    </w:p>
    <w:p w14:paraId="45C13174" w14:textId="77777777" w:rsidR="00591F72" w:rsidRPr="00591F72" w:rsidRDefault="00591F72" w:rsidP="00591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F72">
        <w:rPr>
          <w:rFonts w:ascii="Times New Roman" w:eastAsia="Times New Roman" w:hAnsi="Times New Roman" w:cs="Times New Roman"/>
          <w:b/>
          <w:bCs/>
          <w:sz w:val="27"/>
          <w:szCs w:val="27"/>
          <w:lang w:eastAsia="en-IN"/>
        </w:rPr>
        <w:t>GRC Documentation</w:t>
      </w:r>
    </w:p>
    <w:p w14:paraId="1F93066F"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Producing structured artifacts suitable for management review, audit preparation, and portfolio demonstration.</w:t>
      </w:r>
    </w:p>
    <w:p w14:paraId="666A9B40" w14:textId="77777777" w:rsidR="00591F72" w:rsidRPr="00591F72" w:rsidRDefault="00591F72" w:rsidP="00591F72">
      <w:pPr>
        <w:spacing w:after="0"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pict w14:anchorId="7DDB091D">
          <v:rect id="_x0000_i1058" style="width:0;height:1.5pt" o:hralign="center" o:hrstd="t" o:hr="t" fillcolor="#a0a0a0" stroked="f"/>
        </w:pict>
      </w:r>
    </w:p>
    <w:p w14:paraId="22D2D8AB" w14:textId="77777777" w:rsidR="00591F72" w:rsidRPr="00591F72" w:rsidRDefault="00591F72" w:rsidP="00591F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F72">
        <w:rPr>
          <w:rFonts w:ascii="Times New Roman" w:eastAsia="Times New Roman" w:hAnsi="Times New Roman" w:cs="Times New Roman"/>
          <w:b/>
          <w:bCs/>
          <w:kern w:val="36"/>
          <w:sz w:val="48"/>
          <w:szCs w:val="48"/>
          <w:lang w:eastAsia="en-IN"/>
        </w:rPr>
        <w:t>Conclusion</w:t>
      </w:r>
    </w:p>
    <w:p w14:paraId="0DCED99D"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Week 5 focused on converting cybersecurity risk knowledge into operational GRC artifacts.</w:t>
      </w:r>
    </w:p>
    <w:p w14:paraId="537F0612"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PaySphere CSF 2.0 Profile demonstrates how a GRC analyst can assess an organization's security posture, define a realistic target state, and identify the gaps requiring remediation.</w:t>
      </w:r>
    </w:p>
    <w:p w14:paraId="4B18B68E"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Razorpay Vendor Risk Record demonstrates how a framework requirement can be operationalized into a repeatable third-party risk management process rather than treated as a high-level compliance statement.</w:t>
      </w:r>
    </w:p>
    <w:p w14:paraId="0E205382"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Together, these deliverables show the progression from:</w:t>
      </w:r>
    </w:p>
    <w:p w14:paraId="0930679D"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Risk Identification → Framework Mapping → Current-State Assessment → Target-State Definition → Gap Analysis → Risk Treatment → Continuous Monitoring</w:t>
      </w:r>
    </w:p>
    <w:p w14:paraId="2103AD28"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sz w:val="24"/>
          <w:szCs w:val="24"/>
          <w:lang w:eastAsia="en-IN"/>
        </w:rPr>
        <w:t>The central outcome of this week's work is the ability to transform cybersecurity and compliance requirements into structured, decision-useful artifacts that can support leadership, security teams, auditors, and risk owners.</w:t>
      </w:r>
    </w:p>
    <w:p w14:paraId="25169713" w14:textId="77777777" w:rsidR="00591F72" w:rsidRPr="00591F72" w:rsidRDefault="00591F72" w:rsidP="00591F72">
      <w:pPr>
        <w:spacing w:before="100" w:beforeAutospacing="1" w:after="100" w:afterAutospacing="1" w:line="240" w:lineRule="auto"/>
        <w:rPr>
          <w:rFonts w:ascii="Times New Roman" w:eastAsia="Times New Roman" w:hAnsi="Times New Roman" w:cs="Times New Roman"/>
          <w:sz w:val="24"/>
          <w:szCs w:val="24"/>
          <w:lang w:eastAsia="en-IN"/>
        </w:rPr>
      </w:pPr>
      <w:r w:rsidRPr="00591F72">
        <w:rPr>
          <w:rFonts w:ascii="Times New Roman" w:eastAsia="Times New Roman" w:hAnsi="Times New Roman" w:cs="Times New Roman"/>
          <w:b/>
          <w:bCs/>
          <w:sz w:val="24"/>
          <w:szCs w:val="24"/>
          <w:lang w:eastAsia="en-IN"/>
        </w:rPr>
        <w:t>Week 5 Deliverable Completed: NIST CSF 2.0 Profile Assessment and Critical Vendor Risk Management Record.</w:t>
      </w:r>
    </w:p>
    <w:p w14:paraId="496B0ECC" w14:textId="77777777" w:rsidR="001378A5" w:rsidRDefault="001378A5"/>
    <w:sectPr w:rsidR="00137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710D4"/>
    <w:multiLevelType w:val="multilevel"/>
    <w:tmpl w:val="79E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771F3"/>
    <w:multiLevelType w:val="multilevel"/>
    <w:tmpl w:val="7C9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A2B9D"/>
    <w:multiLevelType w:val="multilevel"/>
    <w:tmpl w:val="D85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82417"/>
    <w:multiLevelType w:val="multilevel"/>
    <w:tmpl w:val="6D5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355C9"/>
    <w:multiLevelType w:val="multilevel"/>
    <w:tmpl w:val="986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C5F87"/>
    <w:multiLevelType w:val="multilevel"/>
    <w:tmpl w:val="1D629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04385E"/>
    <w:multiLevelType w:val="multilevel"/>
    <w:tmpl w:val="549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72B7D"/>
    <w:multiLevelType w:val="multilevel"/>
    <w:tmpl w:val="0E3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454"/>
    <w:multiLevelType w:val="multilevel"/>
    <w:tmpl w:val="1B6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D41F5"/>
    <w:multiLevelType w:val="multilevel"/>
    <w:tmpl w:val="1D16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D743A"/>
    <w:multiLevelType w:val="multilevel"/>
    <w:tmpl w:val="32C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36C2A"/>
    <w:multiLevelType w:val="multilevel"/>
    <w:tmpl w:val="B55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C0600C"/>
    <w:multiLevelType w:val="multilevel"/>
    <w:tmpl w:val="FA0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D2E5B"/>
    <w:multiLevelType w:val="multilevel"/>
    <w:tmpl w:val="2A4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040D0"/>
    <w:multiLevelType w:val="multilevel"/>
    <w:tmpl w:val="76F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A694C"/>
    <w:multiLevelType w:val="multilevel"/>
    <w:tmpl w:val="D2F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63298"/>
    <w:multiLevelType w:val="multilevel"/>
    <w:tmpl w:val="80B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171B1"/>
    <w:multiLevelType w:val="multilevel"/>
    <w:tmpl w:val="B05E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2"/>
  </w:num>
  <w:num w:numId="4">
    <w:abstractNumId w:val="4"/>
  </w:num>
  <w:num w:numId="5">
    <w:abstractNumId w:val="1"/>
  </w:num>
  <w:num w:numId="6">
    <w:abstractNumId w:val="15"/>
  </w:num>
  <w:num w:numId="7">
    <w:abstractNumId w:val="17"/>
  </w:num>
  <w:num w:numId="8">
    <w:abstractNumId w:val="0"/>
  </w:num>
  <w:num w:numId="9">
    <w:abstractNumId w:val="13"/>
  </w:num>
  <w:num w:numId="10">
    <w:abstractNumId w:val="14"/>
  </w:num>
  <w:num w:numId="11">
    <w:abstractNumId w:val="8"/>
  </w:num>
  <w:num w:numId="12">
    <w:abstractNumId w:val="3"/>
  </w:num>
  <w:num w:numId="13">
    <w:abstractNumId w:val="11"/>
  </w:num>
  <w:num w:numId="14">
    <w:abstractNumId w:val="7"/>
  </w:num>
  <w:num w:numId="15">
    <w:abstractNumId w:val="6"/>
  </w:num>
  <w:num w:numId="16">
    <w:abstractNumId w:val="12"/>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6A"/>
    <w:rsid w:val="001378A5"/>
    <w:rsid w:val="00230C6A"/>
    <w:rsid w:val="00591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17101-E641-464C-8AAD-7C7D4A8D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91F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91F7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1F7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F7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91F7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1F7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1F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1F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290654">
      <w:bodyDiv w:val="1"/>
      <w:marLeft w:val="0"/>
      <w:marRight w:val="0"/>
      <w:marTop w:val="0"/>
      <w:marBottom w:val="0"/>
      <w:divBdr>
        <w:top w:val="none" w:sz="0" w:space="0" w:color="auto"/>
        <w:left w:val="none" w:sz="0" w:space="0" w:color="auto"/>
        <w:bottom w:val="none" w:sz="0" w:space="0" w:color="auto"/>
        <w:right w:val="none" w:sz="0" w:space="0" w:color="auto"/>
      </w:divBdr>
      <w:divsChild>
        <w:div w:id="838468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3436</Words>
  <Characters>19586</Characters>
  <Application>Microsoft Office Word</Application>
  <DocSecurity>0</DocSecurity>
  <Lines>163</Lines>
  <Paragraphs>45</Paragraphs>
  <ScaleCrop>false</ScaleCrop>
  <Company/>
  <LinksUpToDate>false</LinksUpToDate>
  <CharactersWithSpaces>22977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 Arpit Sahoo</dc:creator>
  <cp:keywords/>
  <dc:description/>
  <cp:lastModifiedBy>Auro Arpit Sahoo</cp:lastModifiedBy>
  <cp:revision>2</cp:revision>
  <dcterms:created xsi:type="dcterms:W3CDTF">2026-08-31T15:48:00Z</dcterms:created>
  <dcterms:modified xsi:type="dcterms:W3CDTF">2026-08-31T15:48:00Z</dcterms:modified>
</cp:coreProperties>
</file>