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C8AB8" w14:textId="77777777" w:rsidR="00634D6B" w:rsidRDefault="00304499">
      <w:pPr>
        <w:spacing w:after="4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Auro Arpit Sahoo</w:t>
      </w:r>
    </w:p>
    <w:p w14:paraId="5D64BFDE" w14:textId="77777777" w:rsidR="00304499" w:rsidRDefault="00304499" w:rsidP="00304499">
      <w:pPr>
        <w:spacing w:after="60"/>
        <w:jc w:val="center"/>
      </w:pPr>
      <w:hyperlink r:id="rId5" w:history="1">
        <w:r w:rsidRPr="0014561C">
          <w:rPr>
            <w:rStyle w:val="Hyperlink"/>
            <w:rFonts w:ascii="Calibri" w:eastAsia="Calibri" w:hAnsi="Calibri" w:cs="Calibri"/>
            <w:sz w:val="17"/>
            <w:szCs w:val="17"/>
          </w:rPr>
          <w:t>mailto:auroarpitsahoo.19045@gmail.com</w:t>
        </w:r>
      </w:hyperlink>
      <w:r>
        <w:rPr>
          <w:rFonts w:ascii="Calibri" w:eastAsia="Calibri" w:hAnsi="Calibri" w:cs="Calibri"/>
          <w:color w:val="444444"/>
          <w:sz w:val="17"/>
          <w:szCs w:val="17"/>
        </w:rPr>
        <w:t xml:space="preserve"> </w:t>
      </w:r>
      <w:proofErr w:type="gramStart"/>
      <w:r>
        <w:rPr>
          <w:rFonts w:ascii="Calibri" w:eastAsia="Calibri" w:hAnsi="Calibri" w:cs="Calibri"/>
          <w:color w:val="444444"/>
          <w:sz w:val="17"/>
          <w:szCs w:val="17"/>
        </w:rPr>
        <w:t>|  +</w:t>
      </w:r>
      <w:proofErr w:type="gramEnd"/>
      <w:r>
        <w:rPr>
          <w:rFonts w:ascii="Calibri" w:eastAsia="Calibri" w:hAnsi="Calibri" w:cs="Calibri"/>
          <w:color w:val="444444"/>
          <w:sz w:val="17"/>
          <w:szCs w:val="17"/>
        </w:rPr>
        <w:t xml:space="preserve">91 7894560722  |  </w:t>
      </w:r>
      <w:hyperlink r:id="rId6" w:history="1">
        <w:r w:rsidRPr="0014561C">
          <w:rPr>
            <w:rStyle w:val="Hyperlink"/>
            <w:rFonts w:ascii="Calibri" w:eastAsia="Calibri" w:hAnsi="Calibri" w:cs="Calibri"/>
            <w:sz w:val="17"/>
            <w:szCs w:val="17"/>
          </w:rPr>
          <w:t xml:space="preserve">LinkedIn </w:t>
        </w:r>
      </w:hyperlink>
      <w:r>
        <w:rPr>
          <w:rFonts w:ascii="Calibri" w:eastAsia="Calibri" w:hAnsi="Calibri" w:cs="Calibri"/>
          <w:color w:val="444444"/>
          <w:sz w:val="17"/>
          <w:szCs w:val="17"/>
        </w:rPr>
        <w:t xml:space="preserve"> |  </w:t>
      </w:r>
      <w:hyperlink r:id="rId7" w:history="1">
        <w:r w:rsidRPr="00253172">
          <w:rPr>
            <w:rStyle w:val="Hyperlink"/>
            <w:rFonts w:ascii="Calibri" w:eastAsia="Calibri" w:hAnsi="Calibri" w:cs="Calibri"/>
            <w:sz w:val="17"/>
            <w:szCs w:val="17"/>
          </w:rPr>
          <w:t>Portfolio Link</w:t>
        </w:r>
      </w:hyperlink>
    </w:p>
    <w:p w14:paraId="56205ECE" w14:textId="77777777" w:rsidR="00634D6B" w:rsidRDefault="00304499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1A1A1A"/>
        </w:rPr>
        <w:t xml:space="preserve">GRC </w:t>
      </w:r>
      <w:proofErr w:type="gramStart"/>
      <w:r>
        <w:rPr>
          <w:rFonts w:ascii="Calibri" w:eastAsia="Calibri" w:hAnsi="Calibri" w:cs="Calibri"/>
          <w:b/>
          <w:bCs/>
          <w:color w:val="1A1A1A"/>
        </w:rPr>
        <w:t>Analyst  |</w:t>
      </w:r>
      <w:proofErr w:type="gramEnd"/>
      <w:r>
        <w:rPr>
          <w:rFonts w:ascii="Calibri" w:eastAsia="Calibri" w:hAnsi="Calibri" w:cs="Calibri"/>
          <w:b/>
          <w:bCs/>
          <w:color w:val="1A1A1A"/>
        </w:rPr>
        <w:t xml:space="preserve">  Third-Party Risk Management  |  AI Governance  |  ISO 27001  |  IBM OpenPages</w:t>
      </w:r>
    </w:p>
    <w:p w14:paraId="32E1E352" w14:textId="77777777" w:rsidR="00634D6B" w:rsidRDefault="00304499">
      <w:pPr>
        <w:pBdr>
          <w:bottom w:val="single" w:sz="6" w:space="0" w:color="222222"/>
        </w:pBdr>
        <w:spacing w:before="160" w:after="40"/>
      </w:pPr>
      <w:r>
        <w:rPr>
          <w:rFonts w:ascii="Calibri" w:eastAsia="Calibri" w:hAnsi="Calibri" w:cs="Calibri"/>
          <w:b/>
          <w:bCs/>
        </w:rPr>
        <w:t>PROFESSIONAL SUMMARY</w:t>
      </w:r>
    </w:p>
    <w:p w14:paraId="1EDA9C81" w14:textId="77777777" w:rsidR="00634D6B" w:rsidRDefault="00304499">
      <w:pPr>
        <w:spacing w:before="20" w:after="20"/>
      </w:pPr>
      <w:r>
        <w:rPr>
          <w:rFonts w:ascii="Calibri" w:eastAsia="Calibri" w:hAnsi="Calibri" w:cs="Calibri"/>
        </w:rPr>
        <w:t>GRC Analyst at Deloitte USI with hands-on experience in Third-Party Risk Management (TPRM) and AI Governance — a combination still rare in In</w:t>
      </w:r>
      <w:r>
        <w:rPr>
          <w:rFonts w:ascii="Calibri" w:eastAsia="Calibri" w:hAnsi="Calibri" w:cs="Calibri"/>
        </w:rPr>
        <w:t>dia's GRC talent pool. Managing vendor onboarding, periodic reassessments, and control testing on IBM OpenPages GRC (GORO). Validated an in-development AI tool's SOC 2 control extraction against AICPA Trust Services Criteria across 10–15 reports. CS backgr</w:t>
      </w:r>
      <w:r>
        <w:rPr>
          <w:rFonts w:ascii="Calibri" w:eastAsia="Calibri" w:hAnsi="Calibri" w:cs="Calibri"/>
        </w:rPr>
        <w:t>ound enables effective collaboration with engineering and product teams. Targeting internal GRC / IT Risk Analyst roles at product and technology companies.</w:t>
      </w:r>
    </w:p>
    <w:p w14:paraId="43B2C0ED" w14:textId="77777777" w:rsidR="00634D6B" w:rsidRDefault="00304499">
      <w:pPr>
        <w:pBdr>
          <w:bottom w:val="single" w:sz="6" w:space="0" w:color="222222"/>
        </w:pBdr>
        <w:spacing w:before="160" w:after="40"/>
      </w:pPr>
      <w:r>
        <w:rPr>
          <w:rFonts w:ascii="Calibri" w:eastAsia="Calibri" w:hAnsi="Calibri" w:cs="Calibri"/>
          <w:b/>
          <w:bCs/>
        </w:rPr>
        <w:t>EXPERIENCE</w:t>
      </w:r>
    </w:p>
    <w:p w14:paraId="3BA0298D" w14:textId="77777777" w:rsidR="00634D6B" w:rsidRDefault="00304499">
      <w:pPr>
        <w:spacing w:before="80" w:after="20"/>
      </w:pPr>
      <w:r>
        <w:rPr>
          <w:rFonts w:ascii="Calibri" w:eastAsia="Calibri" w:hAnsi="Calibri" w:cs="Calibri"/>
          <w:b/>
          <w:bCs/>
        </w:rPr>
        <w:t xml:space="preserve">Deloitte </w:t>
      </w:r>
      <w:proofErr w:type="gramStart"/>
      <w:r>
        <w:rPr>
          <w:rFonts w:ascii="Calibri" w:eastAsia="Calibri" w:hAnsi="Calibri" w:cs="Calibri"/>
          <w:b/>
          <w:bCs/>
        </w:rPr>
        <w:t>USI</w:t>
      </w:r>
      <w:r>
        <w:rPr>
          <w:rFonts w:ascii="Calibri" w:eastAsia="Calibri" w:hAnsi="Calibri" w:cs="Calibri"/>
          <w:color w:val="666666"/>
        </w:rPr>
        <w:t xml:space="preserve">  |</w:t>
      </w:r>
      <w:proofErr w:type="gramEnd"/>
      <w:r>
        <w:rPr>
          <w:rFonts w:ascii="Calibri" w:eastAsia="Calibri" w:hAnsi="Calibri" w:cs="Calibri"/>
          <w:color w:val="666666"/>
        </w:rPr>
        <w:t xml:space="preserve">  </w:t>
      </w:r>
      <w:r>
        <w:rPr>
          <w:rFonts w:ascii="Calibri" w:eastAsia="Calibri" w:hAnsi="Calibri" w:cs="Calibri"/>
          <w:b/>
          <w:bCs/>
          <w:i/>
          <w:iCs/>
        </w:rPr>
        <w:t>GRC Analyst – Third-Party Risk &amp; Compliance</w:t>
      </w:r>
      <w:r>
        <w:rPr>
          <w:rFonts w:ascii="Calibri" w:eastAsia="Calibri" w:hAnsi="Calibri" w:cs="Calibri"/>
          <w:color w:val="666666"/>
        </w:rPr>
        <w:t xml:space="preserve">  |  </w:t>
      </w:r>
      <w:r>
        <w:rPr>
          <w:rFonts w:ascii="Calibri" w:eastAsia="Calibri" w:hAnsi="Calibri" w:cs="Calibri"/>
        </w:rPr>
        <w:t>Jun 2025 – Present</w:t>
      </w:r>
      <w:r>
        <w:rPr>
          <w:rFonts w:ascii="Calibri" w:eastAsia="Calibri" w:hAnsi="Calibri" w:cs="Calibri"/>
          <w:color w:val="666666"/>
        </w:rPr>
        <w:t xml:space="preserve">  |  </w:t>
      </w:r>
      <w:r>
        <w:rPr>
          <w:rFonts w:ascii="Calibri" w:eastAsia="Calibri" w:hAnsi="Calibri" w:cs="Calibri"/>
        </w:rPr>
        <w:t>Hyderabad</w:t>
      </w:r>
    </w:p>
    <w:p w14:paraId="0A66DDD1" w14:textId="77777777" w:rsidR="00634D6B" w:rsidRDefault="00304499">
      <w:pPr>
        <w:spacing w:before="20" w:after="20"/>
        <w:ind w:left="288" w:hanging="215"/>
      </w:pPr>
      <w:r>
        <w:rPr>
          <w:rFonts w:ascii="Calibri" w:eastAsia="Calibri" w:hAnsi="Calibri" w:cs="Calibri"/>
        </w:rPr>
        <w:t>•  Manage vendor onboarding intake process — conduct calls with business stakeholders to capture intake form responses and validate Risk Assessment Forms (RAF) ahead of InfoSec and third-party review handoffs</w:t>
      </w:r>
    </w:p>
    <w:p w14:paraId="27585B5E" w14:textId="77777777" w:rsidR="00634D6B" w:rsidRDefault="00304499">
      <w:pPr>
        <w:spacing w:before="20" w:after="20"/>
        <w:ind w:left="288" w:hanging="215"/>
      </w:pPr>
      <w:r>
        <w:rPr>
          <w:rFonts w:ascii="Calibri" w:eastAsia="Calibri" w:hAnsi="Calibri" w:cs="Calibri"/>
        </w:rPr>
        <w:t>•  Monitor ongoing supplier risk post</w:t>
      </w:r>
      <w:r>
        <w:rPr>
          <w:rFonts w:ascii="Calibri" w:eastAsia="Calibri" w:hAnsi="Calibri" w:cs="Calibri"/>
        </w:rPr>
        <w:t>ure through periodic reassessment cycles — verify scope changes and validate inherent-risk questionnaire responses against baseline records in IBM OpenPages GRC (GORO)</w:t>
      </w:r>
    </w:p>
    <w:p w14:paraId="03B5E0B8" w14:textId="77777777" w:rsidR="00634D6B" w:rsidRDefault="00304499">
      <w:pPr>
        <w:spacing w:before="20" w:after="20"/>
        <w:ind w:left="288" w:hanging="215"/>
      </w:pPr>
      <w:r>
        <w:rPr>
          <w:rFonts w:ascii="Calibri" w:eastAsia="Calibri" w:hAnsi="Calibri" w:cs="Calibri"/>
        </w:rPr>
        <w:t>•  Extract and review third-party risk intelligence reports (</w:t>
      </w:r>
      <w:proofErr w:type="spellStart"/>
      <w:r>
        <w:rPr>
          <w:rFonts w:ascii="Calibri" w:eastAsia="Calibri" w:hAnsi="Calibri" w:cs="Calibri"/>
        </w:rPr>
        <w:t>Interos</w:t>
      </w:r>
      <w:proofErr w:type="spellEnd"/>
      <w:r>
        <w:rPr>
          <w:rFonts w:ascii="Calibri" w:eastAsia="Calibri" w:hAnsi="Calibri" w:cs="Calibri"/>
        </w:rPr>
        <w:t>) and financial heal</w:t>
      </w:r>
      <w:r>
        <w:rPr>
          <w:rFonts w:ascii="Calibri" w:eastAsia="Calibri" w:hAnsi="Calibri" w:cs="Calibri"/>
        </w:rPr>
        <w:t>th ratings (</w:t>
      </w:r>
      <w:proofErr w:type="spellStart"/>
      <w:r>
        <w:rPr>
          <w:rFonts w:ascii="Calibri" w:eastAsia="Calibri" w:hAnsi="Calibri" w:cs="Calibri"/>
        </w:rPr>
        <w:t>RapidRatings</w:t>
      </w:r>
      <w:proofErr w:type="spellEnd"/>
      <w:r>
        <w:rPr>
          <w:rFonts w:ascii="Calibri" w:eastAsia="Calibri" w:hAnsi="Calibri" w:cs="Calibri"/>
        </w:rPr>
        <w:t>); escalate material changes to the risk team</w:t>
      </w:r>
    </w:p>
    <w:p w14:paraId="737AB5D4" w14:textId="77777777" w:rsidR="00634D6B" w:rsidRDefault="00304499">
      <w:pPr>
        <w:spacing w:before="20" w:after="20"/>
        <w:ind w:left="288" w:hanging="215"/>
      </w:pPr>
      <w:r>
        <w:rPr>
          <w:rFonts w:ascii="Calibri" w:eastAsia="Calibri" w:hAnsi="Calibri" w:cs="Calibri"/>
        </w:rPr>
        <w:t>•  Participate in control testing — validate third-party lifecycle process controls on OpenPages GORO by testing supplier data attributes and system logic against defined control criteri</w:t>
      </w:r>
      <w:r>
        <w:rPr>
          <w:rFonts w:ascii="Calibri" w:eastAsia="Calibri" w:hAnsi="Calibri" w:cs="Calibri"/>
        </w:rPr>
        <w:t>a</w:t>
      </w:r>
    </w:p>
    <w:p w14:paraId="459E6EB1" w14:textId="77777777" w:rsidR="00634D6B" w:rsidRDefault="00304499">
      <w:pPr>
        <w:spacing w:before="20" w:after="20"/>
        <w:ind w:left="288" w:hanging="215"/>
      </w:pPr>
      <w:proofErr w:type="gramStart"/>
      <w:r>
        <w:rPr>
          <w:rFonts w:ascii="Calibri" w:eastAsia="Calibri" w:hAnsi="Calibri" w:cs="Calibri"/>
        </w:rPr>
        <w:t xml:space="preserve">•  </w:t>
      </w:r>
      <w:r>
        <w:rPr>
          <w:rFonts w:ascii="Calibri" w:eastAsia="Calibri" w:hAnsi="Calibri" w:cs="Calibri"/>
          <w:b/>
          <w:bCs/>
        </w:rPr>
        <w:t>[</w:t>
      </w:r>
      <w:proofErr w:type="gramEnd"/>
      <w:r>
        <w:rPr>
          <w:rFonts w:ascii="Calibri" w:eastAsia="Calibri" w:hAnsi="Calibri" w:cs="Calibri"/>
          <w:b/>
          <w:bCs/>
        </w:rPr>
        <w:t>AI Governance]</w:t>
      </w:r>
      <w:r>
        <w:rPr>
          <w:rFonts w:ascii="Calibri" w:eastAsia="Calibri" w:hAnsi="Calibri" w:cs="Calibri"/>
        </w:rPr>
        <w:t xml:space="preserve"> Validated an in-development AI tool's automated SOC 2 control extraction against AICPA Trust Services Criteria — benchmarked AI outputs against human-reviewer judgment across 10–15 reports with a 4-level QA review structure</w:t>
      </w:r>
    </w:p>
    <w:p w14:paraId="6A094CB2" w14:textId="77777777" w:rsidR="00634D6B" w:rsidRDefault="00304499">
      <w:pPr>
        <w:spacing w:before="80" w:after="20"/>
      </w:pPr>
      <w:r>
        <w:rPr>
          <w:rFonts w:ascii="Calibri" w:eastAsia="Calibri" w:hAnsi="Calibri" w:cs="Calibri"/>
          <w:b/>
          <w:bCs/>
        </w:rPr>
        <w:t xml:space="preserve">Deloitte </w:t>
      </w:r>
      <w:proofErr w:type="gramStart"/>
      <w:r>
        <w:rPr>
          <w:rFonts w:ascii="Calibri" w:eastAsia="Calibri" w:hAnsi="Calibri" w:cs="Calibri"/>
          <w:b/>
          <w:bCs/>
        </w:rPr>
        <w:t>US</w:t>
      </w:r>
      <w:r>
        <w:rPr>
          <w:rFonts w:ascii="Calibri" w:eastAsia="Calibri" w:hAnsi="Calibri" w:cs="Calibri"/>
          <w:b/>
          <w:bCs/>
        </w:rPr>
        <w:t>I</w:t>
      </w:r>
      <w:r>
        <w:rPr>
          <w:rFonts w:ascii="Calibri" w:eastAsia="Calibri" w:hAnsi="Calibri" w:cs="Calibri"/>
          <w:color w:val="666666"/>
        </w:rPr>
        <w:t xml:space="preserve">  |</w:t>
      </w:r>
      <w:proofErr w:type="gramEnd"/>
      <w:r>
        <w:rPr>
          <w:rFonts w:ascii="Calibri" w:eastAsia="Calibri" w:hAnsi="Calibri" w:cs="Calibri"/>
          <w:color w:val="666666"/>
        </w:rPr>
        <w:t xml:space="preserve">  </w:t>
      </w:r>
      <w:r>
        <w:rPr>
          <w:rFonts w:ascii="Calibri" w:eastAsia="Calibri" w:hAnsi="Calibri" w:cs="Calibri"/>
          <w:b/>
          <w:bCs/>
          <w:i/>
          <w:iCs/>
        </w:rPr>
        <w:t>QA &amp; Content Operations Analyst</w:t>
      </w:r>
      <w:r>
        <w:rPr>
          <w:rFonts w:ascii="Calibri" w:eastAsia="Calibri" w:hAnsi="Calibri" w:cs="Calibri"/>
          <w:color w:val="666666"/>
        </w:rPr>
        <w:t xml:space="preserve">  |  </w:t>
      </w:r>
      <w:r>
        <w:rPr>
          <w:rFonts w:ascii="Calibri" w:eastAsia="Calibri" w:hAnsi="Calibri" w:cs="Calibri"/>
        </w:rPr>
        <w:t>Nov 2024 – Jun 2025</w:t>
      </w:r>
      <w:r>
        <w:rPr>
          <w:rFonts w:ascii="Calibri" w:eastAsia="Calibri" w:hAnsi="Calibri" w:cs="Calibri"/>
          <w:color w:val="666666"/>
        </w:rPr>
        <w:t xml:space="preserve">  |  </w:t>
      </w:r>
      <w:r>
        <w:rPr>
          <w:rFonts w:ascii="Calibri" w:eastAsia="Calibri" w:hAnsi="Calibri" w:cs="Calibri"/>
        </w:rPr>
        <w:t>Hyderabad</w:t>
      </w:r>
    </w:p>
    <w:p w14:paraId="01D0450D" w14:textId="77777777" w:rsidR="00634D6B" w:rsidRDefault="00304499">
      <w:pPr>
        <w:spacing w:before="20" w:after="20"/>
        <w:ind w:left="288" w:hanging="215"/>
      </w:pPr>
      <w:r>
        <w:rPr>
          <w:rFonts w:ascii="Calibri" w:eastAsia="Calibri" w:hAnsi="Calibri" w:cs="Calibri"/>
        </w:rPr>
        <w:t>•  Supported content operations and QA workflows on Adobe Experience Manager (AEM)</w:t>
      </w:r>
    </w:p>
    <w:p w14:paraId="2DF5A4EB" w14:textId="77777777" w:rsidR="00634D6B" w:rsidRDefault="00304499">
      <w:pPr>
        <w:spacing w:before="20" w:after="20"/>
        <w:ind w:left="288" w:hanging="215"/>
      </w:pPr>
      <w:r>
        <w:rPr>
          <w:rFonts w:ascii="Calibri" w:eastAsia="Calibri" w:hAnsi="Calibri" w:cs="Calibri"/>
        </w:rPr>
        <w:t xml:space="preserve">•  Transitioned internally into Cyber GRC – TPRM via competitive internal interview process (Jun </w:t>
      </w:r>
      <w:r>
        <w:rPr>
          <w:rFonts w:ascii="Calibri" w:eastAsia="Calibri" w:hAnsi="Calibri" w:cs="Calibri"/>
        </w:rPr>
        <w:t>2025)</w:t>
      </w:r>
    </w:p>
    <w:p w14:paraId="43C490C2" w14:textId="77777777" w:rsidR="00634D6B" w:rsidRDefault="00304499">
      <w:pPr>
        <w:pBdr>
          <w:bottom w:val="single" w:sz="6" w:space="0" w:color="222222"/>
        </w:pBdr>
        <w:spacing w:before="160" w:after="40"/>
      </w:pPr>
      <w:r>
        <w:rPr>
          <w:rFonts w:ascii="Calibri" w:eastAsia="Calibri" w:hAnsi="Calibri" w:cs="Calibri"/>
          <w:b/>
          <w:bCs/>
        </w:rPr>
        <w:t>SKILLS</w:t>
      </w:r>
    </w:p>
    <w:p w14:paraId="66F23499" w14:textId="77777777" w:rsidR="00634D6B" w:rsidRDefault="00304499">
      <w:pPr>
        <w:spacing w:before="20" w:after="20"/>
      </w:pPr>
      <w:r>
        <w:rPr>
          <w:rFonts w:ascii="Calibri" w:eastAsia="Calibri" w:hAnsi="Calibri" w:cs="Calibri"/>
          <w:b/>
          <w:bCs/>
        </w:rPr>
        <w:t xml:space="preserve">GRC Platforms: </w:t>
      </w:r>
      <w:r>
        <w:rPr>
          <w:rFonts w:ascii="Calibri" w:eastAsia="Calibri" w:hAnsi="Calibri" w:cs="Calibri"/>
        </w:rPr>
        <w:t xml:space="preserve">IBM OpenPages GRC (GORO), </w:t>
      </w:r>
      <w:proofErr w:type="spellStart"/>
      <w:r>
        <w:rPr>
          <w:rFonts w:ascii="Calibri" w:eastAsia="Calibri" w:hAnsi="Calibri" w:cs="Calibri"/>
        </w:rPr>
        <w:t>Interos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RapidRatings</w:t>
      </w:r>
      <w:proofErr w:type="spellEnd"/>
    </w:p>
    <w:p w14:paraId="74D8AE6A" w14:textId="77777777" w:rsidR="00634D6B" w:rsidRDefault="00304499">
      <w:pPr>
        <w:spacing w:before="20" w:after="20"/>
      </w:pPr>
      <w:r>
        <w:rPr>
          <w:rFonts w:ascii="Calibri" w:eastAsia="Calibri" w:hAnsi="Calibri" w:cs="Calibri"/>
          <w:b/>
          <w:bCs/>
        </w:rPr>
        <w:t xml:space="preserve">Frameworks: </w:t>
      </w:r>
      <w:r>
        <w:rPr>
          <w:rFonts w:ascii="Calibri" w:eastAsia="Calibri" w:hAnsi="Calibri" w:cs="Calibri"/>
        </w:rPr>
        <w:t>ISO 27001:2022, NIST CSF 2.0, SOC 2 (Trust Services Criteria), NIST AI RMF, NIST SP 800-30, GDPR, India DPDP Act 2023, RBI PA Guidelines</w:t>
      </w:r>
    </w:p>
    <w:p w14:paraId="37A81ABC" w14:textId="77777777" w:rsidR="00634D6B" w:rsidRDefault="00304499">
      <w:pPr>
        <w:spacing w:before="20" w:after="20"/>
      </w:pPr>
      <w:r>
        <w:rPr>
          <w:rFonts w:ascii="Calibri" w:eastAsia="Calibri" w:hAnsi="Calibri" w:cs="Calibri"/>
          <w:b/>
          <w:bCs/>
        </w:rPr>
        <w:t xml:space="preserve">Risk Management: </w:t>
      </w:r>
      <w:r>
        <w:rPr>
          <w:rFonts w:ascii="Calibri" w:eastAsia="Calibri" w:hAnsi="Calibri" w:cs="Calibri"/>
        </w:rPr>
        <w:t>TPRM, Vendor Risk Management, Risk Register, Control Testing, Inherent/Residual Risk, KRI Development, FAIR Methodology, BCP/DRP</w:t>
      </w:r>
    </w:p>
    <w:p w14:paraId="47166C72" w14:textId="77777777" w:rsidR="00634D6B" w:rsidRDefault="00304499">
      <w:pPr>
        <w:spacing w:before="20" w:after="20"/>
      </w:pPr>
      <w:r>
        <w:rPr>
          <w:rFonts w:ascii="Calibri" w:eastAsia="Calibri" w:hAnsi="Calibri" w:cs="Calibri"/>
          <w:b/>
          <w:bCs/>
        </w:rPr>
        <w:t xml:space="preserve">AI Governance: </w:t>
      </w:r>
      <w:r>
        <w:rPr>
          <w:rFonts w:ascii="Calibri" w:eastAsia="Calibri" w:hAnsi="Calibri" w:cs="Calibri"/>
        </w:rPr>
        <w:t>AI Tool Risk Validation, NIST AI RMF Application, EU AI Act Awareness, AI Risk Assessment Framework Design</w:t>
      </w:r>
    </w:p>
    <w:p w14:paraId="424B3C90" w14:textId="59C12F37" w:rsidR="00634D6B" w:rsidRDefault="00304499">
      <w:pPr>
        <w:spacing w:before="20" w:after="20"/>
      </w:pPr>
      <w:r>
        <w:rPr>
          <w:rFonts w:ascii="Calibri" w:eastAsia="Calibri" w:hAnsi="Calibri" w:cs="Calibri"/>
          <w:b/>
          <w:bCs/>
        </w:rPr>
        <w:t>Techn</w:t>
      </w:r>
      <w:r>
        <w:rPr>
          <w:rFonts w:ascii="Calibri" w:eastAsia="Calibri" w:hAnsi="Calibri" w:cs="Calibri"/>
          <w:b/>
          <w:bCs/>
        </w:rPr>
        <w:t xml:space="preserve">ical </w:t>
      </w:r>
      <w:r w:rsidRPr="00304499">
        <w:rPr>
          <w:rFonts w:ascii="Calibri" w:eastAsia="Calibri" w:hAnsi="Calibri" w:cs="Calibri"/>
          <w:b/>
          <w:bCs/>
        </w:rPr>
        <w:t>Awareness</w:t>
      </w:r>
      <w:r>
        <w:rPr>
          <w:rFonts w:ascii="Calibri" w:eastAsia="Calibri" w:hAnsi="Calibri" w:cs="Calibri"/>
          <w:b/>
          <w:bCs/>
        </w:rPr>
        <w:t xml:space="preserve">: </w:t>
      </w:r>
      <w:r>
        <w:rPr>
          <w:rFonts w:ascii="Calibri" w:eastAsia="Calibri" w:hAnsi="Calibri" w:cs="Calibri"/>
        </w:rPr>
        <w:t>Python, Burp Suite, OWASP Top 10, Linux, Java</w:t>
      </w:r>
    </w:p>
    <w:p w14:paraId="5B5F3069" w14:textId="77777777" w:rsidR="00634D6B" w:rsidRDefault="00304499">
      <w:pPr>
        <w:pBdr>
          <w:bottom w:val="single" w:sz="6" w:space="0" w:color="222222"/>
        </w:pBdr>
        <w:spacing w:before="160" w:after="40"/>
      </w:pPr>
      <w:r>
        <w:rPr>
          <w:rFonts w:ascii="Calibri" w:eastAsia="Calibri" w:hAnsi="Calibri" w:cs="Calibri"/>
          <w:b/>
          <w:bCs/>
        </w:rPr>
        <w:t>EDUCATION</w:t>
      </w:r>
    </w:p>
    <w:p w14:paraId="6DD10CA6" w14:textId="77777777" w:rsidR="00634D6B" w:rsidRDefault="00304499">
      <w:pPr>
        <w:spacing w:before="60" w:after="20"/>
      </w:pPr>
      <w:proofErr w:type="spellStart"/>
      <w:proofErr w:type="gramStart"/>
      <w:r>
        <w:rPr>
          <w:rFonts w:ascii="Calibri" w:eastAsia="Calibri" w:hAnsi="Calibri" w:cs="Calibri"/>
          <w:b/>
          <w:bCs/>
        </w:rPr>
        <w:t>B.Tech</w:t>
      </w:r>
      <w:proofErr w:type="spellEnd"/>
      <w:proofErr w:type="gramEnd"/>
      <w:r>
        <w:rPr>
          <w:rFonts w:ascii="Calibri" w:eastAsia="Calibri" w:hAnsi="Calibri" w:cs="Calibri"/>
          <w:b/>
          <w:bCs/>
        </w:rPr>
        <w:t>, Computer Science &amp; Engineering</w:t>
      </w:r>
      <w:r>
        <w:rPr>
          <w:rFonts w:ascii="Calibri" w:eastAsia="Calibri" w:hAnsi="Calibri" w:cs="Calibri"/>
        </w:rPr>
        <w:t xml:space="preserve">  —  ITER-SOA University, Bhubaneswar  |  2024  |  CGPA: 8.71</w:t>
      </w:r>
    </w:p>
    <w:p w14:paraId="07DF3AB6" w14:textId="77777777" w:rsidR="00634D6B" w:rsidRDefault="00304499">
      <w:pPr>
        <w:pBdr>
          <w:bottom w:val="single" w:sz="6" w:space="0" w:color="222222"/>
        </w:pBdr>
        <w:spacing w:before="160" w:after="40"/>
      </w:pPr>
      <w:r>
        <w:rPr>
          <w:rFonts w:ascii="Calibri" w:eastAsia="Calibri" w:hAnsi="Calibri" w:cs="Calibri"/>
          <w:b/>
          <w:bCs/>
        </w:rPr>
        <w:t>CERTIFICATIONS</w:t>
      </w:r>
    </w:p>
    <w:p w14:paraId="19DC1C14" w14:textId="77777777" w:rsidR="00634D6B" w:rsidRDefault="00304499">
      <w:pPr>
        <w:spacing w:before="20" w:after="20"/>
        <w:ind w:left="288" w:hanging="215"/>
      </w:pPr>
      <w:r>
        <w:rPr>
          <w:rFonts w:ascii="Calibri" w:eastAsia="Calibri" w:hAnsi="Calibri" w:cs="Calibri"/>
        </w:rPr>
        <w:t xml:space="preserve">•  </w:t>
      </w:r>
      <w:r>
        <w:rPr>
          <w:rFonts w:ascii="Calibri" w:eastAsia="Calibri" w:hAnsi="Calibri" w:cs="Calibri"/>
          <w:b/>
          <w:bCs/>
        </w:rPr>
        <w:t>ISO 27001:2022 Lead Auditor</w:t>
      </w:r>
      <w:r>
        <w:rPr>
          <w:rFonts w:ascii="Calibri" w:eastAsia="Calibri" w:hAnsi="Calibri" w:cs="Calibri"/>
        </w:rPr>
        <w:t xml:space="preserve"> — </w:t>
      </w:r>
      <w:proofErr w:type="gramStart"/>
      <w:r>
        <w:rPr>
          <w:rFonts w:ascii="Calibri" w:eastAsia="Calibri" w:hAnsi="Calibri" w:cs="Calibri"/>
        </w:rPr>
        <w:t>Udemy</w:t>
      </w:r>
      <w:r>
        <w:rPr>
          <w:rFonts w:ascii="Calibri" w:eastAsia="Calibri" w:hAnsi="Calibri" w:cs="Calibri"/>
          <w:i/>
          <w:iCs/>
          <w:color w:val="555555"/>
        </w:rPr>
        <w:t xml:space="preserve">  [</w:t>
      </w:r>
      <w:proofErr w:type="gramEnd"/>
      <w:r>
        <w:rPr>
          <w:rFonts w:ascii="Calibri" w:eastAsia="Calibri" w:hAnsi="Calibri" w:cs="Calibri"/>
          <w:i/>
          <w:iCs/>
          <w:color w:val="555555"/>
        </w:rPr>
        <w:t>Completed]</w:t>
      </w:r>
    </w:p>
    <w:p w14:paraId="2C2DFB71" w14:textId="77777777" w:rsidR="00634D6B" w:rsidRDefault="00304499">
      <w:pPr>
        <w:spacing w:before="20" w:after="20"/>
        <w:ind w:left="288" w:hanging="215"/>
      </w:pPr>
      <w:r>
        <w:rPr>
          <w:rFonts w:ascii="Calibri" w:eastAsia="Calibri" w:hAnsi="Calibri" w:cs="Calibri"/>
        </w:rPr>
        <w:t xml:space="preserve">•  </w:t>
      </w:r>
      <w:r>
        <w:rPr>
          <w:rFonts w:ascii="Calibri" w:eastAsia="Calibri" w:hAnsi="Calibri" w:cs="Calibri"/>
          <w:b/>
          <w:bCs/>
        </w:rPr>
        <w:t>Google Cybersecurity Professional Certificate</w:t>
      </w:r>
      <w:r>
        <w:rPr>
          <w:rFonts w:ascii="Calibri" w:eastAsia="Calibri" w:hAnsi="Calibri" w:cs="Calibri"/>
        </w:rPr>
        <w:t xml:space="preserve"> — Coursera / </w:t>
      </w:r>
      <w:proofErr w:type="gramStart"/>
      <w:r>
        <w:rPr>
          <w:rFonts w:ascii="Calibri" w:eastAsia="Calibri" w:hAnsi="Calibri" w:cs="Calibri"/>
        </w:rPr>
        <w:t>Google</w:t>
      </w:r>
      <w:r>
        <w:rPr>
          <w:rFonts w:ascii="Calibri" w:eastAsia="Calibri" w:hAnsi="Calibri" w:cs="Calibri"/>
          <w:i/>
          <w:iCs/>
          <w:color w:val="555555"/>
        </w:rPr>
        <w:t xml:space="preserve">  [</w:t>
      </w:r>
      <w:proofErr w:type="gramEnd"/>
      <w:r>
        <w:rPr>
          <w:rFonts w:ascii="Calibri" w:eastAsia="Calibri" w:hAnsi="Calibri" w:cs="Calibri"/>
          <w:i/>
          <w:iCs/>
          <w:color w:val="555555"/>
        </w:rPr>
        <w:t>Completed]</w:t>
      </w:r>
    </w:p>
    <w:p w14:paraId="7B13DF29" w14:textId="77777777" w:rsidR="00634D6B" w:rsidRDefault="00304499">
      <w:pPr>
        <w:spacing w:before="20" w:after="20"/>
        <w:ind w:left="288" w:hanging="215"/>
      </w:pPr>
      <w:r>
        <w:rPr>
          <w:rFonts w:ascii="Calibri" w:eastAsia="Calibri" w:hAnsi="Calibri" w:cs="Calibri"/>
        </w:rPr>
        <w:t xml:space="preserve">•  </w:t>
      </w:r>
      <w:r>
        <w:rPr>
          <w:rFonts w:ascii="Calibri" w:eastAsia="Calibri" w:hAnsi="Calibri" w:cs="Calibri"/>
          <w:b/>
          <w:bCs/>
        </w:rPr>
        <w:t>GRC Analyst Foundation</w:t>
      </w:r>
      <w:r>
        <w:rPr>
          <w:rFonts w:ascii="Calibri" w:eastAsia="Calibri" w:hAnsi="Calibri" w:cs="Calibri"/>
        </w:rPr>
        <w:t xml:space="preserve"> — </w:t>
      </w:r>
      <w:proofErr w:type="gramStart"/>
      <w:r>
        <w:rPr>
          <w:rFonts w:ascii="Calibri" w:eastAsia="Calibri" w:hAnsi="Calibri" w:cs="Calibri"/>
        </w:rPr>
        <w:t>Udemy</w:t>
      </w:r>
      <w:r>
        <w:rPr>
          <w:rFonts w:ascii="Calibri" w:eastAsia="Calibri" w:hAnsi="Calibri" w:cs="Calibri"/>
          <w:i/>
          <w:iCs/>
          <w:color w:val="555555"/>
        </w:rPr>
        <w:t xml:space="preserve">  [</w:t>
      </w:r>
      <w:proofErr w:type="gramEnd"/>
      <w:r>
        <w:rPr>
          <w:rFonts w:ascii="Calibri" w:eastAsia="Calibri" w:hAnsi="Calibri" w:cs="Calibri"/>
          <w:i/>
          <w:iCs/>
          <w:color w:val="555555"/>
        </w:rPr>
        <w:t>Completed]</w:t>
      </w:r>
    </w:p>
    <w:p w14:paraId="4465222D" w14:textId="77777777" w:rsidR="00634D6B" w:rsidRDefault="00304499">
      <w:pPr>
        <w:spacing w:before="20" w:after="20"/>
        <w:ind w:left="288" w:hanging="215"/>
      </w:pPr>
      <w:r>
        <w:rPr>
          <w:rFonts w:ascii="Calibri" w:eastAsia="Calibri" w:hAnsi="Calibri" w:cs="Calibri"/>
        </w:rPr>
        <w:t xml:space="preserve">•  </w:t>
      </w:r>
      <w:r>
        <w:rPr>
          <w:rFonts w:ascii="Calibri" w:eastAsia="Calibri" w:hAnsi="Calibri" w:cs="Calibri"/>
          <w:b/>
          <w:bCs/>
        </w:rPr>
        <w:t>ISO 27001:2022 Lead Implementer</w:t>
      </w:r>
      <w:r>
        <w:rPr>
          <w:rFonts w:ascii="Calibri" w:eastAsia="Calibri" w:hAnsi="Calibri" w:cs="Calibri"/>
        </w:rPr>
        <w:t xml:space="preserve"> —</w:t>
      </w:r>
      <w:proofErr w:type="gramStart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i/>
          <w:iCs/>
          <w:color w:val="555555"/>
        </w:rPr>
        <w:t xml:space="preserve">  [</w:t>
      </w:r>
      <w:proofErr w:type="gramEnd"/>
      <w:r>
        <w:rPr>
          <w:rFonts w:ascii="Calibri" w:eastAsia="Calibri" w:hAnsi="Calibri" w:cs="Calibri"/>
          <w:i/>
          <w:iCs/>
          <w:color w:val="555555"/>
        </w:rPr>
        <w:t>Completed]</w:t>
      </w:r>
    </w:p>
    <w:p w14:paraId="6788CC38" w14:textId="77777777" w:rsidR="00634D6B" w:rsidRDefault="00304499">
      <w:pPr>
        <w:pBdr>
          <w:bottom w:val="single" w:sz="6" w:space="0" w:color="222222"/>
        </w:pBdr>
        <w:spacing w:before="160" w:after="40"/>
      </w:pPr>
      <w:r>
        <w:rPr>
          <w:rFonts w:ascii="Calibri" w:eastAsia="Calibri" w:hAnsi="Calibri" w:cs="Calibri"/>
          <w:b/>
          <w:bCs/>
        </w:rPr>
        <w:t>PORTFOLIO — PAYSPHERE GRC PROGRAM (SIMULATED FINTECH)</w:t>
      </w:r>
    </w:p>
    <w:p w14:paraId="060F63B4" w14:textId="77777777" w:rsidR="00634D6B" w:rsidRDefault="00304499">
      <w:pPr>
        <w:spacing w:before="20" w:after="20"/>
      </w:pPr>
      <w:r>
        <w:rPr>
          <w:rFonts w:ascii="Calibri" w:eastAsia="Calibri" w:hAnsi="Calibri" w:cs="Calibri"/>
        </w:rPr>
        <w:t>9-deliverable portfolio built during a self-directed 10-week GRC program: Risk Register (FAIR), Information Security Policy Framework, ISO 27001 ISMS + Gap Ass</w:t>
      </w:r>
      <w:r>
        <w:rPr>
          <w:rFonts w:ascii="Calibri" w:eastAsia="Calibri" w:hAnsi="Calibri" w:cs="Calibri"/>
        </w:rPr>
        <w:t xml:space="preserve">essment, Full </w:t>
      </w:r>
      <w:proofErr w:type="spellStart"/>
      <w:r>
        <w:rPr>
          <w:rFonts w:ascii="Calibri" w:eastAsia="Calibri" w:hAnsi="Calibri" w:cs="Calibri"/>
        </w:rPr>
        <w:t>SoA</w:t>
      </w:r>
      <w:proofErr w:type="spellEnd"/>
      <w:r>
        <w:rPr>
          <w:rFonts w:ascii="Calibri" w:eastAsia="Calibri" w:hAnsi="Calibri" w:cs="Calibri"/>
        </w:rPr>
        <w:t xml:space="preserve"> (93 Annex A controls), NIST CSF 2.0 Profiles + 12-month roadmap, SOC 2 Readiness Assessment, GRC Program Blueprint, TPRM Framework Redesign + AI Tool Risk Assessment Template (NIST AI RMF aligned), Regulatory Compliance Matrix (GDPR + DPD</w:t>
      </w:r>
      <w:r>
        <w:rPr>
          <w:rFonts w:ascii="Calibri" w:eastAsia="Calibri" w:hAnsi="Calibri" w:cs="Calibri"/>
        </w:rPr>
        <w:t>P Act + RBI PA Guidelines).</w:t>
      </w:r>
    </w:p>
    <w:sectPr w:rsidR="00634D6B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D41DD5"/>
    <w:multiLevelType w:val="hybridMultilevel"/>
    <w:tmpl w:val="35987528"/>
    <w:lvl w:ilvl="0" w:tplc="FC3C259E">
      <w:start w:val="1"/>
      <w:numFmt w:val="bullet"/>
      <w:lvlText w:val="●"/>
      <w:lvlJc w:val="left"/>
      <w:pPr>
        <w:ind w:left="720" w:hanging="360"/>
      </w:pPr>
    </w:lvl>
    <w:lvl w:ilvl="1" w:tplc="9CC84660">
      <w:start w:val="1"/>
      <w:numFmt w:val="bullet"/>
      <w:lvlText w:val="○"/>
      <w:lvlJc w:val="left"/>
      <w:pPr>
        <w:ind w:left="1440" w:hanging="360"/>
      </w:pPr>
    </w:lvl>
    <w:lvl w:ilvl="2" w:tplc="1CB6B4C0">
      <w:start w:val="1"/>
      <w:numFmt w:val="bullet"/>
      <w:lvlText w:val="■"/>
      <w:lvlJc w:val="left"/>
      <w:pPr>
        <w:ind w:left="2160" w:hanging="360"/>
      </w:pPr>
    </w:lvl>
    <w:lvl w:ilvl="3" w:tplc="C854CC26">
      <w:start w:val="1"/>
      <w:numFmt w:val="bullet"/>
      <w:lvlText w:val="●"/>
      <w:lvlJc w:val="left"/>
      <w:pPr>
        <w:ind w:left="2880" w:hanging="360"/>
      </w:pPr>
    </w:lvl>
    <w:lvl w:ilvl="4" w:tplc="6FF22D5C">
      <w:start w:val="1"/>
      <w:numFmt w:val="bullet"/>
      <w:lvlText w:val="○"/>
      <w:lvlJc w:val="left"/>
      <w:pPr>
        <w:ind w:left="3600" w:hanging="360"/>
      </w:pPr>
    </w:lvl>
    <w:lvl w:ilvl="5" w:tplc="9E0CB14E">
      <w:start w:val="1"/>
      <w:numFmt w:val="bullet"/>
      <w:lvlText w:val="■"/>
      <w:lvlJc w:val="left"/>
      <w:pPr>
        <w:ind w:left="4320" w:hanging="360"/>
      </w:pPr>
    </w:lvl>
    <w:lvl w:ilvl="6" w:tplc="9A60C3E2">
      <w:start w:val="1"/>
      <w:numFmt w:val="bullet"/>
      <w:lvlText w:val="●"/>
      <w:lvlJc w:val="left"/>
      <w:pPr>
        <w:ind w:left="5040" w:hanging="360"/>
      </w:pPr>
    </w:lvl>
    <w:lvl w:ilvl="7" w:tplc="542EC35C">
      <w:start w:val="1"/>
      <w:numFmt w:val="bullet"/>
      <w:lvlText w:val="●"/>
      <w:lvlJc w:val="left"/>
      <w:pPr>
        <w:ind w:left="5760" w:hanging="360"/>
      </w:pPr>
    </w:lvl>
    <w:lvl w:ilvl="8" w:tplc="2A44DA8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D6B"/>
    <w:rsid w:val="00304499"/>
    <w:rsid w:val="0063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696E4"/>
  <w15:docId w15:val="{FEC5B7DA-1492-482E-9E87-7074074B7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uro786.github.io/Auro-GRC-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uroarpitsahoo/" TargetMode="External"/><Relationship Id="rId5" Type="http://schemas.openxmlformats.org/officeDocument/2006/relationships/hyperlink" Target="mailto:auroarpitsahoo.19045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558</Words>
  <Characters>3185</Characters>
  <Application>Microsoft Office Word</Application>
  <DocSecurity>0</DocSecurity>
  <Lines>26</Lines>
  <Paragraphs>7</Paragraphs>
  <ScaleCrop>false</ScaleCrop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Auro Arpit Sahoo</cp:lastModifiedBy>
  <cp:revision>2</cp:revision>
  <dcterms:created xsi:type="dcterms:W3CDTF">2026-08-24T16:11:00Z</dcterms:created>
  <dcterms:modified xsi:type="dcterms:W3CDTF">2026-08-31T16:12:00Z</dcterms:modified>
</cp:coreProperties>
</file>