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i w:val="0"/>
          <w:color w:val="1F4E79"/>
          <w:sz w:val="40"/>
          <w:rFonts w:eastAsia="Noto Sans CJK SC" w:ascii="Calibri" w:hAnsi="Calibri"/>
        </w:rPr>
        <w:t>布匹瑕疵检测「开销挑战」实测验证方案</w:t>
      </w:r>
    </w:p>
    <w:p>
      <w:pPr>
        <w:spacing w:before="0" w:after="120"/>
        <w:jc w:val="center"/>
      </w:pPr>
      <w:r>
        <w:rPr>
          <w:b/>
          <w:i w:val="0"/>
          <w:color w:val="595959"/>
          <w:sz w:val="27"/>
          <w:rFonts w:eastAsia="Noto Sans CJK SC" w:ascii="Calibri" w:hAnsi="Calibri"/>
        </w:rPr>
        <w:t>方法论评估与通用化改写</w:t>
      </w:r>
    </w:p>
    <w:p>
      <w:pPr>
        <w:spacing w:before="0" w:after="20"/>
        <w:jc w:val="center"/>
      </w:pPr>
      <w:r>
        <w:rPr>
          <w:b/>
          <w:sz w:val="20"/>
          <w:rFonts w:eastAsia="Noto Sans CJK SC" w:ascii="Calibri" w:hAnsi="Calibri"/>
        </w:rPr>
        <w:t>对象文档：</w:t>
      </w:r>
      <w:r>
        <w:rPr>
          <w:b w:val="0"/>
          <w:sz w:val="20"/>
          <w:rFonts w:eastAsia="Noto Sans CJK SC" w:ascii="Calibri" w:hAnsi="Calibri"/>
        </w:rPr>
        <w:t>Verification handbook.md（对应《工业异常检测及布匹瑕疵应用中的挑战 v2》2.2 节 表4）</w:t>
      </w:r>
    </w:p>
    <w:p>
      <w:pPr>
        <w:spacing w:before="0" w:after="40"/>
        <w:jc w:val="center"/>
      </w:pPr>
      <w:r>
        <w:rPr>
          <w:b/>
          <w:sz w:val="20"/>
          <w:rFonts w:eastAsia="Noto Sans CJK SC" w:ascii="Calibri" w:hAnsi="Calibri"/>
        </w:rPr>
        <w:t>整理：</w:t>
      </w:r>
      <w:r>
        <w:rPr>
          <w:b w:val="0"/>
          <w:sz w:val="20"/>
          <w:rFonts w:eastAsia="Noto Sans CJK SC" w:ascii="Calibri" w:hAnsi="Calibri"/>
        </w:rPr>
        <w:t>Lee</w:t>
      </w:r>
      <w:r>
        <w:rPr>
          <w:b/>
          <w:sz w:val="20"/>
          <w:rFonts w:eastAsia="Noto Sans CJK SC" w:ascii="Calibri" w:hAnsi="Calibri"/>
        </w:rPr>
        <w:t xml:space="preserve">　|　日期：</w:t>
      </w:r>
      <w:r>
        <w:rPr>
          <w:b w:val="0"/>
          <w:sz w:val="20"/>
          <w:rFonts w:eastAsia="Noto Sans CJK SC" w:ascii="Calibri" w:hAnsi="Calibri"/>
        </w:rPr>
        <w:t>2026-07-07</w:t>
      </w:r>
    </w:p>
    <w:p>
      <w:pPr>
        <w:spacing w:before="40" w:after="120"/>
        <w:pBdr>
          <w:bottom w:val="single" w:sz="6" w:space="1" w:color="BBBBBB"/>
        </w:pBdr>
      </w:pPr>
    </w:p>
    <w:p>
      <w:pPr>
        <w:spacing w:before="0" w:after="160"/>
      </w:pPr>
      <w:r>
        <w:rPr>
          <w:b w:val="0"/>
          <w:i w:val="0"/>
          <w:sz w:val="21"/>
          <w:rFonts w:eastAsia="Noto Sans CJK SC" w:ascii="Calibri" w:hAnsi="Calibri"/>
        </w:rPr>
        <w:t>本报告分两部分。第一部分对原始验证清单做方法论评估——指出其严谨之处、存在的结构性风险与方法学问题，并给出按优先级排序的修复清单；第二部分在吸收这些修复的基础上，把该清单从「布匹」这一单一场景抽象为「工业视觉异常/缺陷检测」的通用验证框架，布匹作为其中一个可实例化的落地场景。</w:t>
      </w:r>
    </w:p>
    <w:p>
      <w:pPr>
        <w:keepNext/>
        <w:spacing w:before="280" w:after="100"/>
        <w:pBdr>
          <w:bottom w:val="single" w:sz="8" w:space="3" w:color="1F4E79"/>
        </w:pBdr>
        <w:outlineLvl w:val="0"/>
      </w:pPr>
      <w:r>
        <w:rPr>
          <w:b/>
          <w:color w:val="1F4E79"/>
          <w:sz w:val="30"/>
          <w:rFonts w:eastAsia="Noto Sans CJK SC" w:ascii="Calibri" w:hAnsi="Calibri"/>
        </w:rPr>
        <w:t>第一部分　方法论评估</w:t>
      </w: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一、总体判断</w:t>
      </w:r>
    </w:p>
    <w:p>
      <w:pPr>
        <w:spacing w:before="0" w:after="80"/>
      </w:pPr>
      <w:r>
        <w:rPr>
          <w:b w:val="0"/>
          <w:i w:val="0"/>
          <w:sz w:val="21"/>
          <w:rFonts w:eastAsia="Noto Sans CJK SC" w:ascii="Calibri" w:hAnsi="Calibri"/>
        </w:rPr>
        <w:t>原清单最大的价值在于建立了一条清晰的「定性论述 → 可量化实测」的证据链：表4 中的每一条开销挑战，都被映射到一个带有测量指标、测量方式与验证标准的测试单元，可溯源性强，且模型矩阵横跨监督检测、特征嵌入式异常检测与零样本多模态三种范式，具备分离「架构相关开销」的潜力。就实验设计的完整性而言，这是一份成熟度很高的方案。</w:t>
      </w:r>
    </w:p>
    <w:p>
      <w:pPr>
        <w:spacing w:before="0" w:after="100"/>
      </w:pPr>
      <w:r>
        <w:rPr>
          <w:b w:val="0"/>
          <w:sz w:val="21"/>
          <w:rFonts w:eastAsia="Noto Sans CJK SC" w:ascii="Calibri" w:hAnsi="Calibri"/>
        </w:rPr>
        <w:t>但「严谨」目前主要停留在</w:t>
      </w:r>
      <w:r>
        <w:rPr>
          <w:b/>
          <w:color w:val="C55A11"/>
          <w:sz w:val="21"/>
          <w:rFonts w:eastAsia="Noto Sans CJK SC" w:ascii="Calibri" w:hAnsi="Calibri"/>
        </w:rPr>
        <w:t>设计层面</w:t>
      </w:r>
      <w:r>
        <w:rPr>
          <w:b w:val="0"/>
          <w:sz w:val="21"/>
          <w:rFonts w:eastAsia="Noto Sans CJK SC" w:ascii="Calibri" w:hAnsi="Calibri"/>
        </w:rPr>
        <w:t>，尚未传导到</w:t>
      </w:r>
      <w:r>
        <w:rPr>
          <w:b/>
          <w:color w:val="C55A11"/>
          <w:sz w:val="21"/>
          <w:rFonts w:eastAsia="Noto Sans CJK SC" w:ascii="Calibri" w:hAnsi="Calibri"/>
        </w:rPr>
        <w:t>结论层面</w:t>
      </w:r>
      <w:r>
        <w:rPr>
          <w:b w:val="0"/>
          <w:sz w:val="21"/>
          <w:rFonts w:eastAsia="Noto Sans CJK SC" w:ascii="Calibri" w:hAnsi="Calibri"/>
        </w:rPr>
        <w:t>。存在一个阻断级的硬件可行性缺口，以及若干会削弱结论客观性的方法学问题，若不在开跑前修正，最终产出的将是「按预期被证实」的结论，而非「被数据检验过」的结论。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2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评估维度</w:t>
            </w:r>
          </w:p>
        </w:tc>
        <w:tc>
          <w:tcPr>
            <w:tcW w:type="dxa" w:w="135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评价</w:t>
            </w:r>
          </w:p>
        </w:tc>
        <w:tc>
          <w:tcPr>
            <w:tcW w:type="dxa" w:w="617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说明</w:t>
            </w:r>
          </w:p>
        </w:tc>
      </w:tr>
      <w:tr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实验设计完整性</w:t>
            </w:r>
          </w:p>
        </w:tc>
        <w:tc>
          <w:tcPr>
            <w:tcW w:type="dxa" w:w="135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高</w:t>
            </w:r>
          </w:p>
        </w:tc>
        <w:tc>
          <w:tcPr>
            <w:tcW w:type="dxa" w:w="6175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维度—挑战—指标—标准四级对齐，覆盖面完整</w:t>
            </w:r>
          </w:p>
        </w:tc>
      </w:tr>
      <w:tr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可执行性（现有条件）</w:t>
            </w:r>
          </w:p>
        </w:tc>
        <w:tc>
          <w:tcPr>
            <w:tcW w:type="dxa" w:w="1351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中偏低</w:t>
            </w:r>
          </w:p>
        </w:tc>
        <w:tc>
          <w:tcPr>
            <w:tcW w:type="dxa" w:w="6175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约 4–5 项核心测试依赖尚未到位的边缘/控制硬件</w:t>
            </w:r>
          </w:p>
        </w:tc>
      </w:tr>
      <w:tr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结论客观性</w:t>
            </w:r>
          </w:p>
        </w:tc>
        <w:tc>
          <w:tcPr>
            <w:tcW w:type="dxa" w:w="135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中</w:t>
            </w:r>
          </w:p>
        </w:tc>
        <w:tc>
          <w:tcPr>
            <w:tcW w:type="dxa" w:w="6175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预期结论表全部预判为「成立」，存在确认偏误</w:t>
            </w:r>
          </w:p>
        </w:tc>
      </w:tr>
      <w:tr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统计严谨性</w:t>
            </w:r>
          </w:p>
        </w:tc>
        <w:tc>
          <w:tcPr>
            <w:tcW w:type="dxa" w:w="1351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中</w:t>
            </w:r>
          </w:p>
        </w:tc>
        <w:tc>
          <w:tcPr>
            <w:tcW w:type="dxa" w:w="6175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有重复与分位数，但缺置信区间/显著性判定与阈值来源</w:t>
            </w:r>
          </w:p>
        </w:tc>
      </w:tr>
      <w:tr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可复现性</w:t>
            </w:r>
          </w:p>
        </w:tc>
        <w:tc>
          <w:tcPr>
            <w:tcW w:type="dxa" w:w="1351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高</w:t>
            </w:r>
          </w:p>
        </w:tc>
        <w:tc>
          <w:tcPr>
            <w:tcW w:type="dxa" w:w="6175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元数据、重复次数、工具链记录规范</w:t>
            </w:r>
          </w:p>
        </w:tc>
      </w:tr>
    </w:tbl>
    <w:p>
      <w:pPr>
        <w:spacing w:after="40"/>
      </w:pP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二、值得肯定之处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可溯源性——</w:t>
      </w:r>
      <w:r>
        <w:rPr>
          <w:sz w:val="21"/>
          <w:rFonts w:eastAsia="Noto Sans CJK SC" w:ascii="Calibri" w:hAnsi="Calibri"/>
        </w:rPr>
        <w:t>每个测试单元都能回指表4 的具体条目，形成可审计的证据链；这一点在同类工程验证方案中并不常见。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三范式模型矩阵——</w:t>
      </w:r>
      <w:r>
        <w:rPr>
          <w:sz w:val="21"/>
          <w:rFonts w:eastAsia="Noto Sans CJK SC" w:ascii="Calibri" w:hAnsi="Calibri"/>
        </w:rPr>
        <w:t>YOLO（纯卷积）/ PatchCore、RD4AD、EfficientAD（特征嵌入）/ MoECLIP（CLIP+MoE 注意力）三条路线并置，使「开销是否由架构范式驱动」成为可对照的变量，而非单点观察。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指标具体——</w:t>
      </w:r>
      <w:r>
        <w:rPr>
          <w:sz w:val="21"/>
          <w:rFonts w:eastAsia="Noto Sans CJK SC" w:ascii="Calibri" w:hAnsi="Calibri"/>
        </w:rPr>
        <w:t>延迟、吞吐、显存、带宽利用率、召回率分层等都给出了明确的测量方式与数值标准，避免了「快/慢、大/小」式的模糊结论。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测量规范——</w:t>
      </w:r>
      <w:r>
        <w:rPr>
          <w:sz w:val="21"/>
          <w:rFonts w:eastAsia="Noto Sans CJK SC" w:ascii="Calibri" w:hAnsi="Calibri"/>
        </w:rPr>
        <w:t>warmup + 多次重复、P50/P95/P99 分位数、5 次重复取均值与标准差、完整元数据记录——测量卫生到位。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预置判据——</w:t>
      </w:r>
      <w:r>
        <w:rPr>
          <w:sz w:val="21"/>
          <w:rFonts w:eastAsia="Noto Sans CJK SC" w:ascii="Calibri" w:hAnsi="Calibri"/>
        </w:rPr>
        <w:t>预先写出各挑战的预期验证结论与量化判据，体现了「先假设、后检验」的意识（但其呈现方式需修正，见 P2）。</w:t>
      </w: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三、关键问题与风险</w:t>
      </w:r>
    </w:p>
    <w:p>
      <w:pPr>
        <w:spacing w:before="0" w:after="100"/>
      </w:pPr>
      <w:r>
        <w:rPr>
          <w:b w:val="0"/>
          <w:i w:val="0"/>
          <w:color w:val="595959"/>
          <w:sz w:val="20"/>
          <w:rFonts w:eastAsia="Noto Sans CJK SC" w:ascii="Calibri" w:hAnsi="Calibri"/>
        </w:rPr>
        <w:t>以下每项标注严重性（阻断 / 高 / 中）、影响与修复建议。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P1　边缘/端侧硬件缺口，使核心测试无法执行　</w:t>
      </w:r>
      <w:r>
        <w:rPr>
          <w:b/>
          <w:color w:val="C00000"/>
          <w:sz w:val="22"/>
          <w:rFonts w:eastAsia="Noto Sans CJK SC" w:ascii="Calibri" w:hAnsi="Calibri"/>
        </w:rPr>
        <w:t>［阻断级］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硬件平台表中 Jetson Orin NX 与 Raspberry Pi 4B + Coral 均标注为「目前没有」，仅云端 GPU 到位。而恰恰是这两类设备承载了方案里最能证明「开销挑战成立」的测试：无风扇功耗墙/散热压力、边缘增量学习（场景D）、Jetson 统一内存对比、端侧 INT8/INT4 实测、以及硬实时控制链协同。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按现状，计算维度的「端侧资源受限」、训练维度的「边缘增量」、内存维度的「统一内存/量化」与通信维度的「硬实时协同」均无法在现有条件下取得真实数据，约占整份方案的 40%。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三选一并明确标注：(a) 采购/租借至少一块 Jetson Orin 系列作为边缘代表；(b) 在 GPU 上以功耗封顶（nvidia-smi -pl）+ 频率锁定「模拟」低功耗端侧，并在报告中显式标注为「代理测量（proxy）」而非端侧实测；(c) 将无法执行的项从「验证」降级为「文献推断+待验证」，不与实测结论混列。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P2　预期结论表全部预判为「成立」，存在确认偏误　</w:t>
      </w:r>
      <w:r>
        <w:rPr>
          <w:b/>
          <w:color w:val="C55A11"/>
          <w:sz w:val="22"/>
          <w:rFonts w:eastAsia="Noto Sans CJK SC" w:ascii="Calibri" w:hAnsi="Calibri"/>
        </w:rPr>
        <w:t>［高级］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第六节「预期验证结论汇总」中 11 条挑战全部预先标记为「成立」。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验证的意义在于允许被证伪；若结论已预设为成立，实验就退化为「找证据支持既定观点」，任何与预期不符的数据都可能被无意识地解释掉，削弱整份报告的可信度。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改为「假设登记（pre-registration）」形式：把每条写成可证伪的假设 H1…H11，事先固定判据与阈值，结果栏留空，跑完后如实填「支持 / 部分支持 / 不支持」，并保留 null 结果。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P3　多处阈值被当作「验证标准」，但其实是未经推导的先验猜测　</w:t>
      </w:r>
      <w:r>
        <w:rPr>
          <w:b/>
          <w:color w:val="C55A11"/>
          <w:sz w:val="22"/>
          <w:rFonts w:eastAsia="Noto Sans CJK SC" w:ascii="Calibri" w:hAnsi="Calibri"/>
        </w:rPr>
        <w:t>［高级］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如「无风扇 &lt;5 分钟即触发降频」「2048px 吞吐下降 &gt;20×」「跨机台 mAP 下降 &gt;15%」「PatchCore 单卡 ≤4 路」等，均以「验证标准」列出，却无出处或推导。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把「猜测值」写成「通过门槛」会造成逻辑倒置——数据只要不达阈值就被判为「挑战不成立」，而阈值本身可能不对。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区分两类量：真正的产线硬约束（如 ≥30 FPS、≤10 W 持续、≤85℃）作为门槛保留；其余预测值一律降格为「文献先验，仅供对照」，报告中以实测值为准，不作达标判据。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P4　「注意力机制高复杂度」测试的模型选择与命题错配　</w:t>
      </w:r>
      <w:r>
        <w:rPr>
          <w:b/>
          <w:color w:val="BF9000"/>
          <w:sz w:val="22"/>
          <w:rFonts w:eastAsia="Noto Sans CJK SC" w:ascii="Calibri" w:hAnsi="Calibri"/>
        </w:rPr>
        <w:t>［中级］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该测试意在验证注意力 O(n²) vs 卷积 O(n) 的吞吐差异，但被测模型中 YOLOv8/v11 与 PatchCore/EfficientAD 主体为卷积，只有 MoECLIP（ViT/CLIP）是注意力主导。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若把全部模型混在同一张分辨率—吞吐曲线上比较，O(n²) 命题实际只由 MoECLIP 一个点支撑，卷积模型无法「验证注意力复杂度」。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显式分组：MoECLIP（含 ViT 骨干）作为注意力代表，YOLO/PatchCore 作为 O(n) 卷积基线，命题改述为「含注意力模型在分辨率升高时吞吐下降更陡」，并以两组斜率之差作为判据。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P5　跨机台概念漂移用「光照/角度/噪声增广」模拟，代理偏弱　</w:t>
      </w:r>
      <w:r>
        <w:rPr>
          <w:b/>
          <w:color w:val="BF9000"/>
          <w:sz w:val="22"/>
          <w:rFonts w:eastAsia="Noto Sans CJK SC" w:ascii="Calibri" w:hAnsi="Calibri"/>
        </w:rPr>
        <w:t>［中级］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测试设计用增广制造「不同机台」的数据子集来模拟概念漂移。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增广引入的是可控的图像扰动，与真实机台间由打光、镜头、批次工艺差异导致的协变量漂移分布并不等价，据此得到的「跨机台掉点」可能高估或低估真实退化。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优先用天然多源划分构造真实域偏移：ZJU-Leaper 的 19 种纹理、MVTec/VisA 的多类目可作为「跨域」划分；增广仅作为补充扰动，并在报告中标注其为「合成漂移，非真实机台漂移」。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P6　联邦学习（FedAvg/FedProx）属范围蔓延，非一次「测试」　</w:t>
      </w:r>
      <w:r>
        <w:rPr>
          <w:b/>
          <w:color w:val="BF9000"/>
          <w:sz w:val="22"/>
          <w:rFonts w:eastAsia="Noto Sans CJK SC" w:ascii="Calibri" w:hAnsi="Calibri"/>
        </w:rPr>
        <w:t>［中级］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数据异构性测试的方案C 要求实现并调参联邦聚合模型。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在多个「机台」上搭建、训练并调优联邦学习，本身是一个独立研究课题，工作量远超一次基准测试，极可能拖垮整体进度。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降级为一次单轮 FedAvg 的可行性探针（仅回答「聚合是否优于单机台模型」的方向性问题），或直接移出本验证清单，留待后续专项。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P7　缺少「实验 × 数据集 × 模型」三者的兼容性映射　</w:t>
      </w:r>
      <w:r>
        <w:rPr>
          <w:b/>
          <w:color w:val="C55A11"/>
          <w:sz w:val="22"/>
          <w:rFonts w:eastAsia="Noto Sans CJK SC" w:ascii="Calibri" w:hAnsi="Calibri"/>
        </w:rPr>
        <w:t>［高级］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方案自由地把 5 个数据集与 7 个模型混用，但三者存在硬约束：YOLO 需框标注（SDUST-FDD）、异常检测需仅正常样本训练（MVTec/VisA/RAW-FABRID）、MoECLIP 为零样本（不训练布匹）；而「按缺陷尺寸分层的召回率」只在有像素掩膜的数据集上可算。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若不预先锁定组合，跑起来会频繁出现「模型跑不了这套标注」的返工，且微缺陷分层分析可能在 SDUST-FDD（框标注）上根本无法进行。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补一张「实验—数据集—模型」映射表，明确每项测试的合法组合，尤其为「换产/增量」指定含清晰「旧布种 vs 新布种」划分的数据集（ZJU-Leaper 纹理类型最合适）。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P8　功耗测量方法在现有硬件上不可行　</w:t>
      </w:r>
      <w:r>
        <w:rPr>
          <w:b/>
          <w:color w:val="C55A11"/>
          <w:sz w:val="22"/>
          <w:rFonts w:eastAsia="Noto Sans CJK SC" w:ascii="Calibri" w:hAnsi="Calibri"/>
        </w:rPr>
        <w:t>［高级］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指标表要求「功率计实时采样」并以「无风扇 ≤10 W」为标准，但现有仅 GPU；桌面 GPU 只能经 NVML 读板卡功耗（数百瓦），既无外接功率计，也无法体现无风扇散热的降频行为。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功耗/散热这条最关键的端侧证据，用当前设备无法得到有意义的数据。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明确测量手段：端侧用 Jetson 的 tegrastats / INA3221 或外接 USB 功率计；若只能用 GPU，则改测「功耗封顶下的持续吞吐衰减」并标注为代理指标，不套用 10 W 标准。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P9　「训练 3 个 epoch」与「训练到收敛」自相矛盾　</w:t>
      </w:r>
      <w:r>
        <w:rPr>
          <w:b/>
          <w:color w:val="BF9000"/>
          <w:sz w:val="22"/>
          <w:rFonts w:eastAsia="Noto Sans CJK SC" w:ascii="Calibri" w:hAnsi="Calibri"/>
        </w:rPr>
        <w:t>［中级］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统一流程 Step 2 写「YOLO 各训练 3 个 epoch」，而训练成本测试要求「从随机初始化到收敛」记录全量训练时间。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3 个 epoch 既测不到真实收敛时间，也测不到可用精度，会使训练成本与换产延迟的数据失真。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统一口径：全量训练以收敛准则（早停 / 验证指标平台期）为终止条件并记录耗时；「3 epoch」仅用于纯吞吐/显存 smoke test，二者分开陈述。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P10　表4 的「生命周期运维开销」缺少专属测试协议　</w:t>
      </w:r>
      <w:r>
        <w:rPr>
          <w:b/>
          <w:color w:val="BF9000"/>
          <w:sz w:val="22"/>
          <w:rFonts w:eastAsia="Noto Sans CJK SC" w:ascii="Calibri" w:hAnsi="Calibri"/>
        </w:rPr>
        <w:t>［中级］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表4 计算维度含 6 条挑战，但正文只给了 5 个测试段；「固件、模型与检测逻辑协同升级」仅零散并入模型同步测试，无独立协议。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该挑战在验证清单中处于「有命题、无实验」状态，破坏了「每条挑战对应一个测试」的完整性。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补一个「协同升级一致性」测试：模拟推理引擎/权重/后处理逻辑分别升级，测量升级后判定阈值漂移、灰度发布/回滚耗时、以及升级前后检测一致性（同一标定集的结论差异）。</w:t>
      </w:r>
    </w:p>
    <w:p>
      <w:pPr>
        <w:spacing w:before="120" w:after="40"/>
      </w:pPr>
      <w:r>
        <w:rPr>
          <w:b/>
          <w:sz w:val="22"/>
          <w:rFonts w:eastAsia="Noto Sans CJK SC" w:ascii="Calibri" w:hAnsi="Calibri"/>
        </w:rPr>
        <w:t xml:space="preserve">P11　跨架构比较缺置信区间/显著性判定　</w:t>
      </w:r>
      <w:r>
        <w:rPr>
          <w:b/>
          <w:color w:val="BF9000"/>
          <w:sz w:val="22"/>
          <w:rFonts w:eastAsia="Noto Sans CJK SC" w:ascii="Calibri" w:hAnsi="Calibri"/>
        </w:rPr>
        <w:t>［中级］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现象：</w:t>
      </w:r>
      <w:r>
        <w:rPr>
          <w:b w:val="0"/>
          <w:sz w:val="20"/>
          <w:rFonts w:eastAsia="Noto Sans CJK SC" w:ascii="Calibri" w:hAnsi="Calibri"/>
        </w:rPr>
        <w:t>方案有 5 次重复取均值与标准差，但在比较不同架构、不同分辨率的曲线时，未规定如何判断差异是否「真实」。</w:t>
      </w:r>
    </w:p>
    <w:p>
      <w:pPr>
        <w:spacing w:before="0" w:after="20"/>
      </w:pPr>
      <w:r>
        <w:rPr>
          <w:b/>
          <w:sz w:val="20"/>
          <w:rFonts w:eastAsia="Noto Sans CJK SC" w:ascii="Calibri" w:hAnsi="Calibri"/>
        </w:rPr>
        <w:t>影响：</w:t>
      </w:r>
      <w:r>
        <w:rPr>
          <w:b w:val="0"/>
          <w:sz w:val="20"/>
          <w:rFonts w:eastAsia="Noto Sans CJK SC" w:ascii="Calibri" w:hAnsi="Calibri"/>
        </w:rPr>
        <w:t>延迟/吞吐存在系统抖动，仅凭均值排序可能把噪声当成结论。</w:t>
      </w:r>
    </w:p>
    <w:p>
      <w:pPr>
        <w:spacing w:before="0" w:after="60"/>
      </w:pPr>
      <w:r>
        <w:rPr>
          <w:b/>
          <w:sz w:val="20"/>
          <w:rFonts w:eastAsia="Noto Sans CJK SC" w:ascii="Calibri" w:hAnsi="Calibri"/>
        </w:rPr>
        <w:t>建议：</w:t>
      </w:r>
      <w:r>
        <w:rPr>
          <w:b w:val="0"/>
          <w:sz w:val="20"/>
          <w:rFonts w:eastAsia="Noto Sans CJK SC" w:ascii="Calibri" w:hAnsi="Calibri"/>
        </w:rPr>
        <w:t>对关键对照给出置信区间或成对显著性（如吞吐曲线的 bootstrap CI），差异跨越 CI 才计为有效结论。</w:t>
      </w: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四、优先级修复清单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9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#</w:t>
            </w:r>
          </w:p>
        </w:tc>
        <w:tc>
          <w:tcPr>
            <w:tcW w:type="dxa" w:w="258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问题</w:t>
            </w:r>
          </w:p>
        </w:tc>
        <w:tc>
          <w:tcPr>
            <w:tcW w:type="dxa" w:w="995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严重性</w:t>
            </w:r>
          </w:p>
        </w:tc>
        <w:tc>
          <w:tcPr>
            <w:tcW w:type="dxa" w:w="437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修复动作（开跑前）</w:t>
            </w:r>
          </w:p>
        </w:tc>
        <w:tc>
          <w:tcPr>
            <w:tcW w:type="dxa" w:w="119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工作量</w:t>
            </w:r>
          </w:p>
        </w:tc>
      </w:tr>
      <w:tr>
        <w:tc>
          <w:tcPr>
            <w:tcW w:type="dxa" w:w="49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P1</w:t>
            </w:r>
          </w:p>
        </w:tc>
        <w:tc>
          <w:tcPr>
            <w:tcW w:type="dxa" w:w="258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边缘硬件缺口</w:t>
            </w:r>
          </w:p>
        </w:tc>
        <w:tc>
          <w:tcPr>
            <w:tcW w:type="dxa" w:w="99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阻断</w:t>
            </w:r>
          </w:p>
        </w:tc>
        <w:tc>
          <w:tcPr>
            <w:tcW w:type="dxa" w:w="437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采购Jetson / 或GPU功耗封顶代理并显式标注 / 或降级为待验证</w:t>
            </w:r>
          </w:p>
        </w:tc>
        <w:tc>
          <w:tcPr>
            <w:tcW w:type="dxa" w:w="11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中—高</w:t>
            </w:r>
          </w:p>
        </w:tc>
      </w:tr>
      <w:tr>
        <w:tc>
          <w:tcPr>
            <w:tcW w:type="dxa" w:w="497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P8</w:t>
            </w:r>
          </w:p>
        </w:tc>
        <w:tc>
          <w:tcPr>
            <w:tcW w:type="dxa" w:w="258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功耗测量不可行</w:t>
            </w:r>
          </w:p>
        </w:tc>
        <w:tc>
          <w:tcPr>
            <w:tcW w:type="dxa" w:w="995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高</w:t>
            </w:r>
          </w:p>
        </w:tc>
        <w:tc>
          <w:tcPr>
            <w:tcW w:type="dxa" w:w="437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锁定测量手段（tegrastats/外接功率计/代理）</w:t>
            </w:r>
          </w:p>
        </w:tc>
        <w:tc>
          <w:tcPr>
            <w:tcW w:type="dxa" w:w="1194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低</w:t>
            </w:r>
          </w:p>
        </w:tc>
      </w:tr>
      <w:tr>
        <w:tc>
          <w:tcPr>
            <w:tcW w:type="dxa" w:w="49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P7</w:t>
            </w:r>
          </w:p>
        </w:tc>
        <w:tc>
          <w:tcPr>
            <w:tcW w:type="dxa" w:w="258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实验×数据集×模型未映射</w:t>
            </w:r>
          </w:p>
        </w:tc>
        <w:tc>
          <w:tcPr>
            <w:tcW w:type="dxa" w:w="99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高</w:t>
            </w:r>
          </w:p>
        </w:tc>
        <w:tc>
          <w:tcPr>
            <w:tcW w:type="dxa" w:w="437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补兼容性映射表，锁定合法组合</w:t>
            </w:r>
          </w:p>
        </w:tc>
        <w:tc>
          <w:tcPr>
            <w:tcW w:type="dxa" w:w="11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低</w:t>
            </w:r>
          </w:p>
        </w:tc>
      </w:tr>
      <w:tr>
        <w:tc>
          <w:tcPr>
            <w:tcW w:type="dxa" w:w="497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P2</w:t>
            </w:r>
          </w:p>
        </w:tc>
        <w:tc>
          <w:tcPr>
            <w:tcW w:type="dxa" w:w="258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预期结论确认偏误</w:t>
            </w:r>
          </w:p>
        </w:tc>
        <w:tc>
          <w:tcPr>
            <w:tcW w:type="dxa" w:w="995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高</w:t>
            </w:r>
          </w:p>
        </w:tc>
        <w:tc>
          <w:tcPr>
            <w:tcW w:type="dxa" w:w="437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改为假设登记 H1–H11，结果留空</w:t>
            </w:r>
          </w:p>
        </w:tc>
        <w:tc>
          <w:tcPr>
            <w:tcW w:type="dxa" w:w="1194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低</w:t>
            </w:r>
          </w:p>
        </w:tc>
      </w:tr>
      <w:tr>
        <w:tc>
          <w:tcPr>
            <w:tcW w:type="dxa" w:w="49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P3</w:t>
            </w:r>
          </w:p>
        </w:tc>
        <w:tc>
          <w:tcPr>
            <w:tcW w:type="dxa" w:w="258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阈值当门槛</w:t>
            </w:r>
          </w:p>
        </w:tc>
        <w:tc>
          <w:tcPr>
            <w:tcW w:type="dxa" w:w="99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高</w:t>
            </w:r>
          </w:p>
        </w:tc>
        <w:tc>
          <w:tcPr>
            <w:tcW w:type="dxa" w:w="437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区分硬约束门槛 vs 文献先验</w:t>
            </w:r>
          </w:p>
        </w:tc>
        <w:tc>
          <w:tcPr>
            <w:tcW w:type="dxa" w:w="11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低</w:t>
            </w:r>
          </w:p>
        </w:tc>
      </w:tr>
      <w:tr>
        <w:tc>
          <w:tcPr>
            <w:tcW w:type="dxa" w:w="497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P4</w:t>
            </w:r>
          </w:p>
        </w:tc>
        <w:tc>
          <w:tcPr>
            <w:tcW w:type="dxa" w:w="258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注意力模型错配</w:t>
            </w:r>
          </w:p>
        </w:tc>
        <w:tc>
          <w:tcPr>
            <w:tcW w:type="dxa" w:w="995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中</w:t>
            </w:r>
          </w:p>
        </w:tc>
        <w:tc>
          <w:tcPr>
            <w:tcW w:type="dxa" w:w="437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显式分组：注意力组 vs 卷积基线</w:t>
            </w:r>
          </w:p>
        </w:tc>
        <w:tc>
          <w:tcPr>
            <w:tcW w:type="dxa" w:w="1194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低</w:t>
            </w:r>
          </w:p>
        </w:tc>
      </w:tr>
      <w:tr>
        <w:tc>
          <w:tcPr>
            <w:tcW w:type="dxa" w:w="49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P5</w:t>
            </w:r>
          </w:p>
        </w:tc>
        <w:tc>
          <w:tcPr>
            <w:tcW w:type="dxa" w:w="258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漂移代理偏弱</w:t>
            </w:r>
          </w:p>
        </w:tc>
        <w:tc>
          <w:tcPr>
            <w:tcW w:type="dxa" w:w="99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中</w:t>
            </w:r>
          </w:p>
        </w:tc>
        <w:tc>
          <w:tcPr>
            <w:tcW w:type="dxa" w:w="437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改用天然多源域划分</w:t>
            </w:r>
          </w:p>
        </w:tc>
        <w:tc>
          <w:tcPr>
            <w:tcW w:type="dxa" w:w="11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中</w:t>
            </w:r>
          </w:p>
        </w:tc>
      </w:tr>
      <w:tr>
        <w:tc>
          <w:tcPr>
            <w:tcW w:type="dxa" w:w="497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P10</w:t>
            </w:r>
          </w:p>
        </w:tc>
        <w:tc>
          <w:tcPr>
            <w:tcW w:type="dxa" w:w="258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运维挑战缺协议</w:t>
            </w:r>
          </w:p>
        </w:tc>
        <w:tc>
          <w:tcPr>
            <w:tcW w:type="dxa" w:w="995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中</w:t>
            </w:r>
          </w:p>
        </w:tc>
        <w:tc>
          <w:tcPr>
            <w:tcW w:type="dxa" w:w="437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新增协同升级一致性测试</w:t>
            </w:r>
          </w:p>
        </w:tc>
        <w:tc>
          <w:tcPr>
            <w:tcW w:type="dxa" w:w="1194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中</w:t>
            </w:r>
          </w:p>
        </w:tc>
      </w:tr>
      <w:tr>
        <w:tc>
          <w:tcPr>
            <w:tcW w:type="dxa" w:w="49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P9</w:t>
            </w:r>
          </w:p>
        </w:tc>
        <w:tc>
          <w:tcPr>
            <w:tcW w:type="dxa" w:w="258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3epoch vs 收敛矛盾</w:t>
            </w:r>
          </w:p>
        </w:tc>
        <w:tc>
          <w:tcPr>
            <w:tcW w:type="dxa" w:w="99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中</w:t>
            </w:r>
          </w:p>
        </w:tc>
        <w:tc>
          <w:tcPr>
            <w:tcW w:type="dxa" w:w="437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统一训练终止口径</w:t>
            </w:r>
          </w:p>
        </w:tc>
        <w:tc>
          <w:tcPr>
            <w:tcW w:type="dxa" w:w="11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低</w:t>
            </w:r>
          </w:p>
        </w:tc>
      </w:tr>
      <w:tr>
        <w:tc>
          <w:tcPr>
            <w:tcW w:type="dxa" w:w="497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P6</w:t>
            </w:r>
          </w:p>
        </w:tc>
        <w:tc>
          <w:tcPr>
            <w:tcW w:type="dxa" w:w="258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联邦学习范围蔓延</w:t>
            </w:r>
          </w:p>
        </w:tc>
        <w:tc>
          <w:tcPr>
            <w:tcW w:type="dxa" w:w="995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中</w:t>
            </w:r>
          </w:p>
        </w:tc>
        <w:tc>
          <w:tcPr>
            <w:tcW w:type="dxa" w:w="437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降级为单轮探针或移出</w:t>
            </w:r>
          </w:p>
        </w:tc>
        <w:tc>
          <w:tcPr>
            <w:tcW w:type="dxa" w:w="1194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低</w:t>
            </w:r>
          </w:p>
        </w:tc>
      </w:tr>
      <w:tr>
        <w:tc>
          <w:tcPr>
            <w:tcW w:type="dxa" w:w="49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P11</w:t>
            </w:r>
          </w:p>
        </w:tc>
        <w:tc>
          <w:tcPr>
            <w:tcW w:type="dxa" w:w="258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缺显著性判定</w:t>
            </w:r>
          </w:p>
        </w:tc>
        <w:tc>
          <w:tcPr>
            <w:tcW w:type="dxa" w:w="99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中</w:t>
            </w:r>
          </w:p>
        </w:tc>
        <w:tc>
          <w:tcPr>
            <w:tcW w:type="dxa" w:w="437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关键对照加置信区间</w:t>
            </w:r>
          </w:p>
        </w:tc>
        <w:tc>
          <w:tcPr>
            <w:tcW w:type="dxa" w:w="119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低</w:t>
            </w:r>
          </w:p>
        </w:tc>
      </w:tr>
    </w:tbl>
    <w:p>
      <w:pPr>
        <w:spacing w:after="40"/>
      </w:pPr>
    </w:p>
    <w:p>
      <w:pPr>
        <w:keepNext/>
        <w:spacing w:before="280" w:after="100"/>
        <w:pBdr>
          <w:bottom w:val="single" w:sz="8" w:space="3" w:color="1F4E79"/>
        </w:pBdr>
        <w:outlineLvl w:val="0"/>
      </w:pPr>
      <w:r>
        <w:rPr>
          <w:b/>
          <w:color w:val="1F4E79"/>
          <w:sz w:val="30"/>
          <w:rFonts w:eastAsia="Noto Sans CJK SC" w:ascii="Calibri" w:hAnsi="Calibri"/>
        </w:rPr>
        <w:t>第二部分　通用化 + 改进后的验证手册</w:t>
      </w:r>
    </w:p>
    <w:p>
      <w:pPr>
        <w:spacing w:before="0" w:after="120"/>
      </w:pPr>
      <w:r>
        <w:rPr>
          <w:b w:val="0"/>
          <w:i w:val="0"/>
          <w:sz w:val="21"/>
          <w:rFonts w:eastAsia="Noto Sans CJK SC" w:ascii="Calibri" w:hAnsi="Calibri"/>
        </w:rPr>
        <w:t>本部分把原清单从「布匹瑕疵检测」抽象为「工业视觉异常/缺陷检测」的通用部署开销验证框架，并将第一部分的修复项直接内化到方案中。布匹场景作为该框架的一个实例（工况：连续柔性卷材、强周期纹理、微小疵点、多机台并发、频繁换产），在需要时以「布匹实例」标注给出。</w:t>
      </w: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五、定位与适用范围</w:t>
      </w:r>
    </w:p>
    <w:p>
      <w:pPr>
        <w:spacing w:before="0" w:after="120"/>
      </w:pPr>
      <w:r>
        <w:rPr>
          <w:b w:val="0"/>
          <w:i w:val="0"/>
          <w:sz w:val="21"/>
          <w:rFonts w:eastAsia="Noto Sans CJK SC" w:ascii="Calibri" w:hAnsi="Calibri"/>
        </w:rPr>
        <w:t>计算 / 内存 / 通信三个开销维度本身是工业边缘视觉部署的通用瓶颈，不依赖具体产品。本框架适用于任何「产线在线视觉质检 / 异常检测」落地评估，例如：PCB 与电子元件、金属/注塑件表面、食品药品外观、纺织布匹等。各场景的差异体现在「实例参数」上（帧率要求、缺陷尺度、换产频率、是否需闭环控制），而非验证结构本身。</w:t>
      </w: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六、术语泛化对照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0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布匹场景术语</w:t>
            </w:r>
          </w:p>
        </w:tc>
        <w:tc>
          <w:tcPr>
            <w:tcW w:type="dxa" w:w="270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通用术语</w:t>
            </w:r>
          </w:p>
        </w:tc>
        <w:tc>
          <w:tcPr>
            <w:tcW w:type="dxa" w:w="443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说明</w:t>
            </w:r>
          </w:p>
        </w:tc>
      </w:tr>
      <w:tr>
        <w:tc>
          <w:tcPr>
            <w:tcW w:type="dxa" w:w="250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验布机 / 机台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检测工位 / 采集节点</w:t>
            </w:r>
          </w:p>
        </w:tc>
        <w:tc>
          <w:tcPr>
            <w:tcW w:type="dxa" w:w="443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单条视觉检测通道</w:t>
            </w:r>
          </w:p>
        </w:tc>
      </w:tr>
      <w:tr>
        <w:tc>
          <w:tcPr>
            <w:tcW w:type="dxa" w:w="2508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布种 / 换产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产品型号 / 换型</w:t>
            </w:r>
          </w:p>
        </w:tc>
        <w:tc>
          <w:tcPr>
            <w:tcW w:type="dxa" w:w="4438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被检对象类别切换</w:t>
            </w:r>
          </w:p>
        </w:tc>
      </w:tr>
      <w:tr>
        <w:tc>
          <w:tcPr>
            <w:tcW w:type="dxa" w:w="250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布匹产线 30 FPS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产线节拍实时约束</w:t>
            </w:r>
          </w:p>
        </w:tc>
        <w:tc>
          <w:tcPr>
            <w:tcW w:type="dxa" w:w="443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由线速/节拍推导的单帧时限</w:t>
            </w:r>
          </w:p>
        </w:tc>
      </w:tr>
      <w:tr>
        <w:tc>
          <w:tcPr>
            <w:tcW w:type="dxa" w:w="2508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线阵相机长条图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高分辨率/长幅面输入</w:t>
            </w:r>
          </w:p>
        </w:tc>
        <w:tc>
          <w:tcPr>
            <w:tcW w:type="dxa" w:w="4438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area/line-scan 大尺寸输入</w:t>
            </w:r>
          </w:p>
        </w:tc>
      </w:tr>
      <w:tr>
        <w:tc>
          <w:tcPr>
            <w:tcW w:type="dxa" w:w="250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疵点 / 微缺陷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缺陷 / 微弱缺陷</w:t>
            </w:r>
          </w:p>
        </w:tc>
        <w:tc>
          <w:tcPr>
            <w:tcW w:type="dxa" w:w="443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含结构异常与语义异常</w:t>
            </w:r>
          </w:p>
        </w:tc>
      </w:tr>
      <w:tr>
        <w:tc>
          <w:tcPr>
            <w:tcW w:type="dxa" w:w="2508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四分制扣分验收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行业分级验收标准</w:t>
            </w:r>
          </w:p>
        </w:tc>
        <w:tc>
          <w:tcPr>
            <w:tcW w:type="dxa" w:w="4438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CV 指标与工业验收的映射</w:t>
            </w:r>
          </w:p>
        </w:tc>
      </w:tr>
    </w:tbl>
    <w:p>
      <w:pPr>
        <w:spacing w:after="40"/>
      </w:pP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七、被测模型矩阵（含范式标注）</w:t>
      </w:r>
    </w:p>
    <w:p>
      <w:pPr>
        <w:spacing w:before="0" w:after="80"/>
      </w:pPr>
      <w:r>
        <w:rPr>
          <w:b w:val="0"/>
          <w:i w:val="0"/>
          <w:color w:val="595959"/>
          <w:sz w:val="20"/>
          <w:rFonts w:eastAsia="Noto Sans CJK SC" w:ascii="Calibri" w:hAnsi="Calibri"/>
        </w:rPr>
        <w:t>按计算范式显式分组，使「架构相关开销」可对照。注意力复杂度命题由含注意力骨干的模型验证，卷积模型作为 O(n) 基线。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1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范式分组</w:t>
            </w:r>
          </w:p>
        </w:tc>
        <w:tc>
          <w:tcPr>
            <w:tcW w:type="dxa" w:w="250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模型</w:t>
            </w:r>
          </w:p>
        </w:tc>
        <w:tc>
          <w:tcPr>
            <w:tcW w:type="dxa" w:w="308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代表性质</w:t>
            </w:r>
          </w:p>
        </w:tc>
        <w:tc>
          <w:tcPr>
            <w:tcW w:type="dxa" w:w="1737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本地状态</w:t>
            </w:r>
          </w:p>
        </w:tc>
      </w:tr>
      <w:tr>
        <w:tc>
          <w:tcPr>
            <w:tcW w:type="dxa" w:w="2316"/>
          </w:tcPr>
          <w:p>
            <w:pPr>
              <w:spacing w:after="20" w:before="20" w:line="252" w:lineRule="auto"/>
            </w:pPr>
            <w:r/>
            <w:r>
              <w:rPr>
                <w:b/>
                <w:sz w:val="18"/>
                <w:rFonts w:eastAsia="Noto Sans CJK SC" w:ascii="Calibri" w:hAnsi="Calibri"/>
              </w:rPr>
              <w:t>卷积检测（O(n) 基线）</w:t>
            </w:r>
          </w:p>
        </w:tc>
        <w:tc>
          <w:tcPr>
            <w:tcW w:type="dxa" w:w="250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YOLOv8n / v8s / v11</w:t>
            </w:r>
          </w:p>
        </w:tc>
        <w:tc>
          <w:tcPr>
            <w:tcW w:type="dxa" w:w="3087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单阶段监督检测，纯卷积</w:t>
            </w:r>
          </w:p>
        </w:tc>
        <w:tc>
          <w:tcPr>
            <w:tcW w:type="dxa" w:w="1737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已跑通（notebooks，ZJU-Leaper）</w:t>
            </w:r>
          </w:p>
        </w:tc>
      </w:tr>
      <w:tr>
        <w:tc>
          <w:tcPr>
            <w:tcW w:type="dxa" w:w="231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8"/>
                <w:rFonts w:eastAsia="Noto Sans CJK SC" w:ascii="Calibri" w:hAnsi="Calibri"/>
              </w:rPr>
              <w:t>特征嵌入异常检测</w:t>
            </w:r>
          </w:p>
        </w:tc>
        <w:tc>
          <w:tcPr>
            <w:tcW w:type="dxa" w:w="2508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PatchCore / RD4AD / EfficientAD</w:t>
            </w:r>
          </w:p>
        </w:tc>
        <w:tc>
          <w:tcPr>
            <w:tcW w:type="dxa" w:w="3087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仅正常样本训练；PatchCore 含记忆库</w:t>
            </w:r>
          </w:p>
        </w:tc>
        <w:tc>
          <w:tcPr>
            <w:tcW w:type="dxa" w:w="1737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已跑通（config.yaml 驱动）</w:t>
            </w:r>
          </w:p>
        </w:tc>
      </w:tr>
      <w:tr>
        <w:tc>
          <w:tcPr>
            <w:tcW w:type="dxa" w:w="2316"/>
          </w:tcPr>
          <w:p>
            <w:pPr>
              <w:spacing w:after="20" w:before="20" w:line="252" w:lineRule="auto"/>
            </w:pPr>
            <w:r/>
            <w:r>
              <w:rPr>
                <w:b/>
                <w:sz w:val="18"/>
                <w:rFonts w:eastAsia="Noto Sans CJK SC" w:ascii="Calibri" w:hAnsi="Calibri"/>
              </w:rPr>
              <w:t>注意力/多模态（O(n²) 组）</w:t>
            </w:r>
          </w:p>
        </w:tc>
        <w:tc>
          <w:tcPr>
            <w:tcW w:type="dxa" w:w="250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MoECLIP</w:t>
            </w:r>
          </w:p>
        </w:tc>
        <w:tc>
          <w:tcPr>
            <w:tcW w:type="dxa" w:w="3087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CLIP ViT + MoE-LoRA，零样本</w:t>
            </w:r>
          </w:p>
        </w:tc>
        <w:tc>
          <w:tcPr>
            <w:tcW w:type="dxa" w:w="1737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已跑通（需 OpenCLIP ViT-L-14-336px 权重）</w:t>
            </w:r>
          </w:p>
        </w:tc>
      </w:tr>
    </w:tbl>
    <w:p>
      <w:pPr>
        <w:spacing w:after="40"/>
      </w:pP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八、硬件平台与「代理测量」约定</w:t>
      </w:r>
    </w:p>
    <w:p>
      <w:pPr>
        <w:spacing w:before="0" w:after="80"/>
      </w:pPr>
      <w:r>
        <w:rPr>
          <w:b w:val="0"/>
          <w:i w:val="0"/>
          <w:color w:val="595959"/>
          <w:sz w:val="20"/>
          <w:rFonts w:eastAsia="Noto Sans CJK SC" w:ascii="Calibri" w:hAnsi="Calibri"/>
        </w:rPr>
        <w:t>对尚未到位的端侧设备，方案不再默认其存在，而是区分「实测」与「代理」两类结论，且代理结论一律标注。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4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层级</w:t>
            </w:r>
          </w:p>
        </w:tc>
        <w:tc>
          <w:tcPr>
            <w:tcW w:type="dxa" w:w="250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设备</w:t>
            </w:r>
          </w:p>
        </w:tc>
        <w:tc>
          <w:tcPr>
            <w:tcW w:type="dxa" w:w="270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用途</w:t>
            </w:r>
          </w:p>
        </w:tc>
        <w:tc>
          <w:tcPr>
            <w:tcW w:type="dxa" w:w="289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状态与处理约定</w:t>
            </w:r>
          </w:p>
        </w:tc>
      </w:tr>
      <w:tr>
        <w:tc>
          <w:tcPr>
            <w:tcW w:type="dxa" w:w="1544"/>
          </w:tcPr>
          <w:p>
            <w:pPr>
              <w:spacing w:after="20" w:before="20" w:line="252" w:lineRule="auto"/>
            </w:pPr>
            <w:r/>
            <w:r>
              <w:rPr>
                <w:b/>
                <w:sz w:val="18"/>
                <w:rFonts w:eastAsia="Noto Sans CJK SC" w:ascii="Calibri" w:hAnsi="Calibri"/>
              </w:rPr>
              <w:t>云端训练/基准</w:t>
            </w:r>
          </w:p>
        </w:tc>
        <w:tc>
          <w:tcPr>
            <w:tcW w:type="dxa" w:w="250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RTX 5090 / A100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全量训练、吞吐/显存基准</w:t>
            </w:r>
          </w:p>
        </w:tc>
        <w:tc>
          <w:tcPr>
            <w:tcW w:type="dxa" w:w="289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已具备（实测）</w:t>
            </w:r>
          </w:p>
        </w:tc>
      </w:tr>
      <w:tr>
        <w:tc>
          <w:tcPr>
            <w:tcW w:type="dxa" w:w="154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8"/>
                <w:rFonts w:eastAsia="Noto Sans CJK SC" w:ascii="Calibri" w:hAnsi="Calibri"/>
              </w:rPr>
              <w:t>边缘推理</w:t>
            </w:r>
          </w:p>
        </w:tc>
        <w:tc>
          <w:tcPr>
            <w:tcW w:type="dxa" w:w="2508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Jetson Orin NX（建议采购）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工业边缘部署代表</w:t>
            </w:r>
          </w:p>
        </w:tc>
        <w:tc>
          <w:tcPr>
            <w:tcW w:type="dxa" w:w="289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未到位 → 采购，或以 GPU 功耗封顶做代理并标注</w:t>
            </w:r>
          </w:p>
        </w:tc>
      </w:tr>
      <w:tr>
        <w:tc>
          <w:tcPr>
            <w:tcW w:type="dxa" w:w="1544"/>
          </w:tcPr>
          <w:p>
            <w:pPr>
              <w:spacing w:after="20" w:before="20" w:line="252" w:lineRule="auto"/>
            </w:pPr>
            <w:r/>
            <w:r>
              <w:rPr>
                <w:b/>
                <w:sz w:val="18"/>
                <w:rFonts w:eastAsia="Noto Sans CJK SC" w:ascii="Calibri" w:hAnsi="Calibri"/>
              </w:rPr>
              <w:t>端侧极限</w:t>
            </w:r>
          </w:p>
        </w:tc>
        <w:tc>
          <w:tcPr>
            <w:tcW w:type="dxa" w:w="250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RPi 4B + Coral TPU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无风扇/功耗墙场景</w:t>
            </w:r>
          </w:p>
        </w:tc>
        <w:tc>
          <w:tcPr>
            <w:tcW w:type="dxa" w:w="289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未到位 → 同上；相关结论标注为 proxy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b/>
          <w:sz w:val="19"/>
          <w:rFonts w:eastAsia="Noto Sans CJK SC" w:ascii="Calibri" w:hAnsi="Calibri"/>
        </w:rPr>
        <w:t>代理测量约定：</w:t>
      </w:r>
      <w:r>
        <w:rPr>
          <w:b w:val="0"/>
          <w:sz w:val="19"/>
          <w:rFonts w:eastAsia="Noto Sans CJK SC" w:ascii="Calibri" w:hAnsi="Calibri"/>
        </w:rPr>
        <w:t>在缺乏端侧设备时，用 nvidia-smi -pl 功耗封顶 + 频率锁定「模拟」低功耗，结果标注为「GPU-proxy」，仅用于观察趋势（如功耗封顶下的吞吐衰减），不套用「≤10 W / &lt;5 min 降频」等端侧硬标准。</w:t>
      </w: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九、实验—数据集—模型 映射表</w:t>
      </w:r>
    </w:p>
    <w:p>
      <w:pPr>
        <w:spacing w:before="0" w:after="80"/>
      </w:pPr>
      <w:r>
        <w:rPr>
          <w:b w:val="0"/>
          <w:i w:val="0"/>
          <w:color w:val="595959"/>
          <w:sz w:val="20"/>
          <w:rFonts w:eastAsia="Noto Sans CJK SC" w:ascii="Calibri" w:hAnsi="Calibri"/>
        </w:rPr>
        <w:t>锁定每项测试的合法组合，避免标注不兼容导致的返工；标 * 者需像素掩膜方可进行尺寸分层分析。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2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8"/>
                <w:rFonts w:eastAsia="Noto Sans CJK SC" w:ascii="Calibri" w:hAnsi="Calibri"/>
              </w:rPr>
              <w:t>测试</w:t>
            </w:r>
          </w:p>
        </w:tc>
        <w:tc>
          <w:tcPr>
            <w:tcW w:type="dxa" w:w="270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8"/>
                <w:rFonts w:eastAsia="Noto Sans CJK SC" w:ascii="Calibri" w:hAnsi="Calibri"/>
              </w:rPr>
              <w:t>推荐数据集</w:t>
            </w:r>
          </w:p>
        </w:tc>
        <w:tc>
          <w:tcPr>
            <w:tcW w:type="dxa" w:w="2701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8"/>
                <w:rFonts w:eastAsia="Noto Sans CJK SC" w:ascii="Calibri" w:hAnsi="Calibri"/>
              </w:rPr>
              <w:t>适用模型</w:t>
            </w:r>
          </w:p>
        </w:tc>
        <w:tc>
          <w:tcPr>
            <w:tcW w:type="dxa" w:w="212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8"/>
                <w:rFonts w:eastAsia="Noto Sans CJK SC" w:ascii="Calibri" w:hAnsi="Calibri"/>
              </w:rPr>
              <w:t>关键前置</w:t>
            </w:r>
          </w:p>
        </w:tc>
      </w:tr>
      <w:tr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/>
                <w:sz w:val="17"/>
                <w:rFonts w:eastAsia="Noto Sans CJK SC" w:ascii="Calibri" w:hAnsi="Calibri"/>
              </w:rPr>
              <w:t>延迟/吞吐/显存基准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任意（统一分辨率）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全部</w:t>
            </w:r>
          </w:p>
        </w:tc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warmup+1000 次</w:t>
            </w:r>
          </w:p>
        </w:tc>
      </w:tr>
      <w:tr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7"/>
                <w:rFonts w:eastAsia="Noto Sans CJK SC" w:ascii="Calibri" w:hAnsi="Calibri"/>
              </w:rPr>
              <w:t>分辨率—吞吐扫频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MVTec/VisA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MoECLIP vs YOLO/PatchCore</w:t>
            </w:r>
          </w:p>
        </w:tc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256/512/1024/2048</w:t>
            </w:r>
          </w:p>
        </w:tc>
      </w:tr>
      <w:tr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/>
                <w:sz w:val="17"/>
                <w:rFonts w:eastAsia="Noto Sans CJK SC" w:ascii="Calibri" w:hAnsi="Calibri"/>
              </w:rPr>
              <w:t>并发承载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SDUST-FDD / MVTec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全部</w:t>
            </w:r>
          </w:p>
        </w:tc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多实例</w:t>
            </w:r>
          </w:p>
        </w:tc>
      </w:tr>
      <w:tr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7"/>
                <w:rFonts w:eastAsia="Noto Sans CJK SC" w:ascii="Calibri" w:hAnsi="Calibri"/>
              </w:rPr>
              <w:t>换产/增量学习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ZJU-Leaper（按纹理型划分旧/新）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YOLO、异常检测</w:t>
            </w:r>
          </w:p>
        </w:tc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旧型收敛 → 新型增量</w:t>
            </w:r>
          </w:p>
        </w:tc>
      </w:tr>
      <w:tr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/>
                <w:sz w:val="17"/>
                <w:rFonts w:eastAsia="Noto Sans CJK SC" w:ascii="Calibri" w:hAnsi="Calibri"/>
              </w:rPr>
              <w:t>跨域(机台)漂移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ZJU-Leaper 纹理 / VisA 类目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异常检测</w:t>
            </w:r>
          </w:p>
        </w:tc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天然多源划分</w:t>
            </w:r>
          </w:p>
        </w:tc>
      </w:tr>
      <w:tr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7"/>
                <w:rFonts w:eastAsia="Noto Sans CJK SC" w:ascii="Calibri" w:hAnsi="Calibri"/>
              </w:rPr>
              <w:t>量化—微缺陷抹除 *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MVTec/VisA/RAW-FABRID/ZJU（含掩膜）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YOLO、PatchCore、EfficientAD</w:t>
            </w:r>
          </w:p>
        </w:tc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像素级 GT 分层</w:t>
            </w:r>
          </w:p>
        </w:tc>
      </w:tr>
      <w:tr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/>
                <w:sz w:val="17"/>
                <w:rFonts w:eastAsia="Noto Sans CJK SC" w:ascii="Calibri" w:hAnsi="Calibri"/>
              </w:rPr>
              <w:t>模型同步/协同升级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不限（测传输与一致性）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全部（比权重体积）</w:t>
            </w:r>
          </w:p>
        </w:tc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tc 限速网络</w:t>
            </w:r>
          </w:p>
        </w:tc>
      </w:tr>
      <w:tr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7"/>
                <w:rFonts w:eastAsia="Noto Sans CJK SC" w:ascii="Calibri" w:hAnsi="Calibri"/>
              </w:rPr>
              <w:t>事件回传延迟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含缺陷视频流</w:t>
            </w:r>
          </w:p>
        </w:tc>
        <w:tc>
          <w:tcPr>
            <w:tcW w:type="dxa" w:w="2701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检测类</w:t>
            </w:r>
          </w:p>
        </w:tc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注入 1% 缺陷帧</w:t>
            </w:r>
          </w:p>
        </w:tc>
      </w:tr>
      <w:tr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/>
                <w:sz w:val="17"/>
                <w:rFonts w:eastAsia="Noto Sans CJK SC" w:ascii="Calibri" w:hAnsi="Calibri"/>
              </w:rPr>
              <w:t>硬实时闭环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HIL（需 PLC/总线）</w:t>
            </w:r>
          </w:p>
        </w:tc>
        <w:tc>
          <w:tcPr>
            <w:tcW w:type="dxa" w:w="2701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部署后模型</w:t>
            </w:r>
          </w:p>
        </w:tc>
        <w:tc>
          <w:tcPr>
            <w:tcW w:type="dxa" w:w="2123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需控制硬件（未到位）</w:t>
            </w:r>
          </w:p>
        </w:tc>
      </w:tr>
    </w:tbl>
    <w:p>
      <w:pPr>
        <w:spacing w:after="40"/>
      </w:pP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十、假设登记表（结果留空，允许证伪）</w:t>
      </w:r>
    </w:p>
    <w:p>
      <w:pPr>
        <w:spacing w:before="0" w:after="80"/>
      </w:pPr>
      <w:r>
        <w:rPr>
          <w:b w:val="0"/>
          <w:i w:val="0"/>
          <w:color w:val="595959"/>
          <w:sz w:val="20"/>
          <w:rFonts w:eastAsia="Noto Sans CJK SC" w:ascii="Calibri" w:hAnsi="Calibri"/>
        </w:rPr>
        <w:t>把原第六节的「预期结论（原全部标为成立）」改写为可证伪的假设与判据；判据分「硬约束门槛」与「文献先验（仅对照）」两类。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61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8"/>
                <w:rFonts w:eastAsia="Noto Sans CJK SC" w:ascii="Calibri" w:hAnsi="Calibri"/>
              </w:rPr>
              <w:t>ID</w:t>
            </w:r>
          </w:p>
        </w:tc>
        <w:tc>
          <w:tcPr>
            <w:tcW w:type="dxa" w:w="349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8"/>
                <w:rFonts w:eastAsia="Noto Sans CJK SC" w:ascii="Calibri" w:hAnsi="Calibri"/>
              </w:rPr>
              <w:t>假设（H）</w:t>
            </w:r>
          </w:p>
        </w:tc>
        <w:tc>
          <w:tcPr>
            <w:tcW w:type="dxa" w:w="1232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8"/>
                <w:rFonts w:eastAsia="Noto Sans CJK SC" w:ascii="Calibri" w:hAnsi="Calibri"/>
              </w:rPr>
              <w:t>判据类型</w:t>
            </w:r>
          </w:p>
        </w:tc>
        <w:tc>
          <w:tcPr>
            <w:tcW w:type="dxa" w:w="328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8"/>
                <w:rFonts w:eastAsia="Noto Sans CJK SC" w:ascii="Calibri" w:hAnsi="Calibri"/>
              </w:rPr>
              <w:t>判据 / 门槛</w:t>
            </w:r>
          </w:p>
        </w:tc>
        <w:tc>
          <w:tcPr>
            <w:tcW w:type="dxa" w:w="102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8"/>
                <w:rFonts w:eastAsia="Noto Sans CJK SC" w:ascii="Calibri" w:hAnsi="Calibri"/>
              </w:rPr>
              <w:t>结果</w:t>
            </w:r>
          </w:p>
        </w:tc>
      </w:tr>
      <w:tr>
        <w:tc>
          <w:tcPr>
            <w:tcW w:type="dxa" w:w="61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H1</w:t>
            </w:r>
          </w:p>
        </w:tc>
        <w:tc>
          <w:tcPr>
            <w:tcW w:type="dxa" w:w="349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无风扇/功耗封顶下持续实时性无法保障</w:t>
            </w:r>
          </w:p>
        </w:tc>
        <w:tc>
          <w:tcPr>
            <w:tcW w:type="dxa" w:w="123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硬约束</w:t>
            </w:r>
          </w:p>
        </w:tc>
        <w:tc>
          <w:tcPr>
            <w:tcW w:type="dxa" w:w="328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持续 FPS ≥ 节拍要求</w:t>
            </w:r>
          </w:p>
        </w:tc>
        <w:tc>
          <w:tcPr>
            <w:tcW w:type="dxa" w:w="102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H2</w:t>
            </w:r>
          </w:p>
        </w:tc>
        <w:tc>
          <w:tcPr>
            <w:tcW w:type="dxa" w:w="3490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含注意力模型高分辨率吞吐下降更陡</w:t>
            </w:r>
          </w:p>
        </w:tc>
        <w:tc>
          <w:tcPr>
            <w:tcW w:type="dxa" w:w="1232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文献先验</w:t>
            </w:r>
          </w:p>
        </w:tc>
        <w:tc>
          <w:tcPr>
            <w:tcW w:type="dxa" w:w="328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两组曲线斜率差显著</w:t>
            </w:r>
          </w:p>
        </w:tc>
        <w:tc>
          <w:tcPr>
            <w:tcW w:type="dxa" w:w="102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H3</w:t>
            </w:r>
          </w:p>
        </w:tc>
        <w:tc>
          <w:tcPr>
            <w:tcW w:type="dxa" w:w="349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换产重训延迟高，边缘难独立完成</w:t>
            </w:r>
          </w:p>
        </w:tc>
        <w:tc>
          <w:tcPr>
            <w:tcW w:type="dxa" w:w="123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混合</w:t>
            </w:r>
          </w:p>
        </w:tc>
        <w:tc>
          <w:tcPr>
            <w:tcW w:type="dxa" w:w="328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全量训练→收敛耗时；边/云效率比</w:t>
            </w:r>
          </w:p>
        </w:tc>
        <w:tc>
          <w:tcPr>
            <w:tcW w:type="dxa" w:w="102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H4</w:t>
            </w:r>
          </w:p>
        </w:tc>
        <w:tc>
          <w:tcPr>
            <w:tcW w:type="dxa" w:w="3490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异常检测模型单卡并发承载低</w:t>
            </w:r>
          </w:p>
        </w:tc>
        <w:tc>
          <w:tcPr>
            <w:tcW w:type="dxa" w:w="1232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文献先验</w:t>
            </w:r>
          </w:p>
        </w:tc>
        <w:tc>
          <w:tcPr>
            <w:tcW w:type="dxa" w:w="328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延迟≤节拍时的最大路数</w:t>
            </w:r>
          </w:p>
        </w:tc>
        <w:tc>
          <w:tcPr>
            <w:tcW w:type="dxa" w:w="102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H5</w:t>
            </w:r>
          </w:p>
        </w:tc>
        <w:tc>
          <w:tcPr>
            <w:tcW w:type="dxa" w:w="349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跨域精度显著退化</w:t>
            </w:r>
          </w:p>
        </w:tc>
        <w:tc>
          <w:tcPr>
            <w:tcW w:type="dxa" w:w="123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文献先验</w:t>
            </w:r>
          </w:p>
        </w:tc>
        <w:tc>
          <w:tcPr>
            <w:tcW w:type="dxa" w:w="328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跨域 vs 单域指标差</w:t>
            </w:r>
          </w:p>
        </w:tc>
        <w:tc>
          <w:tcPr>
            <w:tcW w:type="dxa" w:w="102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H6</w:t>
            </w:r>
          </w:p>
        </w:tc>
        <w:tc>
          <w:tcPr>
            <w:tcW w:type="dxa" w:w="3490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协同升级引发阈值漂移与一致性风险</w:t>
            </w:r>
          </w:p>
        </w:tc>
        <w:tc>
          <w:tcPr>
            <w:tcW w:type="dxa" w:w="1232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混合</w:t>
            </w:r>
          </w:p>
        </w:tc>
        <w:tc>
          <w:tcPr>
            <w:tcW w:type="dxa" w:w="328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升级前后同集结论差异</w:t>
            </w:r>
          </w:p>
        </w:tc>
        <w:tc>
          <w:tcPr>
            <w:tcW w:type="dxa" w:w="102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H7</w:t>
            </w:r>
          </w:p>
        </w:tc>
        <w:tc>
          <w:tcPr>
            <w:tcW w:type="dxa" w:w="349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高分辨率下内存带宽成为瓶颈</w:t>
            </w:r>
          </w:p>
        </w:tc>
        <w:tc>
          <w:tcPr>
            <w:tcW w:type="dxa" w:w="123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文献先验</w:t>
            </w:r>
          </w:p>
        </w:tc>
        <w:tc>
          <w:tcPr>
            <w:tcW w:type="dxa" w:w="328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带宽利用率与搬运占比</w:t>
            </w:r>
          </w:p>
        </w:tc>
        <w:tc>
          <w:tcPr>
            <w:tcW w:type="dxa" w:w="102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H8</w:t>
            </w:r>
          </w:p>
        </w:tc>
        <w:tc>
          <w:tcPr>
            <w:tcW w:type="dxa" w:w="3490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低位宽量化抹除微弱缺陷</w:t>
            </w:r>
          </w:p>
        </w:tc>
        <w:tc>
          <w:tcPr>
            <w:tcW w:type="dxa" w:w="1232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混合</w:t>
            </w:r>
          </w:p>
        </w:tc>
        <w:tc>
          <w:tcPr>
            <w:tcW w:type="dxa" w:w="328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微缺陷(&lt;10px)召回下降幅度</w:t>
            </w:r>
          </w:p>
        </w:tc>
        <w:tc>
          <w:tcPr>
            <w:tcW w:type="dxa" w:w="102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H9</w:t>
            </w:r>
          </w:p>
        </w:tc>
        <w:tc>
          <w:tcPr>
            <w:tcW w:type="dxa" w:w="349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异常检测模型同步开销高于监督模型</w:t>
            </w:r>
          </w:p>
        </w:tc>
        <w:tc>
          <w:tcPr>
            <w:tcW w:type="dxa" w:w="123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文献先验</w:t>
            </w:r>
          </w:p>
        </w:tc>
        <w:tc>
          <w:tcPr>
            <w:tcW w:type="dxa" w:w="328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更新包体积/同步耗时</w:t>
            </w:r>
          </w:p>
        </w:tc>
        <w:tc>
          <w:tcPr>
            <w:tcW w:type="dxa" w:w="102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H10</w:t>
            </w:r>
          </w:p>
        </w:tc>
        <w:tc>
          <w:tcPr>
            <w:tcW w:type="dxa" w:w="3490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事件触发回传省带宽但需保高危时效</w:t>
            </w:r>
          </w:p>
        </w:tc>
        <w:tc>
          <w:tcPr>
            <w:tcW w:type="dxa" w:w="1232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硬约束</w:t>
            </w:r>
          </w:p>
        </w:tc>
        <w:tc>
          <w:tcPr>
            <w:tcW w:type="dxa" w:w="328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省带宽比 &amp; 高危回传延迟</w:t>
            </w:r>
          </w:p>
        </w:tc>
        <w:tc>
          <w:tcPr>
            <w:tcW w:type="dxa" w:w="1026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  <w:tr>
        <w:tc>
          <w:tcPr>
            <w:tcW w:type="dxa" w:w="61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H11</w:t>
            </w:r>
          </w:p>
        </w:tc>
        <w:tc>
          <w:tcPr>
            <w:tcW w:type="dxa" w:w="349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纯软件方案难满足硬实时</w:t>
            </w:r>
          </w:p>
        </w:tc>
        <w:tc>
          <w:tcPr>
            <w:tcW w:type="dxa" w:w="123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硬约束</w:t>
            </w:r>
          </w:p>
        </w:tc>
        <w:tc>
          <w:tcPr>
            <w:tcW w:type="dxa" w:w="328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端到端延迟 &amp; 抖动</w:t>
            </w:r>
          </w:p>
        </w:tc>
        <w:tc>
          <w:tcPr>
            <w:tcW w:type="dxa" w:w="102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7"/>
                <w:rFonts w:eastAsia="Noto Sans CJK SC" w:ascii="Calibri" w:hAnsi="Calibri"/>
              </w:rPr>
              <w:t>□待填</w:t>
            </w:r>
          </w:p>
        </w:tc>
      </w:tr>
    </w:tbl>
    <w:p>
      <w:pPr>
        <w:spacing w:after="40"/>
      </w:pP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十一、各维度测试协议（改进版）</w:t>
      </w:r>
    </w:p>
    <w:p>
      <w:pPr>
        <w:keepNext/>
        <w:spacing w:before="180" w:after="100"/>
        <w:outlineLvl w:val="2"/>
      </w:pPr>
      <w:r>
        <w:rPr>
          <w:b/>
          <w:color w:val="2E2E2E"/>
          <w:sz w:val="22"/>
          <w:rFonts w:eastAsia="Noto Sans CJK SC" w:ascii="Calibri" w:hAnsi="Calibri"/>
        </w:rPr>
        <w:t>11.1 计算开销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端侧资源受限——</w:t>
      </w:r>
      <w:r>
        <w:rPr>
          <w:sz w:val="21"/>
          <w:rFonts w:eastAsia="Noto Sans CJK SC" w:ascii="Calibri" w:hAnsi="Calibri"/>
        </w:rPr>
        <w:t>（端侧/代理）恒温或功耗封顶下持续 30 min 推理，记录 FPS 衰减、温度/功耗曲线、首次降频时间。端侧用 tegrastats/功率计；无端侧时用 GPU 功耗封顶代理并标注 proxy。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注意力复杂度——</w:t>
      </w:r>
      <w:r>
        <w:rPr>
          <w:sz w:val="21"/>
          <w:rFonts w:eastAsia="Noto Sans CJK SC" w:ascii="Calibri" w:hAnsi="Calibri"/>
        </w:rPr>
        <w:t>256/512/1024/2048 分辨率扫频，warmup 100 + 正式 1000 次；MoECLIP（注意力组）与 YOLO/PatchCore（卷积基线）分组绘曲线，以斜率差为判据。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扩展性/并发——</w:t>
      </w:r>
      <w:r>
        <w:rPr>
          <w:sz w:val="21"/>
          <w:rFonts w:eastAsia="Noto Sans CJK SC" w:ascii="Calibri" w:hAnsi="Calibri"/>
        </w:rPr>
        <w:t>N=1,2,4,8,16,32 多实例并发，记录每路延迟、总吞吐、GPU 利用率，求「延迟翻倍点」「吞吐饱和点」。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训练门槛/换产——</w:t>
      </w:r>
      <w:r>
        <w:rPr>
          <w:sz w:val="21"/>
          <w:rFonts w:eastAsia="Noto Sans CJK SC" w:ascii="Calibri" w:hAnsi="Calibri"/>
        </w:rPr>
        <w:t>以收敛准则（早停/平台期）记录全量训练耗时、峰值显存、能耗；场景 A 全量 / B 增量 / C few-shot；场景 D 边缘增量在无端侧时标注为待验证。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数据异构/漂移——</w:t>
      </w:r>
      <w:r>
        <w:rPr>
          <w:sz w:val="21"/>
          <w:rFonts w:eastAsia="Noto Sans CJK SC" w:ascii="Calibri" w:hAnsi="Calibri"/>
        </w:rPr>
        <w:t>天然多源域划分下测单域 vs 跨域精度；联邦仅做单轮 FedAvg 方向性探针（或移出）。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生命周期运维——</w:t>
      </w:r>
      <w:r>
        <w:rPr>
          <w:sz w:val="21"/>
          <w:rFonts w:eastAsia="Noto Sans CJK SC" w:ascii="Calibri" w:hAnsi="Calibri"/>
        </w:rPr>
        <w:t>（新增，补 P10）模拟推理引擎/权重/后处理逻辑分别升级，测阈值漂移、灰度/回滚耗时、升级前后同一标定集的检测一致性。</w:t>
      </w:r>
    </w:p>
    <w:p>
      <w:pPr>
        <w:keepNext/>
        <w:spacing w:before="180" w:after="100"/>
        <w:outlineLvl w:val="2"/>
      </w:pPr>
      <w:r>
        <w:rPr>
          <w:b/>
          <w:color w:val="2E2E2E"/>
          <w:sz w:val="22"/>
          <w:rFonts w:eastAsia="Noto Sans CJK SC" w:ascii="Calibri" w:hAnsi="Calibri"/>
        </w:rPr>
        <w:t>11.2 内存开销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带宽竞争——</w:t>
      </w:r>
      <w:r>
        <w:rPr>
          <w:sz w:val="21"/>
          <w:rFonts w:eastAsia="Noto Sans CJK SC" w:ascii="Calibri" w:hAnsi="Calibri"/>
        </w:rPr>
        <w:t>基线（数据在显存）vs 全链路（磁盘/相机→CPU→GPU→推理）吞吐差，算数据搬运占比；nvidia-smi dmon 监控带宽；对比 256 vs 2048、batch 1 vs 8。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量化抹除——</w:t>
      </w:r>
      <w:r>
        <w:rPr>
          <w:sz w:val="21"/>
          <w:rFonts w:eastAsia="Noto Sans CJK SC" w:ascii="Calibri" w:hAnsi="Calibri"/>
        </w:rPr>
        <w:t>FP32/FP16/INT8(PTQ/QAT)/INT4 下测体积、加速比、整体精度，重点按缺陷尺寸分层统计召回率变化（仅在含掩膜数据集上）；对照 per-tensor / per-channel / 混合精度 / QAT。</w:t>
      </w:r>
    </w:p>
    <w:p>
      <w:pPr>
        <w:keepNext/>
        <w:spacing w:before="180" w:after="100"/>
        <w:outlineLvl w:val="2"/>
      </w:pPr>
      <w:r>
        <w:rPr>
          <w:b/>
          <w:color w:val="2E2E2E"/>
          <w:sz w:val="22"/>
          <w:rFonts w:eastAsia="Noto Sans CJK SC" w:ascii="Calibri" w:hAnsi="Calibri"/>
        </w:rPr>
        <w:t>11.3 通信开销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版本同步——</w:t>
      </w:r>
      <w:r>
        <w:rPr>
          <w:sz w:val="21"/>
          <w:rFonts w:eastAsia="Noto Sans CJK SC" w:ascii="Calibri" w:hAnsi="Calibri"/>
        </w:rPr>
        <w:t>全量 vs 差分 vs 结构化 vs 蒸馏更新；tc 模拟 LAN/工厂/恶劣三档网络，记录 P50/P95/P99 同步时间与带宽节省。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非对称流控——</w:t>
      </w:r>
      <w:r>
        <w:rPr>
          <w:sz w:val="21"/>
          <w:rFonts w:eastAsia="Noto Sans CJK SC" w:ascii="Calibri" w:hAnsi="Calibri"/>
        </w:rPr>
        <w:t>全量回传 vs 事件触发 vs 分级回传；注入 1% 缺陷帧，埋点 T1–T5 测检出→云端入库延迟与省带宽比；并记录异常检测误报导致的额外回传。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>硬实时协同——</w:t>
      </w:r>
      <w:r>
        <w:rPr>
          <w:sz w:val="21"/>
          <w:rFonts w:eastAsia="Noto Sans CJK SC" w:ascii="Calibri" w:hAnsi="Calibri"/>
        </w:rPr>
        <w:t>（需 HIL/PLC 硬件）端到端控制延迟与抖动，对比纯软件 / PREEMPT_RT / 硬件加速；无硬件时列为待验证，不出实测结论。</w:t>
      </w: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十二、统一执行流程（修正后）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 xml:space="preserve">Step 1　</w:t>
      </w:r>
      <w:r>
        <w:rPr>
          <w:sz w:val="21"/>
          <w:rFonts w:eastAsia="Noto Sans CJK SC" w:ascii="Calibri" w:hAnsi="Calibri"/>
        </w:rPr>
        <w:t>数据集准备：按测试映射表生成分辨率梯度与「旧/新型号」划分。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 xml:space="preserve">Step 2　</w:t>
      </w:r>
      <w:r>
        <w:rPr>
          <w:sz w:val="21"/>
          <w:rFonts w:eastAsia="Noto Sans CJK SC" w:ascii="Calibri" w:hAnsi="Calibri"/>
        </w:rPr>
        <w:t>模型训练与导出：全量训练以收敛为准并记录耗时（区别于仅测吞吐的 smoke test）；导出 FP32/FP16/INT8。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 xml:space="preserve">Step 3　</w:t>
      </w:r>
      <w:r>
        <w:rPr>
          <w:sz w:val="21"/>
          <w:rFonts w:eastAsia="Noto Sans CJK SC" w:ascii="Calibri" w:hAnsi="Calibri"/>
        </w:rPr>
        <w:t>基准测试（计算+内存）：延迟/吞吐/显存/带宽/分辨率扫频/并发。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 xml:space="preserve">Step 4　</w:t>
      </w:r>
      <w:r>
        <w:rPr>
          <w:sz w:val="21"/>
          <w:rFonts w:eastAsia="Noto Sans CJK SC" w:ascii="Calibri" w:hAnsi="Calibri"/>
        </w:rPr>
        <w:t>场景化测试：功耗温度（端侧或代理）、量化分层、跨域漂移、增量/换产、协同升级一致性。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 xml:space="preserve">Step 5　</w:t>
      </w:r>
      <w:r>
        <w:rPr>
          <w:sz w:val="21"/>
          <w:rFonts w:eastAsia="Noto Sans CJK SC" w:ascii="Calibri" w:hAnsi="Calibri"/>
        </w:rPr>
        <w:t>通信与分布式：模型同步、事件回传、（有硬件时）硬实时闭环。</w:t>
      </w:r>
    </w:p>
    <w:p>
      <w:pPr>
        <w:spacing w:after="60" w:line="269" w:lineRule="auto"/>
        <w:ind w:left="403"/>
      </w:pPr>
      <w:r>
        <w:rPr>
          <w:sz w:val="21"/>
          <w:rFonts w:eastAsia="Noto Sans CJK SC" w:ascii="Calibri" w:hAnsi="Calibri"/>
        </w:rPr>
        <w:t xml:space="preserve">•  </w:t>
      </w:r>
      <w:r>
        <w:rPr>
          <w:b/>
          <w:sz w:val="21"/>
          <w:rFonts w:eastAsia="Noto Sans CJK SC" w:ascii="Calibri" w:hAnsi="Calibri"/>
        </w:rPr>
        <w:t xml:space="preserve">Step 6　</w:t>
      </w:r>
      <w:r>
        <w:rPr>
          <w:sz w:val="21"/>
          <w:rFonts w:eastAsia="Noto Sans CJK SC" w:ascii="Calibri" w:hAnsi="Calibri"/>
        </w:rPr>
        <w:t>汇总分析：按假设登记表逐条填「支持/部分/不支持」，关键对照给置信区间，保留 null 结果。</w:t>
      </w: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十三、结论汇总模板（待数据填充，不预判）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5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维度</w:t>
            </w:r>
          </w:p>
        </w:tc>
        <w:tc>
          <w:tcPr>
            <w:tcW w:type="dxa" w:w="154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假设</w:t>
            </w:r>
          </w:p>
        </w:tc>
        <w:tc>
          <w:tcPr>
            <w:tcW w:type="dxa" w:w="2508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实测关键量</w:t>
            </w:r>
          </w:p>
        </w:tc>
        <w:tc>
          <w:tcPr>
            <w:tcW w:type="dxa" w:w="2316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置信区间/显著性</w:t>
            </w:r>
          </w:p>
        </w:tc>
        <w:tc>
          <w:tcPr>
            <w:tcW w:type="dxa" w:w="2123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结论(支持/部分/不支持)</w:t>
            </w:r>
          </w:p>
        </w:tc>
      </w:tr>
      <w:tr>
        <w:tc>
          <w:tcPr>
            <w:tcW w:type="dxa" w:w="115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sz w:val="18"/>
                <w:rFonts w:eastAsia="Noto Sans CJK SC" w:ascii="Calibri" w:hAnsi="Calibri"/>
              </w:rPr>
              <w:t>计算</w:t>
            </w:r>
          </w:p>
        </w:tc>
        <w:tc>
          <w:tcPr>
            <w:tcW w:type="dxa" w:w="154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H1–H6</w:t>
            </w:r>
          </w:p>
        </w:tc>
        <w:tc>
          <w:tcPr>
            <w:tcW w:type="dxa" w:w="250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（填）</w:t>
            </w:r>
          </w:p>
        </w:tc>
        <w:tc>
          <w:tcPr>
            <w:tcW w:type="dxa" w:w="231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（填）</w:t>
            </w:r>
          </w:p>
        </w:tc>
        <w:tc>
          <w:tcPr>
            <w:tcW w:type="dxa" w:w="2123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□</w:t>
            </w:r>
          </w:p>
        </w:tc>
      </w:tr>
      <w:tr>
        <w:tc>
          <w:tcPr>
            <w:tcW w:type="dxa" w:w="1158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sz w:val="18"/>
                <w:rFonts w:eastAsia="Noto Sans CJK SC" w:ascii="Calibri" w:hAnsi="Calibri"/>
              </w:rPr>
              <w:t>内存</w:t>
            </w:r>
          </w:p>
        </w:tc>
        <w:tc>
          <w:tcPr>
            <w:tcW w:type="dxa" w:w="1544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H7–H8</w:t>
            </w:r>
          </w:p>
        </w:tc>
        <w:tc>
          <w:tcPr>
            <w:tcW w:type="dxa" w:w="2508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（填）</w:t>
            </w:r>
          </w:p>
        </w:tc>
        <w:tc>
          <w:tcPr>
            <w:tcW w:type="dxa" w:w="2316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（填）</w:t>
            </w:r>
          </w:p>
        </w:tc>
        <w:tc>
          <w:tcPr>
            <w:tcW w:type="dxa" w:w="2123"/>
            <w:shd w:val="clear" w:color="auto" w:fill="EEF3F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□</w:t>
            </w:r>
          </w:p>
        </w:tc>
      </w:tr>
      <w:tr>
        <w:tc>
          <w:tcPr>
            <w:tcW w:type="dxa" w:w="1158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sz w:val="18"/>
                <w:rFonts w:eastAsia="Noto Sans CJK SC" w:ascii="Calibri" w:hAnsi="Calibri"/>
              </w:rPr>
              <w:t>通信</w:t>
            </w:r>
          </w:p>
        </w:tc>
        <w:tc>
          <w:tcPr>
            <w:tcW w:type="dxa" w:w="154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H9–H11</w:t>
            </w:r>
          </w:p>
        </w:tc>
        <w:tc>
          <w:tcPr>
            <w:tcW w:type="dxa" w:w="250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（填）</w:t>
            </w:r>
          </w:p>
        </w:tc>
        <w:tc>
          <w:tcPr>
            <w:tcW w:type="dxa" w:w="2316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（填）</w:t>
            </w:r>
          </w:p>
        </w:tc>
        <w:tc>
          <w:tcPr>
            <w:tcW w:type="dxa" w:w="2123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 w:val="0"/>
                <w:sz w:val="18"/>
                <w:rFonts w:eastAsia="Noto Sans CJK SC" w:ascii="Calibri" w:hAnsi="Calibri"/>
              </w:rPr>
              <w:t>□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1" w:color="BBBBBB"/>
        </w:pBdr>
      </w:pPr>
    </w:p>
    <w:p>
      <w:pPr>
        <w:keepNext/>
        <w:spacing w:before="180" w:after="100"/>
        <w:outlineLvl w:val="1"/>
      </w:pPr>
      <w:r>
        <w:rPr>
          <w:b/>
          <w:color w:val="1F4E79"/>
          <w:sz w:val="25"/>
          <w:rFonts w:eastAsia="Noto Sans CJK SC" w:ascii="Calibri" w:hAnsi="Calibri"/>
        </w:rPr>
        <w:t>附：本改写与原始 handbook 的主要差异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4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方面</w:t>
            </w:r>
          </w:p>
        </w:tc>
        <w:tc>
          <w:tcPr>
            <w:tcW w:type="dxa" w:w="3280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原始 handbook</w:t>
            </w:r>
          </w:p>
        </w:tc>
        <w:tc>
          <w:tcPr>
            <w:tcW w:type="dxa" w:w="4824"/>
            <w:shd w:val="clear" w:color="auto" w:fill="1F4E7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b/>
                <w:color w:val="FFFFFF"/>
                <w:sz w:val="19"/>
                <w:rFonts w:eastAsia="Noto Sans CJK SC" w:ascii="Calibri" w:hAnsi="Calibri"/>
              </w:rPr>
              <w:t>本改写</w:t>
            </w:r>
          </w:p>
        </w:tc>
      </w:tr>
      <w:tr>
        <w:tc>
          <w:tcPr>
            <w:tcW w:type="dxa" w:w="1544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适用范围</w:t>
            </w:r>
          </w:p>
        </w:tc>
        <w:tc>
          <w:tcPr>
            <w:tcW w:type="dxa" w:w="328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布匹专用</w:t>
            </w:r>
          </w:p>
        </w:tc>
        <w:tc>
          <w:tcPr>
            <w:tcW w:type="dxa" w:w="482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工业视觉异常/缺陷检测通用，布匹为实例</w:t>
            </w:r>
          </w:p>
        </w:tc>
      </w:tr>
      <w:tr>
        <w:tc>
          <w:tcPr>
            <w:tcW w:type="dxa" w:w="154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结论呈现</w:t>
            </w:r>
          </w:p>
        </w:tc>
        <w:tc>
          <w:tcPr>
            <w:tcW w:type="dxa" w:w="3280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预期结论全部标为成立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假设登记 H1–H11，结果留空、允许证伪</w:t>
            </w:r>
          </w:p>
        </w:tc>
      </w:tr>
      <w:tr>
        <w:tc>
          <w:tcPr>
            <w:tcW w:type="dxa" w:w="1544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阈值</w:t>
            </w:r>
          </w:p>
        </w:tc>
        <w:tc>
          <w:tcPr>
            <w:tcW w:type="dxa" w:w="328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猜测值当验证门槛</w:t>
            </w:r>
          </w:p>
        </w:tc>
        <w:tc>
          <w:tcPr>
            <w:tcW w:type="dxa" w:w="482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区分硬约束门槛 vs 文献先验</w:t>
            </w:r>
          </w:p>
        </w:tc>
      </w:tr>
      <w:tr>
        <w:tc>
          <w:tcPr>
            <w:tcW w:type="dxa" w:w="154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硬件</w:t>
            </w:r>
          </w:p>
        </w:tc>
        <w:tc>
          <w:tcPr>
            <w:tcW w:type="dxa" w:w="3280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默认端侧存在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区分实测/代理，代理显式标注</w:t>
            </w:r>
          </w:p>
        </w:tc>
      </w:tr>
      <w:tr>
        <w:tc>
          <w:tcPr>
            <w:tcW w:type="dxa" w:w="1544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注意力测试</w:t>
            </w:r>
          </w:p>
        </w:tc>
        <w:tc>
          <w:tcPr>
            <w:tcW w:type="dxa" w:w="328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全模型混测</w:t>
            </w:r>
          </w:p>
        </w:tc>
        <w:tc>
          <w:tcPr>
            <w:tcW w:type="dxa" w:w="482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注意力组 vs 卷积基线分组</w:t>
            </w:r>
          </w:p>
        </w:tc>
      </w:tr>
      <w:tr>
        <w:tc>
          <w:tcPr>
            <w:tcW w:type="dxa" w:w="154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数据集用法</w:t>
            </w:r>
          </w:p>
        </w:tc>
        <w:tc>
          <w:tcPr>
            <w:tcW w:type="dxa" w:w="3280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自由混用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实验×数据集×模型映射表锁定</w:t>
            </w:r>
          </w:p>
        </w:tc>
      </w:tr>
      <w:tr>
        <w:tc>
          <w:tcPr>
            <w:tcW w:type="dxa" w:w="1544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运维挑战</w:t>
            </w:r>
          </w:p>
        </w:tc>
        <w:tc>
          <w:tcPr>
            <w:tcW w:type="dxa" w:w="3280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无独立协议</w:t>
            </w:r>
          </w:p>
        </w:tc>
        <w:tc>
          <w:tcPr>
            <w:tcW w:type="dxa" w:w="4824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新增协同升级一致性测试</w:t>
            </w:r>
          </w:p>
        </w:tc>
      </w:tr>
      <w:tr>
        <w:tc>
          <w:tcPr>
            <w:tcW w:type="dxa" w:w="154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/>
                <w:sz w:val="19"/>
                <w:rFonts w:eastAsia="Noto Sans CJK SC" w:ascii="Calibri" w:hAnsi="Calibri"/>
              </w:rPr>
              <w:t>统计</w:t>
            </w:r>
          </w:p>
        </w:tc>
        <w:tc>
          <w:tcPr>
            <w:tcW w:type="dxa" w:w="3280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仅均值±标准差</w:t>
            </w:r>
          </w:p>
        </w:tc>
        <w:tc>
          <w:tcPr>
            <w:tcW w:type="dxa" w:w="4824"/>
            <w:shd w:val="clear" w:color="auto" w:fill="EEF3F8"/>
          </w:tcPr>
          <w:p>
            <w:pPr>
              <w:spacing w:after="20" w:before="20" w:line="252" w:lineRule="auto"/>
            </w:pPr>
            <w:r/>
            <w:r>
              <w:rPr>
                <w:b w:val="0"/>
                <w:sz w:val="19"/>
                <w:rFonts w:eastAsia="Noto Sans CJK SC" w:ascii="Calibri" w:hAnsi="Calibri"/>
              </w:rPr>
              <w:t>关键对照加置信区间/显著性</w:t>
            </w:r>
          </w:p>
        </w:tc>
      </w:tr>
    </w:tbl>
    <w:p>
      <w:pPr>
        <w:spacing w:after="40"/>
      </w:pPr>
    </w:p>
    <w:p>
      <w:pPr>
        <w:spacing w:before="0" w:after="40"/>
      </w:pPr>
      <w:r>
        <w:rPr>
          <w:b w:val="0"/>
          <w:i w:val="0"/>
          <w:sz w:val="21"/>
          <w:rFonts w:eastAsia="Noto Sans CJK SC" w:ascii="Calibri" w:hAnsi="Calibri"/>
        </w:rPr>
        <w:t xml:space="preserve"> </w:t>
      </w:r>
    </w:p>
    <w:p>
      <w:pPr>
        <w:spacing w:before="0" w:after="80"/>
      </w:pPr>
      <w:r>
        <w:rPr>
          <w:b/>
          <w:color w:val="595959"/>
          <w:sz w:val="17"/>
          <w:rFonts w:eastAsia="Noto Sans CJK SC" w:ascii="Calibri" w:hAnsi="Calibri"/>
        </w:rPr>
        <w:t>说明：</w:t>
      </w:r>
      <w:r>
        <w:rPr>
          <w:b w:val="0"/>
          <w:color w:val="595959"/>
          <w:sz w:val="17"/>
          <w:rFonts w:eastAsia="Noto Sans CJK SC" w:ascii="Calibri" w:hAnsi="Calibri"/>
        </w:rPr>
        <w:t>本报告为方法论评估与框架改写，不含实测数据；表中「待填/（填）」处需在按修复清单补齐条件后由实测填充。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Calibri" w:hAnsi="Calibri" w:eastAsia="Noto Sans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