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When Do International Networks Shape Political Alignment?</w:t>
      </w:r>
    </w:p>
    <w:p>
      <w:pPr>
        <w:pStyle w:val="BlockText"/>
      </w:pPr>
      <w:r>
        <w:t xml:space="preserve">Security Alliances, Economic Dependence, and Institutional Anchoring</w:t>
      </w:r>
    </w:p>
    <w:p>
      <w:pPr>
        <w:pStyle w:val="FirstParagraph"/>
      </w:pPr>
      <w:r>
        <w:t xml:space="preserve">During the Cold War</w:t>
      </w:r>
    </w:p>
    <w:p>
      <w:pPr>
        <w:pStyle w:val="BodyText"/>
      </w:pPr>
      <w:r>
        <w:t xml:space="preserve">[Author Name]</w:t>
      </w:r>
    </w:p>
    <w:p>
      <w:pPr>
        <w:pStyle w:val="BodyText"/>
      </w:pPr>
      <w:r>
        <w:rPr>
          <w:iCs/>
          <w:i/>
        </w:rPr>
        <w:t xml:space="preserve">[Affiliation]</w:t>
      </w:r>
    </w:p>
    <w:p>
      <w:pPr>
        <w:pStyle w:val="BodyText"/>
      </w:pPr>
      <w:r>
        <w:t xml:space="preserve">Draft: February 2026</w:t>
      </w:r>
    </w:p>
    <w:bookmarkStart w:id="20" w:name="abstract"/>
    <w:p>
      <w:pPr>
        <w:pStyle w:val="Heading1"/>
      </w:pPr>
      <w:r>
        <w:t xml:space="preserve">Abstract</w:t>
      </w:r>
    </w:p>
    <w:p>
      <w:pPr>
        <w:pStyle w:val="FirstParagraph"/>
      </w:pPr>
      <w:r>
        <w:t xml:space="preserve">When do the international networks binding states together actually reshape their political orientation, and when do such ties prove politically inert? This study constructs a multiplex network of 149 states during the Cold War (1945–1991), combining a security layer derived from military alliance treaties (ATOP) and arms transfers (SIPRI) with an exchange layer based on bilateral trade dependence (COW Trade 4.0). Using United Nations General Assembly ideal points as a continuous measure of political alignment, we estimate a panel model with country and time fixed effects to identify the independent contribution of each network layer to shifts in state positioning. Contrary to our initial expectation of a global effect, security network peer effects prove significant only in regions anchored by formal multilateral organizations—Latin America, Western Europe, and Eastern Europe/USSR—and vanish elsewhere. Economic dependence, once baseline alignment is controlled for, exhibits no significant independent effect on political positioning at the global level, though a marginal positive signal persists in Sub-Saharan Africa. The dominant dynamic across most regions turns out to be not network influence but mean reversion in state alignment. These findings challenge both liberal expectations that trade dependence promotes political convergence and realist assumptions that alliance effects are universal. We propose an</w:t>
      </w:r>
      <w:r>
        <w:t xml:space="preserve"> </w:t>
      </w:r>
      <w:r>
        <w:rPr>
          <w:iCs/>
          <w:i/>
        </w:rPr>
        <w:t xml:space="preserve">institutional anchoring</w:t>
      </w:r>
      <w:r>
        <w:t xml:space="preserve"> </w:t>
      </w:r>
      <w:r>
        <w:t xml:space="preserve">hypothesis: international networks transmit political influence effectively only where they are embedded in formal multilateral institutions that provide information-sharing, commitment mechanisms, and socialization channels. The framework speaks to ongoing debates about whether economic statecraft can reliably shift political alignment without institutional scaffolding.</w:t>
      </w:r>
    </w:p>
    <w:p>
      <w:pPr>
        <w:pStyle w:val="BodyText"/>
      </w:pPr>
      <w:r>
        <w:rPr>
          <w:bCs/>
          <w:b/>
        </w:rPr>
        <w:t xml:space="preserve">Keywords:</w:t>
      </w:r>
      <w:r>
        <w:rPr>
          <w:bCs/>
          <w:b/>
        </w:rPr>
        <w:t xml:space="preserve"> </w:t>
      </w:r>
      <w:r>
        <w:t xml:space="preserve">multiplex networks; political alignment; Cold War; security alliances; trade dependence; UNGA ideal points; institutional anchoring</w:t>
      </w:r>
    </w:p>
    <w:bookmarkEnd w:id="20"/>
    <w:bookmarkStart w:id="21" w:name="introduction"/>
    <w:p>
      <w:pPr>
        <w:pStyle w:val="Heading1"/>
      </w:pPr>
      <w:r>
        <w:t xml:space="preserve">1. Introduction</w:t>
      </w:r>
    </w:p>
    <w:p>
      <w:pPr>
        <w:pStyle w:val="FirstParagraph"/>
      </w:pPr>
      <w:r>
        <w:t xml:space="preserve">In 1961, Ghana under Kwame Nkrumah was simultaneously one of the largest recipients of Western development aid in Sub-Saharan Africa and a vocal champion of pan-Africanism with deepening ties to the Soviet Union. Turkey, by contrast, had been a founding member of NATO since 1952 and a major beneficiary of American military assistance; its voting record in the United Nations General Assembly remained firmly aligned with the Western bloc throughout the decade. Both states were enmeshed in dense webs of security and economic relations with the superpowers, yet one was tightly anchored to its patron’s political orbit while the other oscillated between rival camps. What accounts for this divergence? The contrast between Turkey and Ghana is of course a stylized illustration, but it captures a puzzle that motivated this study: when do the international networks in which states are embedded actually shape their political alignment, and when do they fail to do so?</w:t>
      </w:r>
    </w:p>
    <w:p>
      <w:pPr>
        <w:pStyle w:val="BodyText"/>
      </w:pPr>
      <w:r>
        <w:t xml:space="preserve">This question sits at the intersection of two long-standing debates in international relations. The first concerns the political consequences of economic interdependence. Liberal theorists have argued since Keohane and Nye (1977) that dense economic ties encourage political convergence and reduce conflict, while Hirschman (1945) established the foundational insight that trade can serve as an instrument of national power, creating asymmetric dependencies that dominant states exploit for political leverage. The more recent concept of</w:t>
      </w:r>
      <w:r>
        <w:t xml:space="preserve"> </w:t>
      </w:r>
      <w:r>
        <w:t xml:space="preserve">“</w:t>
      </w:r>
      <w:r>
        <w:t xml:space="preserve">weaponized interdependence</w:t>
      </w:r>
      <w:r>
        <w:t xml:space="preserve">”</w:t>
      </w:r>
      <w:r>
        <w:t xml:space="preserve"> </w:t>
      </w:r>
      <w:r>
        <w:t xml:space="preserve">(Farrell &amp; Newman, 2019) has reinvigorated this line of inquiry by demonstrating how states controlling central nodes in global economic networks can coerce others. The second debate concerns the mechanisms through which alliance commitments shape state behavior beyond their immediate security function—whether alliances merely reflect pre-existing preference similarity or actively produce political convergence over time (Cranmer, Desmarais, &amp; Menninga, 2012).</w:t>
      </w:r>
    </w:p>
    <w:p>
      <w:pPr>
        <w:pStyle w:val="BodyText"/>
      </w:pPr>
      <w:r>
        <w:t xml:space="preserve">Despite the richness of both literatures, they have developed in surprising isolation from each other and from the methodological toolkit of network science. Studies of trade and conflict typically examine dyadic relationships without accounting for the broader network structure in which those dyads are embedded (Cranmer, Leifeld, McClurg, &amp; Rolfe, 2017). Studies of alliance politics, conversely, rarely incorporate economic relationships as a parallel layer of influence. The emerging field of multiplex network analysis—which models states as nodes connected through multiple, potentially interdependent layers of relations—offers a natural framework for integrating these parallel streams. Yet multiplex methods have rarely been brought to bear on questions of political alignment, particularly in historical settings where the causal mechanisms have had decades to play out.</w:t>
      </w:r>
    </w:p>
    <w:p>
      <w:pPr>
        <w:pStyle w:val="BodyText"/>
      </w:pPr>
      <w:r>
        <w:t xml:space="preserve">We address this gap by constructing a two-layer network of international relations during the Cold War (1945–1991) and estimating the independent contribution of each layer to changes in state political alignment. The security layer captures military alliance commitments (from the Alliance Treaty Obligations and Provisions dataset) and arms transfer relationships (from SIPRI), while the exchange layer measures bilateral trade dependence (from the Correlates of War Trade dataset). Political alignment is operationalized using dynamic ideal point estimates derived from UNGA voting data (Bailey, Strezhnev, &amp; Voeten, 2017), which provide a continuous, time-varying measure of each state’s positioning on a spectrum from pro-Western to pro-Soviet orientation.</w:t>
      </w:r>
    </w:p>
    <w:p>
      <w:pPr>
        <w:pStyle w:val="BodyText"/>
      </w:pPr>
      <w:r>
        <w:t xml:space="preserve">Our empirical strategy employs a discrete-time panel regression with country and time fixed effects, estimating how the weighted average alignment of a state’s security and economic network neighbors in one five-year period predicts changes in that state’s own alignment in the subsequent period. This design leverages the temporal structure of the data to establish a plausible causal direction while controlling for time-invariant country characteristics and global trends in Cold War dynamics.</w:t>
      </w:r>
    </w:p>
    <w:p>
      <w:pPr>
        <w:pStyle w:val="BodyText"/>
      </w:pPr>
      <w:r>
        <w:t xml:space="preserve">Three findings emerge, two of which surprised us. First, security network peer effects are statistically significant and robust, but only in regions where alliances are embedded in formal multilateral organizations—specifically Latin America (the Inter-American Treaty of Reciprocal Assistance and the Organization of American States), Western Europe (NATO), and Eastern Europe (the Warsaw Pact). In Sub-Saharan Africa, the Middle East, and Asia-Pacific, where bilateral security ties predominate without overarching institutional frameworks, security network effects are indistinguishable from zero. Second, economic dependence—measured as the share of a state’s imports sourced from each trading partner—has no significant independent effect on political alignment at the global level once baseline alignment is controlled for. A marginal positive signal persists in Sub-Saharan Africa (p = 0.084), but the effect vanishes entirely in all other regions. Third, the strongest predictor of alignment change across most regions is the state’s own current alignment level, with a robustly negative coefficient indicating powerful mean reversion: states that have drifted toward one pole tend to drift back, suggesting an endogenous restoring force that outweighs external network pressures.</w:t>
      </w:r>
    </w:p>
    <w:p>
      <w:pPr>
        <w:pStyle w:val="BodyText"/>
      </w:pPr>
      <w:r>
        <w:t xml:space="preserve">These findings led us to propose what we call an</w:t>
      </w:r>
      <w:r>
        <w:t xml:space="preserve"> </w:t>
      </w:r>
      <w:r>
        <w:rPr>
          <w:iCs/>
          <w:i/>
        </w:rPr>
        <w:t xml:space="preserve">institutional anchoring</w:t>
      </w:r>
      <w:r>
        <w:t xml:space="preserve"> </w:t>
      </w:r>
      <w:r>
        <w:t xml:space="preserve">hypothesis: networks transmit political influence effectively only when embedded in formal multilateral institutions that sustain regular consultation, raise the cost of defection, and socialize elites into shared norms. We advance this hypothesis with some caution—our evidence is indirect, based on cross-regional variation rather than direct measurement of institutional mechanisms. But the pattern is striking enough to warrant the conjecture, and it generates predictions that future work can test with more granular data. If the hypothesis holds, it carries uncomfortable implications for the current policy enthusiasm around economic statecraft: trade dependence, development finance, and sanctions may shift political alignment less effectively than policymakers assume, unless backed by institutional architecture that locks participants into sustained engagement.</w:t>
      </w:r>
    </w:p>
    <w:bookmarkEnd w:id="21"/>
    <w:bookmarkStart w:id="26" w:name="X7796daf95009a7ae091f0d908b2d3176c57e188"/>
    <w:p>
      <w:pPr>
        <w:pStyle w:val="Heading1"/>
      </w:pPr>
      <w:r>
        <w:t xml:space="preserve">2. Literature Review and Theoretical Framework</w:t>
      </w:r>
    </w:p>
    <w:p>
      <w:pPr>
        <w:pStyle w:val="FirstParagraph"/>
      </w:pPr>
      <w:r>
        <w:t xml:space="preserve">Three distinct literatures inform this study. The first concerns the political consequences of economic interdependence; the second addresses how security alliances shape behavior beyond the military domain; the third applies network methods to international relations. Each has made considerable progress in isolation, but none has grappled seriously with the possibility that the same type of tie might transmit political influence in one institutional setting and not another. This is the gap we aim to exploit.</w:t>
      </w:r>
    </w:p>
    <w:bookmarkStart w:id="22" w:name="X0190a9eab4751d4e455a86054a39705d86b6ed6"/>
    <w:p>
      <w:pPr>
        <w:pStyle w:val="Heading2"/>
      </w:pPr>
      <w:r>
        <w:t xml:space="preserve">2.1 Economic Interdependence and Political Outcomes</w:t>
      </w:r>
    </w:p>
    <w:p>
      <w:pPr>
        <w:pStyle w:val="FirstParagraph"/>
      </w:pPr>
      <w:r>
        <w:t xml:space="preserve">That economic ties carry political consequences is among the oldest propositions in the study of international affairs, traceable at least to the Enlightenment’s</w:t>
      </w:r>
      <w:r>
        <w:t xml:space="preserve"> </w:t>
      </w:r>
      <w:r>
        <w:rPr>
          <w:iCs/>
          <w:i/>
        </w:rPr>
        <w:t xml:space="preserve">doux commerce</w:t>
      </w:r>
      <w:r>
        <w:t xml:space="preserve"> </w:t>
      </w:r>
      <w:r>
        <w:t xml:space="preserve">thesis. Its modern academic incarnation begins with Hirschman’s (1945)</w:t>
      </w:r>
      <w:r>
        <w:t xml:space="preserve"> </w:t>
      </w:r>
      <w:r>
        <w:rPr>
          <w:iCs/>
          <w:i/>
        </w:rPr>
        <w:t xml:space="preserve">National Power and the Structure of Foreign Trade</w:t>
      </w:r>
      <w:r>
        <w:t xml:space="preserve">, which demonstrated how trade relationships generate asymmetric dependencies that can be exploited as instruments of political coercion. Hirschman’s core insight—that the</w:t>
      </w:r>
      <w:r>
        <w:t xml:space="preserve"> </w:t>
      </w:r>
      <w:r>
        <w:t xml:space="preserve">“</w:t>
      </w:r>
      <w:r>
        <w:t xml:space="preserve">influence effect</w:t>
      </w:r>
      <w:r>
        <w:t xml:space="preserve">”</w:t>
      </w:r>
      <w:r>
        <w:t xml:space="preserve"> </w:t>
      </w:r>
      <w:r>
        <w:t xml:space="preserve">of trade arises not from its volume but from the costliness of its interruption—remains foundational. His analysis of how Nazi Germany leveraged trade concentration to subordinate Southeastern European states in the 1930s established a template that resonates with contemporary discussions of economic statecraft.</w:t>
      </w:r>
    </w:p>
    <w:p>
      <w:pPr>
        <w:pStyle w:val="BodyText"/>
      </w:pPr>
      <w:r>
        <w:t xml:space="preserve">Keohane and Nye (1977) gave this tradition a more optimistic inflection. Their theory of complex interdependence posited that dense economic linkages create multiple channels of contact, reduce the salience of military force, and generate mutual vulnerability that incentivizes cooperation. The commercial peace thesis, systematically tested by Oneal and Russett (1997), extended this logic by arguing that bilateral trade reduces the probability of militarized conflict between dyads. In the political alignment domain, the implication is that trade partners should converge in their foreign policy positions—a prediction that would correspond to a positive and significant coefficient on economic network peer effects in our model.</w:t>
      </w:r>
    </w:p>
    <w:p>
      <w:pPr>
        <w:pStyle w:val="BodyText"/>
      </w:pPr>
      <w:r>
        <w:t xml:space="preserve">A sharply contrasting account comes from the dependency tradition. Building on the structuralist tradition of Prebisch and the CEPAL school, scholars such as Cardoso and Faletto (1979) argued that economic integration between core and peripheral states perpetuates structural inequality rather than fostering convergence. Wallerstein’s (1974) world-systems framework extended this critique to the global level, theorizing that the international division of labor systematically transfers surplus from periphery to core, reinforcing political subordination. In this view, economic dependence should either produce coerced compliance (positive coefficient) or, where peripheral elites resist, nationalist backlash (negative coefficient). The empirical record has not decisively adjudicated between these alternatives, in part because most studies examine dyadic trade–conflict relationships rather than the broader network structure of economic and political ties.</w:t>
      </w:r>
    </w:p>
    <w:p>
      <w:pPr>
        <w:pStyle w:val="BodyText"/>
      </w:pPr>
      <w:r>
        <w:t xml:space="preserve">Farrell and Newman (2019) have reframed this entire debate through the lens of network topology. Their concept of</w:t>
      </w:r>
      <w:r>
        <w:t xml:space="preserve"> </w:t>
      </w:r>
      <w:r>
        <w:t xml:space="preserve">“</w:t>
      </w:r>
      <w:r>
        <w:t xml:space="preserve">weaponized interdependence</w:t>
      </w:r>
      <w:r>
        <w:t xml:space="preserve">”</w:t>
      </w:r>
      <w:r>
        <w:t xml:space="preserve"> </w:t>
      </w:r>
      <w:r>
        <w:t xml:space="preserve">demonstrates that states occupying central positions in global economic networks—financial messaging systems, internet infrastructure, supply chains—can exploit structural asymmetries to coerce others through</w:t>
      </w:r>
      <w:r>
        <w:t xml:space="preserve"> </w:t>
      </w:r>
      <w:r>
        <w:t xml:space="preserve">“</w:t>
      </w:r>
      <w:r>
        <w:t xml:space="preserve">panopticon</w:t>
      </w:r>
      <w:r>
        <w:t xml:space="preserve">”</w:t>
      </w:r>
      <w:r>
        <w:t xml:space="preserve"> </w:t>
      </w:r>
      <w:r>
        <w:t xml:space="preserve">and</w:t>
      </w:r>
      <w:r>
        <w:t xml:space="preserve"> </w:t>
      </w:r>
      <w:r>
        <w:t xml:space="preserve">“</w:t>
      </w:r>
      <w:r>
        <w:t xml:space="preserve">chokepoint</w:t>
      </w:r>
      <w:r>
        <w:t xml:space="preserve">”</w:t>
      </w:r>
      <w:r>
        <w:t xml:space="preserve"> </w:t>
      </w:r>
      <w:r>
        <w:t xml:space="preserve">effects. While their theoretical framework concerns coercive capability rather than alignment convergence, it shares with our study the foundational premise that network structure, not merely bilateral ties, determines the political consequences of economic relationships. Drezner’s (2024) comprehensive review of the economic sanctions literature reinforces this point, noting that the effectiveness of economic coercion depends critically on the target’s ability to find alternative partners—a property that is inherently networked.</w:t>
      </w:r>
    </w:p>
    <w:bookmarkEnd w:id="22"/>
    <w:bookmarkStart w:id="23" w:name="X596ef6bd52c8bf75bf381fd2f1bda2be7d843d7"/>
    <w:p>
      <w:pPr>
        <w:pStyle w:val="Heading2"/>
      </w:pPr>
      <w:r>
        <w:t xml:space="preserve">2.2 Security Alliances and Political Convergence</w:t>
      </w:r>
    </w:p>
    <w:p>
      <w:pPr>
        <w:pStyle w:val="FirstParagraph"/>
      </w:pPr>
      <w:r>
        <w:t xml:space="preserve">Alliance scholars have been far more interested in why states form alliances than in what alliances do to their members’ broader political orientations once formed. Walt’s (1987) balance-of-threat theory explains alliance formation as a response to perceived threats, while Snyder’s (1997) alliance dilemma framework highlights the tension between entrapment and abandonment that shapes alliance management. Neither theory, however, addresses the question of whether alliance membership systematically shifts states’ foreign policy positions beyond the security domain.</w:t>
      </w:r>
    </w:p>
    <w:p>
      <w:pPr>
        <w:pStyle w:val="BodyText"/>
      </w:pPr>
      <w:r>
        <w:t xml:space="preserve">The available evidence is mixed. Lai and Reiter (2000) found that alliance ties predict similarity in UNGA voting patterns, but their cross-sectional design could not distinguish cause from effect—states may form alliances because they already share political preferences rather than converge as a result of alliance membership. Mattes, Leeds, and Carroll (2015) showed that leadership turnover can shift a state’s foreign policy orientation, suggesting that alignment is at least partially endogenous to domestic politics rather than determined by external network position. The network-analytic turn in alliance studies, exemplified by Cranmer, Desmarais, and Menninga’s (2012) application of exponential random graph models to the alliance network, has revealed complex dependencies that standard regression approaches fail to capture but has focused primarily on alliance formation rather than on the downstream consequences for political alignment.</w:t>
      </w:r>
    </w:p>
    <w:p>
      <w:pPr>
        <w:pStyle w:val="BodyText"/>
      </w:pPr>
      <w:r>
        <w:t xml:space="preserve">What remains missing is a systematic comparison of security and economic channels within a single empirical framework. Cranmer, Desmarais, and Kirkland (2012) moved toward a network theory of alliance formation, and Kinne (2024) has examined cooperative spillover between defense cooperation agreements and bilateral investment treaties as a two-layer multiplex network. Yet no study, to our knowledge, has simultaneously estimated the effects of security and economic network embeddedness on political alignment using a common empirical framework—a gap that the present study aims to fill.</w:t>
      </w:r>
    </w:p>
    <w:bookmarkEnd w:id="23"/>
    <w:bookmarkStart w:id="24" w:name="Xe60a06ee28c54466a42b47953e81fe3060908ca"/>
    <w:p>
      <w:pPr>
        <w:pStyle w:val="Heading2"/>
      </w:pPr>
      <w:r>
        <w:t xml:space="preserve">2.3 Network Analysis in International Relations</w:t>
      </w:r>
    </w:p>
    <w:p>
      <w:pPr>
        <w:pStyle w:val="FirstParagraph"/>
      </w:pPr>
      <w:r>
        <w:t xml:space="preserve">The research agenda for network analysis in IR was established by Hafner-Burton, Kahler, and Montgomery’s (2009) review in</w:t>
      </w:r>
      <w:r>
        <w:t xml:space="preserve"> </w:t>
      </w:r>
      <w:r>
        <w:rPr>
          <w:iCs/>
          <w:i/>
        </w:rPr>
        <w:t xml:space="preserve">International Organization</w:t>
      </w:r>
      <w:r>
        <w:t xml:space="preserve">, which identified three forms of network power (access, brokerage, and exit options) and urged the field to move beyond network description toward inferential hypothesis-testing. Considerable progress followed. Cranmer and Desmarais (2011) developed inferential methods based on exponential random graph models suitable for political network data. Ward, Stovel, and Sacks (2011) reviewed the state of network analysis in political science more broadly, while Cranmer et al. (2017) provided a practical guide to navigating the growing range of inferential tools available.</w:t>
      </w:r>
    </w:p>
    <w:p>
      <w:pPr>
        <w:pStyle w:val="BodyText"/>
      </w:pPr>
      <w:r>
        <w:t xml:space="preserve">The multiplex or multilayer network perspective—which models states as connected through multiple distinct types of relations simultaneously—is a more recent development. Walasek and Beal (2022) applied community detection to a multiplex network comprising trade, alliance, and UNGA voting layers, finding that communities based on diplomatic affinity predict conflict onset more effectively than those based on observed cooperation. Kinne (2024) modeled the coevolution of defense cooperation and investment treaty networks, demonstrating significant cross-layer spillover effects. These studies confirm that treating international relations as a single-layer phenomenon risks missing important cross-domain dynamics.</w:t>
      </w:r>
    </w:p>
    <w:p>
      <w:pPr>
        <w:pStyle w:val="BodyText"/>
      </w:pPr>
      <w:r>
        <w:t xml:space="preserve">Yet this multiplex literature has focused predominantly on network formation—why states form ties in one domain given their ties in another—rather than on using network structure to explain political outcomes. Our contribution lies precisely in this shift of focus: we take the multiplex network as given and ask what it does to the political alignment of the states embedded within it.</w:t>
      </w:r>
    </w:p>
    <w:bookmarkEnd w:id="24"/>
    <w:bookmarkStart w:id="25" w:name="X22d2d8cd88ee4b8070178fed22d9fc76c39e022"/>
    <w:p>
      <w:pPr>
        <w:pStyle w:val="Heading2"/>
      </w:pPr>
      <w:r>
        <w:t xml:space="preserve">2.4 Theoretical Framework: Institutional Anchoring</w:t>
      </w:r>
    </w:p>
    <w:p>
      <w:pPr>
        <w:pStyle w:val="FirstParagraph"/>
      </w:pPr>
      <w:r>
        <w:t xml:space="preserve">A thread running through all three literatures is an often unstated assumption: that the political effects of international networks are uniform across contexts. Liberal interdependence theory predicts that trade promotes convergence everywhere; balance-of-threat theory implies that alliances constrain alignment universally; network models typically estimate a single parameter for each type of tie. Our empirical strategy is designed to test whether this assumption holds by allowing the effects of security and economic network embeddedness to vary across regions.</w:t>
      </w:r>
    </w:p>
    <w:p>
      <w:pPr>
        <w:pStyle w:val="BodyText"/>
      </w:pPr>
      <w:r>
        <w:t xml:space="preserve">We start from the observation that formal multilateral institutions varied dramatically across Cold War regions—from the tightly institutionalized NATO and Warsaw Pact in Europe to the near-total absence of comparable security architectures in Sub-Saharan Africa. This variation motivates what we call the</w:t>
      </w:r>
      <w:r>
        <w:t xml:space="preserve"> </w:t>
      </w:r>
      <w:r>
        <w:rPr>
          <w:iCs/>
          <w:i/>
        </w:rPr>
        <w:t xml:space="preserve">institutional anchoring</w:t>
      </w:r>
      <w:r>
        <w:t xml:space="preserve"> </w:t>
      </w:r>
      <w:r>
        <w:t xml:space="preserve">framework. The core proposition is that international networks transmit political influence effectively only when embedded in formal multilateral institutions. We identify three mechanisms through which such institutions might amplify network effects, though we acknowledge upfront that our data do not allow us to test these mechanisms directly.</w:t>
      </w:r>
    </w:p>
    <w:p>
      <w:pPr>
        <w:pStyle w:val="BodyText"/>
      </w:pPr>
      <w:r>
        <w:t xml:space="preserve">The first mechanism is preference coordination through regular contact. NATO’s North Atlantic Council met at the ambassadorial level weekly throughout the Cold War—a frequency of elite interaction that no collection of bilateral relationships can replicate. Such routine consultation creates opportunities for states to learn about each other’s positions, negotiate compromises, and gradually harmonize their stances before votes are cast.</w:t>
      </w:r>
    </w:p>
    <w:p>
      <w:pPr>
        <w:pStyle w:val="BodyText"/>
      </w:pPr>
      <w:r>
        <w:t xml:space="preserve">The second is commitment credibility. Multilateral institutions embed alliance commitments in formal treaty frameworks with established procedures for collective action, making political defection costlier. Withdrawing from NATO is a qualitatively different act from letting a bilateral defense memorandum lapse. This asymmetry in exit costs should generate stronger lock-in effects on political alignment.</w:t>
      </w:r>
    </w:p>
    <w:p>
      <w:pPr>
        <w:pStyle w:val="BodyText"/>
      </w:pPr>
      <w:r>
        <w:t xml:space="preserve">The third is socialization. Decades of shared institutional environments—joint exercises, diplomatic academies, parliamentary assemblies—can gradually reshape how elites see the world, a process that constructivists have documented in other institutional settings (Johnston, 2001; Checkel, 2005). This mechanism is the hardest to observe, but over the four decades of the Cold War, its cumulative effects may have been substantial.</w:t>
      </w:r>
    </w:p>
    <w:p>
      <w:pPr>
        <w:pStyle w:val="BodyText"/>
      </w:pPr>
      <w:r>
        <w:t xml:space="preserve">We cannot test these mechanisms directly with our data—doing so would require fine-grained information on institutional participation that lies beyond our current scope. What we can do is examine whether the regional pattern of results is consistent with the framework: significant security effects where multilateral institutions existed, insignificant effects where they did not. We treat this as a plausibility probe rather than a definitive test.</w:t>
      </w:r>
    </w:p>
    <w:bookmarkEnd w:id="25"/>
    <w:bookmarkEnd w:id="26"/>
    <w:bookmarkStart w:id="31" w:name="data-and-network-construction"/>
    <w:p>
      <w:pPr>
        <w:pStyle w:val="Heading1"/>
      </w:pPr>
      <w:r>
        <w:t xml:space="preserve">3. Data and Network Construction</w:t>
      </w:r>
    </w:p>
    <w:p>
      <w:pPr>
        <w:pStyle w:val="FirstParagraph"/>
      </w:pPr>
      <w:r>
        <w:t xml:space="preserve">This section describes how we constructed the three components of our empirical framework: the security network, the exchange network, and the political alignment measure. All data are organized into ten five-year windows spanning 1945– 1994, with the number of states in each window growing from 49 to 149 as newly independent states enter the international system. For each window, we construct adjacency matrices for the two network layers and compute alignment values from an independent data source, then align all three components to a common set of states through intersection.</w:t>
      </w:r>
    </w:p>
    <w:bookmarkStart w:id="27" w:name="X517d571bff25a6b28841dd270d2526d97118752"/>
    <w:p>
      <w:pPr>
        <w:pStyle w:val="Heading2"/>
      </w:pPr>
      <w:r>
        <w:t xml:space="preserve">3.1 Security Layer: Alliance Treaties and Arms Transfers</w:t>
      </w:r>
    </w:p>
    <w:p>
      <w:pPr>
        <w:pStyle w:val="FirstParagraph"/>
      </w:pPr>
      <w:r>
        <w:t xml:space="preserve">The security layer draws on two complementary data sources that together capture the structure of military cooperation and security dependence: the Alliance Treaty Obligations and Provisions (ATOP) dataset, version 5.0 (Leeds et al., 2002), which records formal military alliance treaties and their specific provisions; and the Stockholm International Peace Research Institute (SIPRI) Arms Transfers Database, which records international transfers of major conventional weapons.</w:t>
      </w:r>
    </w:p>
    <w:p>
      <w:pPr>
        <w:pStyle w:val="BodyText"/>
      </w:pPr>
      <w:r>
        <w:t xml:space="preserve">From ATOP, we extract all bilateral treaty-pairs active in each five-year window and assign weights according to the most demanding obligation contained in the treaty. Following the ordinal hierarchy of alliance commitments established in the ATOP coding scheme, we assign a weight of 1.0 to defense pacts (which entail an obligation to use military force in defense of an ally), 0.5 to nonaggression pacts (which commit signatories to refrain from the use of force against each other), and 0.2 to consultation pacts (which require only that parties consult in the event of a crisis). Offensive alliances are rare in the Cold War period and are coded at 1.0 alongside defense pacts. Where multiple treaties of different types exist between the same pair of states in a given window, the maximum weight is retained.</w:t>
      </w:r>
    </w:p>
    <w:p>
      <w:pPr>
        <w:pStyle w:val="BodyText"/>
      </w:pPr>
      <w:r>
        <w:t xml:space="preserve">From SIPRI, we compute a normalized arms transfer dependency score for each directed state pair. The raw transfer volume (measured in SIPRI’s Trend Indicator Value, which approximates the military capability transferred rather than financial value) is divided by the recipient state’s total arms imports in the same window, yielding a proportion in [0, 1] that captures the extent to which state</w:t>
      </w:r>
      <w:r>
        <w:t xml:space="preserve"> </w:t>
      </w:r>
      <w:r>
        <w:rPr>
          <w:iCs/>
          <w:i/>
        </w:rPr>
        <w:t xml:space="preserve">i</w:t>
      </w:r>
      <w:r>
        <w:t xml:space="preserve"> </w:t>
      </w:r>
      <w:r>
        <w:t xml:space="preserve">depends on state</w:t>
      </w:r>
      <w:r>
        <w:t xml:space="preserve"> </w:t>
      </w:r>
      <w:r>
        <w:rPr>
          <w:iCs/>
          <w:i/>
        </w:rPr>
        <w:t xml:space="preserve">j</w:t>
      </w:r>
      <w:r>
        <w:t xml:space="preserve"> </w:t>
      </w:r>
      <w:r>
        <w:t xml:space="preserve">for its arms supplies.</w:t>
      </w:r>
    </w:p>
    <w:p>
      <w:pPr>
        <w:pStyle w:val="BodyText"/>
      </w:pPr>
      <w:r>
        <w:t xml:space="preserve">The two sources are merged via an outer join on the state-pair–window key, with missing values filled as zero. The final security weight for each state pair is defined as the maximum of the ATOP treaty weight and the SIPRI arms dependency score:</w:t>
      </w:r>
    </w:p>
    <w:p>
      <w:pPr>
        <w:pStyle w:val="BodyText"/>
      </w:pPr>
      <w:r>
        <w:rPr>
          <w:iCs/>
          <w:i/>
        </w:rPr>
        <w:t xml:space="preserve">Wij</w:t>
      </w:r>
      <w:r>
        <w:t xml:space="preserve">Sec = max(</w:t>
      </w:r>
      <w:r>
        <w:rPr>
          <w:iCs/>
          <w:i/>
        </w:rPr>
        <w:t xml:space="preserve">Wij</w:t>
      </w:r>
      <w:r>
        <w:t xml:space="preserve">ATOP,</w:t>
      </w:r>
      <w:r>
        <w:t xml:space="preserve"> </w:t>
      </w:r>
      <w:r>
        <w:rPr>
          <w:iCs/>
          <w:i/>
        </w:rPr>
        <w:t xml:space="preserve">Wij</w:t>
      </w:r>
      <w:r>
        <w:t xml:space="preserve">SIPRI)</w:t>
      </w:r>
    </w:p>
    <w:p>
      <w:pPr>
        <w:pStyle w:val="BodyText"/>
      </w:pPr>
      <w:r>
        <w:t xml:space="preserve">The rationale for using the maximum rather than a weighted sum is that the two indicators capture overlapping but conceptually distinct dimensions of security cooperation: a formal defense pact and a large arms transfer both indicate a strong security relationship, and their co-occurrence should not be double-counted. The resulting matrix</w:t>
      </w:r>
      <w:r>
        <w:t xml:space="preserve"> </w:t>
      </w:r>
      <w:r>
        <w:rPr>
          <w:iCs/>
          <w:i/>
          <w:bCs/>
          <w:b/>
        </w:rPr>
        <w:t xml:space="preserve">A</w:t>
      </w:r>
      <w:r>
        <w:rPr>
          <w:vertAlign w:val="superscript"/>
        </w:rPr>
        <w:t xml:space="preserve">Sec</w:t>
      </w:r>
      <w:r>
        <w:t xml:space="preserve">(</w:t>
      </w:r>
      <w:r>
        <w:rPr>
          <w:iCs/>
          <w:i/>
        </w:rPr>
        <w:t xml:space="preserve">t</w:t>
      </w:r>
      <w:r>
        <w:t xml:space="preserve">) is symmetric, reflecting the assumption that formal alliance commitments create mutual obligations. Diagonal entries are set to zero. As a robustness check (reported in the Appendix), we also construct an alternative version using a weighted average with equal weights (</w:t>
      </w:r>
      <w:r>
        <w:rPr>
          <w:iCs/>
          <w:i/>
        </w:rPr>
        <w:t xml:space="preserve">ω</w:t>
      </w:r>
      <w:r>
        <w:t xml:space="preserve">₁ =</w:t>
      </w:r>
      <w:r>
        <w:t xml:space="preserve"> </w:t>
      </w:r>
      <w:r>
        <w:rPr>
          <w:iCs/>
          <w:i/>
        </w:rPr>
        <w:t xml:space="preserve">ω</w:t>
      </w:r>
      <w:r>
        <w:t xml:space="preserve">₂ = 0.5), which produces substantively similar results.</w:t>
      </w:r>
    </w:p>
    <w:bookmarkEnd w:id="27"/>
    <w:bookmarkStart w:id="28" w:name="X259f304f1af5fe7b85da233547c0a231b3a39c2"/>
    <w:p>
      <w:pPr>
        <w:pStyle w:val="Heading2"/>
      </w:pPr>
      <w:r>
        <w:t xml:space="preserve">3.2 Exchange Layer: Bilateral Trade Dependence</w:t>
      </w:r>
    </w:p>
    <w:p>
      <w:pPr>
        <w:pStyle w:val="FirstParagraph"/>
      </w:pPr>
      <w:r>
        <w:t xml:space="preserve">The exchange layer captures the structure of economic dependence among states, operationalized through bilateral trade flows. We use the Correlates of War Bilateral Trade Dataset, version 4.0 (Barbieri, Keshk, &amp; Pollins, 2009), which records directed bilateral trade flows (imports and exports) in current US dollars for all state dyads from 1870 to 2014.</w:t>
      </w:r>
    </w:p>
    <w:p>
      <w:pPr>
        <w:pStyle w:val="BodyText"/>
      </w:pPr>
      <w:r>
        <w:t xml:space="preserve">Following the COW codebook,</w:t>
      </w:r>
      <w:r>
        <w:t xml:space="preserve"> </w:t>
      </w:r>
      <w:r>
        <w:rPr>
          <w:iCs/>
          <w:i/>
        </w:rPr>
        <w:t xml:space="preserve">flow1</w:t>
      </w:r>
      <w:r>
        <w:t xml:space="preserve"> </w:t>
      </w:r>
      <w:r>
        <w:t xml:space="preserve">records the import value of state</w:t>
      </w:r>
      <w:r>
        <w:t xml:space="preserve"> </w:t>
      </w:r>
      <w:r>
        <w:rPr>
          <w:iCs/>
          <w:i/>
        </w:rPr>
        <w:t xml:space="preserve">ccode1</w:t>
      </w:r>
      <w:r>
        <w:t xml:space="preserve"> </w:t>
      </w:r>
      <w:r>
        <w:t xml:space="preserve">from state</w:t>
      </w:r>
      <w:r>
        <w:t xml:space="preserve"> </w:t>
      </w:r>
      <w:r>
        <w:rPr>
          <w:iCs/>
          <w:i/>
        </w:rPr>
        <w:t xml:space="preserve">ccode2</w:t>
      </w:r>
      <w:r>
        <w:t xml:space="preserve">, and</w:t>
      </w:r>
      <w:r>
        <w:t xml:space="preserve"> </w:t>
      </w:r>
      <w:r>
        <w:rPr>
          <w:iCs/>
          <w:i/>
        </w:rPr>
        <w:t xml:space="preserve">flow2</w:t>
      </w:r>
      <w:r>
        <w:t xml:space="preserve"> </w:t>
      </w:r>
      <w:r>
        <w:t xml:space="preserve">records the import value of</w:t>
      </w:r>
      <w:r>
        <w:t xml:space="preserve"> </w:t>
      </w:r>
      <w:r>
        <w:rPr>
          <w:iCs/>
          <w:i/>
        </w:rPr>
        <w:t xml:space="preserve">ccode2</w:t>
      </w:r>
      <w:r>
        <w:t xml:space="preserve"> </w:t>
      </w:r>
      <w:r>
        <w:t xml:space="preserve">from</w:t>
      </w:r>
      <w:r>
        <w:t xml:space="preserve"> </w:t>
      </w:r>
      <w:r>
        <w:rPr>
          <w:iCs/>
          <w:i/>
        </w:rPr>
        <w:t xml:space="preserve">ccode1</w:t>
      </w:r>
      <w:r>
        <w:t xml:space="preserve">. Missing values (coded as −9 in the original data) are treated as missing and excluded from calculations. From these directed flows, we construct a trade dependence measure that captures the extent to which state</w:t>
      </w:r>
      <w:r>
        <w:t xml:space="preserve"> </w:t>
      </w:r>
      <w:r>
        <w:rPr>
          <w:iCs/>
          <w:i/>
        </w:rPr>
        <w:t xml:space="preserve">i</w:t>
      </w:r>
      <w:r>
        <w:t xml:space="preserve">’s import portfolio is concentrated on state</w:t>
      </w:r>
      <w:r>
        <w:t xml:space="preserve"> </w:t>
      </w:r>
      <w:r>
        <w:rPr>
          <w:iCs/>
          <w:i/>
        </w:rPr>
        <w:t xml:space="preserve">j</w:t>
      </w:r>
      <w:r>
        <w:t xml:space="preserve">:</w:t>
      </w:r>
    </w:p>
    <w:p>
      <w:pPr>
        <w:pStyle w:val="BodyText"/>
      </w:pPr>
      <w:r>
        <w:rPr>
          <w:iCs/>
          <w:i/>
        </w:rPr>
        <w:t xml:space="preserve">A</w:t>
      </w:r>
      <w:r>
        <w:rPr>
          <w:iCs/>
          <w:i/>
          <w:vertAlign w:val="superscript"/>
        </w:rPr>
        <w:t xml:space="preserve">ij</w:t>
      </w:r>
      <w:r>
        <w:rPr>
          <w:vertAlign w:val="superscript"/>
        </w:rPr>
        <w:t xml:space="preserve">Exch</w:t>
      </w:r>
      <w:r>
        <w:t xml:space="preserve">(</w:t>
      </w:r>
      <w:r>
        <w:rPr>
          <w:iCs/>
          <w:i/>
        </w:rPr>
        <w:t xml:space="preserve">t</w:t>
      </w:r>
      <w:r>
        <w:t xml:space="preserve">) = imports</w:t>
      </w:r>
      <w:r>
        <w:rPr>
          <w:vertAlign w:val="subscript"/>
        </w:rPr>
        <w:t xml:space="preserve">i←j</w:t>
      </w:r>
      <w:r>
        <w:t xml:space="preserve">(</w:t>
      </w:r>
      <w:r>
        <w:rPr>
          <w:iCs/>
          <w:i/>
        </w:rPr>
        <w:t xml:space="preserve">t</w:t>
      </w:r>
      <w:r>
        <w:t xml:space="preserve">) / Σ</w:t>
      </w:r>
      <w:r>
        <w:rPr>
          <w:vertAlign w:val="subscript"/>
        </w:rPr>
        <w:t xml:space="preserve">k</w:t>
      </w:r>
      <w:r>
        <w:t xml:space="preserve"> </w:t>
      </w:r>
      <w:r>
        <w:t xml:space="preserve">imports</w:t>
      </w:r>
      <w:r>
        <w:rPr>
          <w:vertAlign w:val="subscript"/>
        </w:rPr>
        <w:t xml:space="preserve">i←k</w:t>
      </w:r>
      <w:r>
        <w:t xml:space="preserve">(</w:t>
      </w:r>
      <w:r>
        <w:rPr>
          <w:iCs/>
          <w:i/>
        </w:rPr>
        <w:t xml:space="preserve">t</w:t>
      </w:r>
      <w:r>
        <w:t xml:space="preserve">)</w:t>
      </w:r>
    </w:p>
    <w:p>
      <w:pPr>
        <w:pStyle w:val="BodyText"/>
      </w:pPr>
      <w:r>
        <w:t xml:space="preserve">where the numerator is the total value of</w:t>
      </w:r>
      <w:r>
        <w:t xml:space="preserve"> </w:t>
      </w:r>
      <w:r>
        <w:rPr>
          <w:iCs/>
          <w:i/>
        </w:rPr>
        <w:t xml:space="preserve">i</w:t>
      </w:r>
      <w:r>
        <w:t xml:space="preserve">’s imports from</w:t>
      </w:r>
      <w:r>
        <w:t xml:space="preserve"> </w:t>
      </w:r>
      <w:r>
        <w:rPr>
          <w:iCs/>
          <w:i/>
        </w:rPr>
        <w:t xml:space="preserve">j</w:t>
      </w:r>
      <w:r>
        <w:t xml:space="preserve"> </w:t>
      </w:r>
      <w:r>
        <w:t xml:space="preserve">within the five-year window and the denominator is</w:t>
      </w:r>
      <w:r>
        <w:t xml:space="preserve"> </w:t>
      </w:r>
      <w:r>
        <w:rPr>
          <w:iCs/>
          <w:i/>
        </w:rPr>
        <w:t xml:space="preserve">i</w:t>
      </w:r>
      <w:r>
        <w:t xml:space="preserve">’s total imports from all partners in the same window. This yields a value in [0, 1] representing the share of</w:t>
      </w:r>
      <w:r>
        <w:t xml:space="preserve"> </w:t>
      </w:r>
      <w:r>
        <w:rPr>
          <w:iCs/>
          <w:i/>
        </w:rPr>
        <w:t xml:space="preserve">i</w:t>
      </w:r>
      <w:r>
        <w:t xml:space="preserve">’s import market supplied by</w:t>
      </w:r>
      <w:r>
        <w:t xml:space="preserve"> </w:t>
      </w:r>
      <w:r>
        <w:rPr>
          <w:iCs/>
          <w:i/>
        </w:rPr>
        <w:t xml:space="preserve">j</w:t>
      </w:r>
      <w:r>
        <w:t xml:space="preserve">. The resulting matrix is</w:t>
      </w:r>
      <w:r>
        <w:t xml:space="preserve"> </w:t>
      </w:r>
      <w:r>
        <w:rPr>
          <w:iCs/>
          <w:i/>
        </w:rPr>
        <w:t xml:space="preserve">asymmetric</w:t>
      </w:r>
      <w:r>
        <w:t xml:space="preserve"> </w:t>
      </w:r>
      <w:r>
        <w:t xml:space="preserve">by construction: state</w:t>
      </w:r>
      <w:r>
        <w:t xml:space="preserve"> </w:t>
      </w:r>
      <w:r>
        <w:rPr>
          <w:iCs/>
          <w:i/>
        </w:rPr>
        <w:t xml:space="preserve">i</w:t>
      </w:r>
      <w:r>
        <w:t xml:space="preserve">’s dependence on</w:t>
      </w:r>
      <w:r>
        <w:t xml:space="preserve"> </w:t>
      </w:r>
      <w:r>
        <w:rPr>
          <w:iCs/>
          <w:i/>
        </w:rPr>
        <w:t xml:space="preserve">j</w:t>
      </w:r>
      <w:r>
        <w:t xml:space="preserve"> </w:t>
      </w:r>
      <w:r>
        <w:t xml:space="preserve">generally differs from</w:t>
      </w:r>
      <w:r>
        <w:t xml:space="preserve"> </w:t>
      </w:r>
      <w:r>
        <w:rPr>
          <w:iCs/>
          <w:i/>
        </w:rPr>
        <w:t xml:space="preserve">j</w:t>
      </w:r>
      <w:r>
        <w:t xml:space="preserve">’s dependence on</w:t>
      </w:r>
      <w:r>
        <w:t xml:space="preserve"> </w:t>
      </w:r>
      <w:r>
        <w:rPr>
          <w:iCs/>
          <w:i/>
        </w:rPr>
        <w:t xml:space="preserve">i</w:t>
      </w:r>
      <w:r>
        <w:t xml:space="preserve">, reflecting the directional nature of economic vulnerability. Each row sums to approximately one (minor deviations arise from the averaging of annual proportions within each five-year window).</w:t>
      </w:r>
    </w:p>
    <w:p>
      <w:pPr>
        <w:pStyle w:val="BodyText"/>
      </w:pPr>
      <w:r>
        <w:t xml:space="preserve">We chose import dependence rather than total trade volume because our question is about political leverage, not commercial integration. A small state that imports 40% of its goods from a single superpower faces a qualitatively different situation than a large economy for which the same bilateral flow represents 2% of imports. Import shares capture this asymmetry directly.</w:t>
      </w:r>
    </w:p>
    <w:bookmarkEnd w:id="28"/>
    <w:bookmarkStart w:id="29" w:name="political-alignment-unga-ideal-points"/>
    <w:p>
      <w:pPr>
        <w:pStyle w:val="Heading2"/>
      </w:pPr>
      <w:r>
        <w:t xml:space="preserve">3.3 Political Alignment: UNGA Ideal Points</w:t>
      </w:r>
    </w:p>
    <w:p>
      <w:pPr>
        <w:pStyle w:val="FirstParagraph"/>
      </w:pPr>
      <w:r>
        <w:t xml:space="preserve">For political alignment, we use the dynamic ideal point estimates of Bailey, Strezhnev, and Voeten (2017), derived from a Bayesian spatial model of roll-call votes in the United Nations General Assembly. These estimates build on earlier work mapping the dimensionality of UNGA conflict (Voeten, 2000; Kim &amp; Russett, 1996) and have become the standard measure in quantitative studies of foreign policy positioning. These estimates place each state on a continuous unidimensional scale reflecting its position relative to the US-led liberal international order, with higher values indicating greater alignment with US positions and lower values indicating greater distance from them.</w:t>
      </w:r>
    </w:p>
    <w:p>
      <w:pPr>
        <w:pStyle w:val="BodyText"/>
      </w:pPr>
      <w:r>
        <w:t xml:space="preserve">We use the</w:t>
      </w:r>
      <w:r>
        <w:t xml:space="preserve"> </w:t>
      </w:r>
      <w:r>
        <w:rPr>
          <w:iCs/>
          <w:i/>
        </w:rPr>
        <w:t xml:space="preserve">idealpointfp</w:t>
      </w:r>
      <w:r>
        <w:t xml:space="preserve"> </w:t>
      </w:r>
      <w:r>
        <w:t xml:space="preserve">variant, which is based on votes on the final passage of resolutions (designated as</w:t>
      </w:r>
      <w:r>
        <w:t xml:space="preserve"> </w:t>
      </w:r>
      <w:r>
        <w:t xml:space="preserve">“</w:t>
      </w:r>
      <w:r>
        <w:t xml:space="preserve">important</w:t>
      </w:r>
      <w:r>
        <w:t xml:space="preserve">”</w:t>
      </w:r>
      <w:r>
        <w:t xml:space="preserve"> </w:t>
      </w:r>
      <w:r>
        <w:t xml:space="preserve">by the US State Department). This variant offers a stronger signal-to-noise ratio compared to the</w:t>
      </w:r>
      <w:r>
        <w:t xml:space="preserve"> </w:t>
      </w:r>
      <w:r>
        <w:rPr>
          <w:iCs/>
          <w:i/>
        </w:rPr>
        <w:t xml:space="preserve">idealpointall</w:t>
      </w:r>
      <w:r>
        <w:t xml:space="preserve"> </w:t>
      </w:r>
      <w:r>
        <w:t xml:space="preserve">variant, which includes procedural votes, although we employ the latter as a robustness check.</w:t>
      </w:r>
    </w:p>
    <w:p>
      <w:pPr>
        <w:pStyle w:val="BodyText"/>
      </w:pPr>
      <w:r>
        <w:t xml:space="preserve">For each five-year window, we average a state’s annual ideal point estimates and then normalize the resulting value to the interval [−1, 1] using min-max normalization within each window:</w:t>
      </w:r>
    </w:p>
    <w:p>
      <w:pPr>
        <w:pStyle w:val="BodyText"/>
      </w:pPr>
      <w:r>
        <w:rPr>
          <w:iCs/>
          <w:i/>
        </w:rPr>
        <w:t xml:space="preserve">x</w:t>
      </w:r>
      <w:r>
        <w:rPr>
          <w:vertAlign w:val="subscript"/>
        </w:rPr>
        <w:t xml:space="preserve">i</w:t>
      </w:r>
      <w:r>
        <w:t xml:space="preserve">(</w:t>
      </w:r>
      <w:r>
        <w:rPr>
          <w:iCs/>
          <w:i/>
        </w:rPr>
        <w:t xml:space="preserve">t</w:t>
      </w:r>
      <w:r>
        <w:t xml:space="preserve">) = 2 × [raw</w:t>
      </w:r>
      <w:r>
        <w:rPr>
          <w:vertAlign w:val="subscript"/>
        </w:rPr>
        <w:t xml:space="preserve">i</w:t>
      </w:r>
      <w:r>
        <w:t xml:space="preserve">(</w:t>
      </w:r>
      <w:r>
        <w:rPr>
          <w:iCs/>
          <w:i/>
        </w:rPr>
        <w:t xml:space="preserve">t</w:t>
      </w:r>
      <w:r>
        <w:t xml:space="preserve">) − min(</w:t>
      </w:r>
      <w:r>
        <w:rPr>
          <w:iCs/>
          <w:i/>
        </w:rPr>
        <w:t xml:space="preserve">t</w:t>
      </w:r>
      <w:r>
        <w:t xml:space="preserve">)] / [max(</w:t>
      </w:r>
      <w:r>
        <w:rPr>
          <w:iCs/>
          <w:i/>
        </w:rPr>
        <w:t xml:space="preserve">t</w:t>
      </w:r>
      <w:r>
        <w:t xml:space="preserve">) − min(</w:t>
      </w:r>
      <w:r>
        <w:rPr>
          <w:iCs/>
          <w:i/>
        </w:rPr>
        <w:t xml:space="preserve">t</w:t>
      </w:r>
      <w:r>
        <w:t xml:space="preserve">)] − 1</w:t>
      </w:r>
    </w:p>
    <w:p>
      <w:pPr>
        <w:pStyle w:val="BodyText"/>
      </w:pPr>
      <w:r>
        <w:t xml:space="preserve">Normalization is performed within each window rather than globally, so that the scale reflects relative positioning among contemporaneous states. In the resulting measure, the United States</w:t>
      </w:r>
    </w:p>
    <w:p>
      <w:pPr>
        <w:pStyle w:val="BodyText"/>
      </w:pPr>
      <w:r>
        <w:t xml:space="preserve">(COW code 2) scores between +0.6 and +1.0 across windows, while the Soviet Union (COW code</w:t>
      </w:r>
    </w:p>
    <w:p>
      <w:pPr>
        <w:pStyle w:val="BodyText"/>
      </w:pPr>
      <w:r>
        <w:t xml:space="preserve">365) scores near −1.0 in most windows, rising to approximately −0.13 in the final window (1990– 1994) as the Cold War dissolved. These values confirm that the normalization preserves the expected directional interpretation.</w:t>
      </w:r>
    </w:p>
    <w:p>
      <w:pPr>
        <w:pStyle w:val="BodyText"/>
      </w:pPr>
      <w:r>
        <w:t xml:space="preserve">An important feature of this design is that the alignment measure comes from an entirely independent data source relative to both network layers. The exchange layer uses only trade data from the COW dataset, while the alignment variable uses UNGA votes. This separation avoids the circularity that would arise if UNGA voting similarity were used both to define network ties and to measure the outcome variable.</w:t>
      </w:r>
    </w:p>
    <w:bookmarkEnd w:id="29"/>
    <w:bookmarkStart w:id="30" w:name="Xa71a7d33e2bd21e98b12421714e009a505dc593"/>
    <w:p>
      <w:pPr>
        <w:pStyle w:val="Heading2"/>
      </w:pPr>
      <w:r>
        <w:t xml:space="preserve">3.4 Data Alignment and Descriptive Statistics</w:t>
      </w:r>
    </w:p>
    <w:p>
      <w:pPr>
        <w:pStyle w:val="FirstParagraph"/>
      </w:pPr>
      <w:r>
        <w:t xml:space="preserve">For each five-year window, we take the intersection of states appearing in all three datasets—the security matrix, the exchange matrix, and the UNGA ideal points—and restrict all matrices to this common set, ensuring that the row and column indices of both adjacency matrices correspond exactly to the states for which we have alignment data. Table 1 presents the descriptive statistics of the resulting aligned dataset.</w:t>
      </w:r>
    </w:p>
    <w:p>
      <w:pPr>
        <w:pStyle w:val="BodyText"/>
      </w:pPr>
      <w:r>
        <w:rPr>
          <w:bCs/>
          <w:b/>
        </w:rPr>
        <w:t xml:space="preserve">Table 1.</w:t>
      </w:r>
      <w:r>
        <w:rPr>
          <w:bCs/>
          <w:b/>
        </w:rPr>
        <w:t xml:space="preserve"> </w:t>
      </w:r>
      <w:r>
        <w:t xml:space="preserve">Descriptive Statistics by Five-Year Window</w:t>
      </w:r>
    </w:p>
    <w:tbl>
      <w:tblPr>
        <w:tblStyle w:val="Table"/>
        <w:tblW w:type="auto" w:w="0"/>
        <w:tblLook w:firstRow="0" w:lastRow="0" w:firstColumn="0" w:lastColumn="0" w:noHBand="0" w:noVBand="0" w:val="0000"/>
        <w:jc w:val="start"/>
      </w:tblPr>
      <w:tblGrid>
        <w:gridCol w:w="990"/>
        <w:gridCol w:w="990"/>
        <w:gridCol w:w="990"/>
        <w:gridCol w:w="990"/>
        <w:gridCol w:w="990"/>
        <w:gridCol w:w="990"/>
        <w:gridCol w:w="990"/>
        <w:gridCol w:w="990"/>
      </w:tblGrid>
      <w:tr>
        <w:tc>
          <w:tcPr/>
          <w:p>
            <w:pPr>
              <w:pStyle w:val="Compact"/>
              <w:jc w:val="left"/>
            </w:pPr>
            <w:r>
              <w:rPr>
                <w:bCs/>
                <w:b/>
              </w:rPr>
              <w:t xml:space="preserve">Window</w:t>
            </w:r>
          </w:p>
        </w:tc>
        <w:tc>
          <w:tcPr/>
          <w:p>
            <w:pPr>
              <w:pStyle w:val="Compact"/>
              <w:jc w:val="left"/>
            </w:pPr>
            <w:r>
              <w:rPr>
                <w:bCs/>
                <w:b/>
              </w:rPr>
              <w:t xml:space="preserve">N</w:t>
            </w:r>
          </w:p>
        </w:tc>
        <w:tc>
          <w:tcPr/>
          <w:p>
            <w:pPr>
              <w:pStyle w:val="Compact"/>
              <w:jc w:val="left"/>
            </w:pPr>
            <w:r>
              <w:rPr>
                <w:bCs/>
                <w:b/>
              </w:rPr>
              <w:t xml:space="preserve">Sec NNZ</w:t>
            </w:r>
          </w:p>
        </w:tc>
        <w:tc>
          <w:tcPr/>
          <w:p>
            <w:pPr>
              <w:pStyle w:val="Compact"/>
              <w:jc w:val="left"/>
            </w:pPr>
            <w:r>
              <w:rPr>
                <w:bCs/>
                <w:b/>
              </w:rPr>
              <w:t xml:space="preserve">Sec Dens.</w:t>
            </w:r>
          </w:p>
        </w:tc>
        <w:tc>
          <w:tcPr/>
          <w:p>
            <w:pPr>
              <w:pStyle w:val="Compact"/>
              <w:jc w:val="left"/>
            </w:pPr>
            <w:r>
              <w:rPr>
                <w:bCs/>
                <w:b/>
              </w:rPr>
              <w:t xml:space="preserve">Exch NNZ</w:t>
            </w:r>
          </w:p>
        </w:tc>
        <w:tc>
          <w:tcPr/>
          <w:p>
            <w:pPr>
              <w:pStyle w:val="Compact"/>
              <w:jc w:val="left"/>
            </w:pPr>
            <w:r>
              <w:rPr>
                <w:bCs/>
                <w:b/>
              </w:rPr>
              <w:t xml:space="preserve">Exch Dens.</w:t>
            </w:r>
          </w:p>
        </w:tc>
        <w:tc>
          <w:tcPr/>
          <w:p>
            <w:pPr>
              <w:pStyle w:val="Compact"/>
              <w:jc w:val="left"/>
            </w:pPr>
            <w:r>
              <w:rPr>
                <w:bCs/>
                <w:b/>
              </w:rPr>
              <w:t xml:space="preserve">x̄ (fp)</w:t>
            </w:r>
          </w:p>
        </w:tc>
        <w:tc>
          <w:tcPr/>
          <w:p>
            <w:pPr>
              <w:pStyle w:val="Compact"/>
              <w:jc w:val="left"/>
            </w:pPr>
            <w:r>
              <w:rPr>
                <w:bCs/>
                <w:b/>
              </w:rPr>
              <w:t xml:space="preserve">SD(fp)</w:t>
            </w:r>
          </w:p>
        </w:tc>
      </w:tr>
      <w:tr>
        <w:tc>
          <w:tcPr/>
          <w:p>
            <w:pPr>
              <w:pStyle w:val="Compact"/>
              <w:jc w:val="left"/>
            </w:pPr>
            <w:r>
              <w:t xml:space="preserve">1945–1949</w:t>
            </w:r>
          </w:p>
        </w:tc>
        <w:tc>
          <w:tcPr/>
          <w:p>
            <w:pPr>
              <w:pStyle w:val="Compact"/>
              <w:jc w:val="left"/>
            </w:pPr>
            <w:r>
              <w:t xml:space="preserve">49</w:t>
            </w:r>
          </w:p>
        </w:tc>
        <w:tc>
          <w:tcPr/>
          <w:p>
            <w:pPr>
              <w:pStyle w:val="Compact"/>
              <w:jc w:val="left"/>
            </w:pPr>
            <w:r>
              <w:t xml:space="preserve">1,662</w:t>
            </w:r>
          </w:p>
        </w:tc>
        <w:tc>
          <w:tcPr/>
          <w:p>
            <w:pPr>
              <w:pStyle w:val="Compact"/>
              <w:jc w:val="left"/>
            </w:pPr>
            <w:r>
              <w:t xml:space="preserve">0.692</w:t>
            </w:r>
          </w:p>
        </w:tc>
        <w:tc>
          <w:tcPr/>
          <w:p>
            <w:pPr>
              <w:pStyle w:val="Compact"/>
              <w:jc w:val="left"/>
            </w:pPr>
            <w:r>
              <w:t xml:space="preserve">1,207</w:t>
            </w:r>
          </w:p>
        </w:tc>
        <w:tc>
          <w:tcPr/>
          <w:p>
            <w:pPr>
              <w:pStyle w:val="Compact"/>
              <w:jc w:val="left"/>
            </w:pPr>
            <w:r>
              <w:t xml:space="preserve">0.503</w:t>
            </w:r>
          </w:p>
        </w:tc>
        <w:tc>
          <w:tcPr/>
          <w:p>
            <w:pPr>
              <w:pStyle w:val="Compact"/>
              <w:jc w:val="left"/>
            </w:pPr>
            <w:r>
              <w:t xml:space="preserve">0.350</w:t>
            </w:r>
          </w:p>
        </w:tc>
        <w:tc>
          <w:tcPr/>
          <w:p>
            <w:pPr>
              <w:pStyle w:val="Compact"/>
              <w:jc w:val="left"/>
            </w:pPr>
            <w:r>
              <w:t xml:space="preserve">0.456</w:t>
            </w:r>
          </w:p>
        </w:tc>
      </w:tr>
      <w:tr>
        <w:tc>
          <w:tcPr/>
          <w:p>
            <w:pPr>
              <w:pStyle w:val="Compact"/>
              <w:jc w:val="left"/>
            </w:pPr>
            <w:r>
              <w:t xml:space="preserve">1950–1954</w:t>
            </w:r>
          </w:p>
        </w:tc>
        <w:tc>
          <w:tcPr/>
          <w:p>
            <w:pPr>
              <w:pStyle w:val="Compact"/>
              <w:jc w:val="left"/>
            </w:pPr>
            <w:r>
              <w:t xml:space="preserve">57</w:t>
            </w:r>
          </w:p>
        </w:tc>
        <w:tc>
          <w:tcPr/>
          <w:p>
            <w:pPr>
              <w:pStyle w:val="Compact"/>
              <w:jc w:val="left"/>
            </w:pPr>
            <w:r>
              <w:t xml:space="preserve">792</w:t>
            </w:r>
          </w:p>
        </w:tc>
        <w:tc>
          <w:tcPr/>
          <w:p>
            <w:pPr>
              <w:pStyle w:val="Compact"/>
              <w:jc w:val="left"/>
            </w:pPr>
            <w:r>
              <w:t xml:space="preserve">0.244</w:t>
            </w:r>
          </w:p>
        </w:tc>
        <w:tc>
          <w:tcPr/>
          <w:p>
            <w:pPr>
              <w:pStyle w:val="Compact"/>
              <w:jc w:val="left"/>
            </w:pPr>
            <w:r>
              <w:t xml:space="preserve">1,906</w:t>
            </w:r>
          </w:p>
        </w:tc>
        <w:tc>
          <w:tcPr/>
          <w:p>
            <w:pPr>
              <w:pStyle w:val="Compact"/>
              <w:jc w:val="left"/>
            </w:pPr>
            <w:r>
              <w:t xml:space="preserve">0.587</w:t>
            </w:r>
          </w:p>
        </w:tc>
        <w:tc>
          <w:tcPr/>
          <w:p>
            <w:pPr>
              <w:pStyle w:val="Compact"/>
              <w:jc w:val="left"/>
            </w:pPr>
            <w:r>
              <w:t xml:space="preserve">0.267</w:t>
            </w:r>
          </w:p>
        </w:tc>
        <w:tc>
          <w:tcPr/>
          <w:p>
            <w:pPr>
              <w:pStyle w:val="Compact"/>
              <w:jc w:val="left"/>
            </w:pPr>
            <w:r>
              <w:t xml:space="preserve">0.436</w:t>
            </w:r>
          </w:p>
        </w:tc>
      </w:tr>
      <w:tr>
        <w:tc>
          <w:tcPr/>
          <w:p>
            <w:pPr>
              <w:pStyle w:val="Compact"/>
              <w:jc w:val="left"/>
            </w:pPr>
            <w:r>
              <w:t xml:space="preserve">1955–1959</w:t>
            </w:r>
          </w:p>
        </w:tc>
        <w:tc>
          <w:tcPr/>
          <w:p>
            <w:pPr>
              <w:pStyle w:val="Compact"/>
              <w:jc w:val="left"/>
            </w:pPr>
            <w:r>
              <w:t xml:space="preserve">80</w:t>
            </w:r>
          </w:p>
        </w:tc>
        <w:tc>
          <w:tcPr/>
          <w:p>
            <w:pPr>
              <w:pStyle w:val="Compact"/>
              <w:jc w:val="left"/>
            </w:pPr>
            <w:r>
              <w:t xml:space="preserve">1,122</w:t>
            </w:r>
          </w:p>
        </w:tc>
        <w:tc>
          <w:tcPr/>
          <w:p>
            <w:pPr>
              <w:pStyle w:val="Compact"/>
              <w:jc w:val="left"/>
            </w:pPr>
            <w:r>
              <w:t xml:space="preserve">0.175</w:t>
            </w:r>
          </w:p>
        </w:tc>
        <w:tc>
          <w:tcPr/>
          <w:p>
            <w:pPr>
              <w:pStyle w:val="Compact"/>
              <w:jc w:val="left"/>
            </w:pPr>
            <w:r>
              <w:t xml:space="preserve">3,676</w:t>
            </w:r>
          </w:p>
        </w:tc>
        <w:tc>
          <w:tcPr/>
          <w:p>
            <w:pPr>
              <w:pStyle w:val="Compact"/>
              <w:jc w:val="left"/>
            </w:pPr>
            <w:r>
              <w:t xml:space="preserve">0.574</w:t>
            </w:r>
          </w:p>
        </w:tc>
        <w:tc>
          <w:tcPr/>
          <w:p>
            <w:pPr>
              <w:pStyle w:val="Compact"/>
              <w:jc w:val="left"/>
            </w:pPr>
            <w:r>
              <w:t xml:space="preserve">0.193</w:t>
            </w:r>
          </w:p>
        </w:tc>
        <w:tc>
          <w:tcPr/>
          <w:p>
            <w:pPr>
              <w:pStyle w:val="Compact"/>
              <w:jc w:val="left"/>
            </w:pPr>
            <w:r>
              <w:t xml:space="preserve">0.488</w:t>
            </w:r>
          </w:p>
        </w:tc>
      </w:tr>
      <w:tr>
        <w:tc>
          <w:tcPr/>
          <w:p>
            <w:pPr>
              <w:pStyle w:val="Compact"/>
              <w:jc w:val="left"/>
            </w:pPr>
            <w:r>
              <w:t xml:space="preserve">1960–1964</w:t>
            </w:r>
          </w:p>
        </w:tc>
        <w:tc>
          <w:tcPr/>
          <w:p>
            <w:pPr>
              <w:pStyle w:val="Compact"/>
              <w:jc w:val="left"/>
            </w:pPr>
            <w:r>
              <w:t xml:space="preserve">107</w:t>
            </w:r>
          </w:p>
        </w:tc>
        <w:tc>
          <w:tcPr/>
          <w:p>
            <w:pPr>
              <w:pStyle w:val="Compact"/>
              <w:jc w:val="left"/>
            </w:pPr>
            <w:r>
              <w:t xml:space="preserve">1,490</w:t>
            </w:r>
          </w:p>
        </w:tc>
        <w:tc>
          <w:tcPr/>
          <w:p>
            <w:pPr>
              <w:pStyle w:val="Compact"/>
              <w:jc w:val="left"/>
            </w:pPr>
            <w:r>
              <w:t xml:space="preserve">0.130</w:t>
            </w:r>
          </w:p>
        </w:tc>
        <w:tc>
          <w:tcPr/>
          <w:p>
            <w:pPr>
              <w:pStyle w:val="Compact"/>
              <w:jc w:val="left"/>
            </w:pPr>
            <w:r>
              <w:t xml:space="preserve">5,555</w:t>
            </w:r>
          </w:p>
        </w:tc>
        <w:tc>
          <w:tcPr/>
          <w:p>
            <w:pPr>
              <w:pStyle w:val="Compact"/>
              <w:jc w:val="left"/>
            </w:pPr>
            <w:r>
              <w:t xml:space="preserve">0.485</w:t>
            </w:r>
          </w:p>
        </w:tc>
        <w:tc>
          <w:tcPr/>
          <w:p>
            <w:pPr>
              <w:pStyle w:val="Compact"/>
              <w:jc w:val="left"/>
            </w:pPr>
            <w:r>
              <w:t xml:space="preserve">0.208</w:t>
            </w:r>
          </w:p>
        </w:tc>
        <w:tc>
          <w:tcPr/>
          <w:p>
            <w:pPr>
              <w:pStyle w:val="Compact"/>
              <w:jc w:val="left"/>
            </w:pPr>
            <w:r>
              <w:t xml:space="preserve">0.495</w:t>
            </w:r>
          </w:p>
        </w:tc>
      </w:tr>
      <w:tr>
        <w:tc>
          <w:tcPr/>
          <w:p>
            <w:pPr>
              <w:pStyle w:val="Compact"/>
              <w:jc w:val="left"/>
            </w:pPr>
            <w:r>
              <w:t xml:space="preserve">1965–1969</w:t>
            </w:r>
          </w:p>
        </w:tc>
        <w:tc>
          <w:tcPr/>
          <w:p>
            <w:pPr>
              <w:pStyle w:val="Compact"/>
              <w:jc w:val="left"/>
            </w:pPr>
            <w:r>
              <w:t xml:space="preserve">116</w:t>
            </w:r>
          </w:p>
        </w:tc>
        <w:tc>
          <w:tcPr/>
          <w:p>
            <w:pPr>
              <w:pStyle w:val="Compact"/>
              <w:jc w:val="left"/>
            </w:pPr>
            <w:r>
              <w:t xml:space="preserve">1,502</w:t>
            </w:r>
          </w:p>
        </w:tc>
        <w:tc>
          <w:tcPr/>
          <w:p>
            <w:pPr>
              <w:pStyle w:val="Compact"/>
              <w:jc w:val="left"/>
            </w:pPr>
            <w:r>
              <w:t xml:space="preserve">0.112</w:t>
            </w:r>
          </w:p>
        </w:tc>
        <w:tc>
          <w:tcPr/>
          <w:p>
            <w:pPr>
              <w:pStyle w:val="Compact"/>
              <w:jc w:val="left"/>
            </w:pPr>
            <w:r>
              <w:t xml:space="preserve">7,605</w:t>
            </w:r>
          </w:p>
        </w:tc>
        <w:tc>
          <w:tcPr/>
          <w:p>
            <w:pPr>
              <w:pStyle w:val="Compact"/>
              <w:jc w:val="left"/>
            </w:pPr>
            <w:r>
              <w:t xml:space="preserve">0.565</w:t>
            </w:r>
          </w:p>
        </w:tc>
        <w:tc>
          <w:tcPr/>
          <w:p>
            <w:pPr>
              <w:pStyle w:val="Compact"/>
              <w:jc w:val="left"/>
            </w:pPr>
            <w:r>
              <w:t xml:space="preserve">0.024</w:t>
            </w:r>
          </w:p>
        </w:tc>
        <w:tc>
          <w:tcPr/>
          <w:p>
            <w:pPr>
              <w:pStyle w:val="Compact"/>
              <w:jc w:val="left"/>
            </w:pPr>
            <w:r>
              <w:t xml:space="preserve">0.444</w:t>
            </w:r>
          </w:p>
        </w:tc>
      </w:tr>
      <w:tr>
        <w:tc>
          <w:tcPr/>
          <w:p>
            <w:pPr>
              <w:pStyle w:val="Compact"/>
              <w:jc w:val="left"/>
            </w:pPr>
            <w:r>
              <w:t xml:space="preserve">1970–1974</w:t>
            </w:r>
          </w:p>
        </w:tc>
        <w:tc>
          <w:tcPr/>
          <w:p>
            <w:pPr>
              <w:pStyle w:val="Compact"/>
              <w:jc w:val="left"/>
            </w:pPr>
            <w:r>
              <w:t xml:space="preserve">129</w:t>
            </w:r>
          </w:p>
        </w:tc>
        <w:tc>
          <w:tcPr/>
          <w:p>
            <w:pPr>
              <w:pStyle w:val="Compact"/>
              <w:jc w:val="left"/>
            </w:pPr>
            <w:r>
              <w:t xml:space="preserve">1,988</w:t>
            </w:r>
          </w:p>
        </w:tc>
        <w:tc>
          <w:tcPr/>
          <w:p>
            <w:pPr>
              <w:pStyle w:val="Compact"/>
              <w:jc w:val="left"/>
            </w:pPr>
            <w:r>
              <w:t xml:space="preserve">0.119</w:t>
            </w:r>
          </w:p>
        </w:tc>
        <w:tc>
          <w:tcPr/>
          <w:p>
            <w:pPr>
              <w:pStyle w:val="Compact"/>
              <w:jc w:val="left"/>
            </w:pPr>
            <w:r>
              <w:t xml:space="preserve">10,597</w:t>
            </w:r>
          </w:p>
        </w:tc>
        <w:tc>
          <w:tcPr/>
          <w:p>
            <w:pPr>
              <w:pStyle w:val="Compact"/>
              <w:jc w:val="left"/>
            </w:pPr>
            <w:r>
              <w:t xml:space="preserve">0.637</w:t>
            </w:r>
          </w:p>
        </w:tc>
        <w:tc>
          <w:tcPr/>
          <w:p>
            <w:pPr>
              <w:pStyle w:val="Compact"/>
              <w:jc w:val="left"/>
            </w:pPr>
            <w:r>
              <w:t xml:space="preserve">−0.052</w:t>
            </w:r>
          </w:p>
        </w:tc>
        <w:tc>
          <w:tcPr/>
          <w:p>
            <w:pPr>
              <w:pStyle w:val="Compact"/>
              <w:jc w:val="left"/>
            </w:pPr>
            <w:r>
              <w:t xml:space="preserve">0.380</w:t>
            </w:r>
          </w:p>
        </w:tc>
      </w:tr>
      <w:tr>
        <w:tc>
          <w:tcPr/>
          <w:p>
            <w:pPr>
              <w:pStyle w:val="Compact"/>
              <w:jc w:val="left"/>
            </w:pPr>
            <w:r>
              <w:t xml:space="preserve">1975–1979</w:t>
            </w:r>
          </w:p>
        </w:tc>
        <w:tc>
          <w:tcPr/>
          <w:p>
            <w:pPr>
              <w:pStyle w:val="Compact"/>
              <w:jc w:val="left"/>
            </w:pPr>
            <w:r>
              <w:t xml:space="preserve">144</w:t>
            </w:r>
          </w:p>
        </w:tc>
        <w:tc>
          <w:tcPr/>
          <w:p>
            <w:pPr>
              <w:pStyle w:val="Compact"/>
              <w:jc w:val="left"/>
            </w:pPr>
            <w:r>
              <w:t xml:space="preserve">3,076</w:t>
            </w:r>
          </w:p>
        </w:tc>
        <w:tc>
          <w:tcPr/>
          <w:p>
            <w:pPr>
              <w:pStyle w:val="Compact"/>
              <w:jc w:val="left"/>
            </w:pPr>
            <w:r>
              <w:t xml:space="preserve">0.148</w:t>
            </w:r>
          </w:p>
        </w:tc>
        <w:tc>
          <w:tcPr/>
          <w:p>
            <w:pPr>
              <w:pStyle w:val="Compact"/>
              <w:jc w:val="left"/>
            </w:pPr>
            <w:r>
              <w:t xml:space="preserve">11,946</w:t>
            </w:r>
          </w:p>
        </w:tc>
        <w:tc>
          <w:tcPr/>
          <w:p>
            <w:pPr>
              <w:pStyle w:val="Compact"/>
              <w:jc w:val="left"/>
            </w:pPr>
            <w:r>
              <w:t xml:space="preserve">0.576</w:t>
            </w:r>
          </w:p>
        </w:tc>
        <w:tc>
          <w:tcPr/>
          <w:p>
            <w:pPr>
              <w:pStyle w:val="Compact"/>
              <w:jc w:val="left"/>
            </w:pPr>
            <w:r>
              <w:t xml:space="preserve">−0.014</w:t>
            </w:r>
          </w:p>
        </w:tc>
        <w:tc>
          <w:tcPr/>
          <w:p>
            <w:pPr>
              <w:pStyle w:val="Compact"/>
              <w:jc w:val="left"/>
            </w:pPr>
            <w:r>
              <w:t xml:space="preserve">0.396</w:t>
            </w:r>
          </w:p>
        </w:tc>
      </w:tr>
      <w:tr>
        <w:tc>
          <w:tcPr/>
          <w:p>
            <w:pPr>
              <w:pStyle w:val="Compact"/>
              <w:jc w:val="left"/>
            </w:pPr>
            <w:r>
              <w:t xml:space="preserve">1980–1984</w:t>
            </w:r>
          </w:p>
        </w:tc>
        <w:tc>
          <w:tcPr/>
          <w:p>
            <w:pPr>
              <w:pStyle w:val="Compact"/>
              <w:jc w:val="left"/>
            </w:pPr>
            <w:r>
              <w:t xml:space="preserve">150</w:t>
            </w:r>
          </w:p>
        </w:tc>
        <w:tc>
          <w:tcPr/>
          <w:p>
            <w:pPr>
              <w:pStyle w:val="Compact"/>
              <w:jc w:val="left"/>
            </w:pPr>
            <w:r>
              <w:t xml:space="preserve">3,528</w:t>
            </w:r>
          </w:p>
        </w:tc>
        <w:tc>
          <w:tcPr/>
          <w:p>
            <w:pPr>
              <w:pStyle w:val="Compact"/>
              <w:jc w:val="left"/>
            </w:pPr>
            <w:r>
              <w:t xml:space="preserve">0.157</w:t>
            </w:r>
          </w:p>
        </w:tc>
        <w:tc>
          <w:tcPr/>
          <w:p>
            <w:pPr>
              <w:pStyle w:val="Compact"/>
              <w:jc w:val="left"/>
            </w:pPr>
            <w:r>
              <w:t xml:space="preserve">12,768</w:t>
            </w:r>
          </w:p>
        </w:tc>
        <w:tc>
          <w:tcPr/>
          <w:p>
            <w:pPr>
              <w:pStyle w:val="Compact"/>
              <w:jc w:val="left"/>
            </w:pPr>
            <w:r>
              <w:t xml:space="preserve">0.567</w:t>
            </w:r>
          </w:p>
        </w:tc>
        <w:tc>
          <w:tcPr/>
          <w:p>
            <w:pPr>
              <w:pStyle w:val="Compact"/>
              <w:jc w:val="left"/>
            </w:pPr>
            <w:r>
              <w:t xml:space="preserve">−0.196</w:t>
            </w:r>
          </w:p>
        </w:tc>
        <w:tc>
          <w:tcPr/>
          <w:p>
            <w:pPr>
              <w:pStyle w:val="Compact"/>
              <w:jc w:val="left"/>
            </w:pPr>
            <w:r>
              <w:t xml:space="preserve">0.382</w:t>
            </w:r>
          </w:p>
        </w:tc>
      </w:tr>
      <w:tr>
        <w:tc>
          <w:tcPr/>
          <w:p>
            <w:pPr>
              <w:pStyle w:val="Compact"/>
              <w:jc w:val="left"/>
            </w:pPr>
            <w:r>
              <w:t xml:space="preserve">1985–1989</w:t>
            </w:r>
          </w:p>
        </w:tc>
        <w:tc>
          <w:tcPr/>
          <w:p>
            <w:pPr>
              <w:pStyle w:val="Compact"/>
              <w:jc w:val="left"/>
            </w:pPr>
            <w:r>
              <w:t xml:space="preserve">149</w:t>
            </w:r>
          </w:p>
        </w:tc>
        <w:tc>
          <w:tcPr/>
          <w:p>
            <w:pPr>
              <w:pStyle w:val="Compact"/>
              <w:jc w:val="left"/>
            </w:pPr>
            <w:r>
              <w:t xml:space="preserve">3,424</w:t>
            </w:r>
          </w:p>
        </w:tc>
        <w:tc>
          <w:tcPr/>
          <w:p>
            <w:pPr>
              <w:pStyle w:val="Compact"/>
              <w:jc w:val="left"/>
            </w:pPr>
            <w:r>
              <w:t xml:space="preserve">0.154</w:t>
            </w:r>
          </w:p>
        </w:tc>
        <w:tc>
          <w:tcPr/>
          <w:p>
            <w:pPr>
              <w:pStyle w:val="Compact"/>
              <w:jc w:val="left"/>
            </w:pPr>
            <w:r>
              <w:t xml:space="preserve">13,493</w:t>
            </w:r>
          </w:p>
        </w:tc>
        <w:tc>
          <w:tcPr/>
          <w:p>
            <w:pPr>
              <w:pStyle w:val="Compact"/>
              <w:jc w:val="left"/>
            </w:pPr>
            <w:r>
              <w:t xml:space="preserve">0.608</w:t>
            </w:r>
          </w:p>
        </w:tc>
        <w:tc>
          <w:tcPr/>
          <w:p>
            <w:pPr>
              <w:pStyle w:val="Compact"/>
              <w:jc w:val="left"/>
            </w:pPr>
            <w:r>
              <w:t xml:space="preserve">−0.363</w:t>
            </w:r>
          </w:p>
        </w:tc>
        <w:tc>
          <w:tcPr/>
          <w:p>
            <w:pPr>
              <w:pStyle w:val="Compact"/>
              <w:jc w:val="left"/>
            </w:pPr>
            <w:r>
              <w:t xml:space="preserve">0.376</w:t>
            </w:r>
          </w:p>
        </w:tc>
      </w:tr>
      <w:tr>
        <w:tc>
          <w:tcPr/>
          <w:p>
            <w:pPr>
              <w:pStyle w:val="Compact"/>
              <w:jc w:val="left"/>
            </w:pPr>
            <w:r>
              <w:t xml:space="preserve">1990–1994</w:t>
            </w:r>
          </w:p>
        </w:tc>
        <w:tc>
          <w:tcPr/>
          <w:p>
            <w:pPr>
              <w:pStyle w:val="Compact"/>
              <w:jc w:val="left"/>
            </w:pPr>
            <w:r>
              <w:t xml:space="preserve">149</w:t>
            </w:r>
          </w:p>
        </w:tc>
        <w:tc>
          <w:tcPr/>
          <w:p>
            <w:pPr>
              <w:pStyle w:val="Compact"/>
              <w:jc w:val="left"/>
            </w:pPr>
            <w:r>
              <w:t xml:space="preserve">3,154</w:t>
            </w:r>
          </w:p>
        </w:tc>
        <w:tc>
          <w:tcPr/>
          <w:p>
            <w:pPr>
              <w:pStyle w:val="Compact"/>
              <w:jc w:val="left"/>
            </w:pPr>
            <w:r>
              <w:t xml:space="preserve">0.142</w:t>
            </w:r>
          </w:p>
        </w:tc>
        <w:tc>
          <w:tcPr/>
          <w:p>
            <w:pPr>
              <w:pStyle w:val="Compact"/>
              <w:jc w:val="left"/>
            </w:pPr>
            <w:r>
              <w:t xml:space="preserve">13,368</w:t>
            </w:r>
          </w:p>
        </w:tc>
        <w:tc>
          <w:tcPr/>
          <w:p>
            <w:pPr>
              <w:pStyle w:val="Compact"/>
              <w:jc w:val="left"/>
            </w:pPr>
            <w:r>
              <w:t xml:space="preserve">0.602</w:t>
            </w:r>
          </w:p>
        </w:tc>
        <w:tc>
          <w:tcPr/>
          <w:p>
            <w:pPr>
              <w:pStyle w:val="Compact"/>
              <w:jc w:val="left"/>
            </w:pPr>
            <w:r>
              <w:t xml:space="preserve">−0.307</w:t>
            </w:r>
          </w:p>
        </w:tc>
        <w:tc>
          <w:tcPr/>
          <w:p>
            <w:pPr>
              <w:pStyle w:val="Compact"/>
              <w:jc w:val="left"/>
            </w:pPr>
            <w:r>
              <w:t xml:space="preserve">0.368</w:t>
            </w:r>
          </w:p>
        </w:tc>
      </w:tr>
    </w:tbl>
    <w:p>
      <w:pPr>
        <w:pStyle w:val="BodyText"/>
      </w:pPr>
      <w:r>
        <w:rPr>
          <w:iCs/>
          <w:i/>
        </w:rPr>
        <w:t xml:space="preserve">Note: N = number of states in the intersection of all three datasets. Sec NNZ / Exch NNZ = number of nonzero entries in the security / exchange adjacency matrix. Density = NNZ / N(N−1). x̄(fp) and SD(fp) = mean and standard deviation of the normalized ideal point (idealpointfp) across states in each window.</w:t>
      </w:r>
    </w:p>
    <w:p>
      <w:pPr>
        <w:pStyle w:val="BodyText"/>
      </w:pPr>
      <w:r>
        <w:t xml:space="preserve">Several patterns in Table 1 deserve comment. The number of states grows steadily from 49 in the earliest window to 149 by the 1980s, reflecting decolonization. Security network density peaks in 1945– 1949 (0.692), reflecting the dense web of postwar alliance commitments, then drops sharply to 0.13–0.18 from the 1960s onward as the network becomes more selective. Exchange network density remains comparatively stable at 0.50–0.64, consistent with the observation that trade relationships are more pervasive than military alliances. The mean ideal point shifts from a pro-Western value of +0.35 in 1945–1949 to a markedly anti-Western −0.36 by 1985–1989, driven by the entry of newly independent states that tended to vote against US positions in the General Assembly. Standard deviation remains between 0.37 and 0.50 throughout, indicating substantial cross-national variation in every window.</w:t>
      </w:r>
    </w:p>
    <w:bookmarkEnd w:id="30"/>
    <w:bookmarkEnd w:id="31"/>
    <w:bookmarkStart w:id="37" w:name="empirical-strategy"/>
    <w:p>
      <w:pPr>
        <w:pStyle w:val="Heading1"/>
      </w:pPr>
      <w:r>
        <w:t xml:space="preserve">4. Empirical Strategy</w:t>
      </w:r>
    </w:p>
    <w:p>
      <w:pPr>
        <w:pStyle w:val="FirstParagraph"/>
      </w:pPr>
      <w:r>
        <w:t xml:space="preserve">We now turn to the panel regression model that estimates how security and economic network embeddedness affect changes in political alignment. We are candid throughout this section about the identification challenges, which are considerable.</w:t>
      </w:r>
    </w:p>
    <w:bookmarkStart w:id="32" w:name="model-specification"/>
    <w:p>
      <w:pPr>
        <w:pStyle w:val="Heading2"/>
      </w:pPr>
      <w:r>
        <w:t xml:space="preserve">4.1 Model Specification</w:t>
      </w:r>
    </w:p>
    <w:p>
      <w:pPr>
        <w:pStyle w:val="FirstParagraph"/>
      </w:pPr>
      <w:r>
        <w:t xml:space="preserve">Our unit of analysis is the country-window, where each observation represents a single state in a five-year period. The dependent variable is the change in political alignment between consecutive windows:</w:t>
      </w:r>
    </w:p>
    <w:p>
      <w:pPr>
        <w:pStyle w:val="BodyText"/>
      </w:pPr>
      <w:r>
        <w:t xml:space="preserve">Δ</w:t>
      </w:r>
      <w:r>
        <w:rPr>
          <w:iCs/>
          <w:i/>
        </w:rPr>
        <w:t xml:space="preserve">x</w:t>
      </w:r>
      <w:r>
        <w:rPr>
          <w:vertAlign w:val="subscript"/>
        </w:rPr>
        <w:t xml:space="preserve">i</w:t>
      </w:r>
      <w:r>
        <w:rPr>
          <w:vertAlign w:val="superscript"/>
        </w:rPr>
        <w:t xml:space="preserve">t</w:t>
      </w:r>
      <w:r>
        <w:t xml:space="preserve"> </w:t>
      </w:r>
      <w:r>
        <w:t xml:space="preserve">=</w:t>
      </w:r>
      <w:r>
        <w:t xml:space="preserve"> </w:t>
      </w:r>
      <w:r>
        <w:rPr>
          <w:iCs/>
          <w:i/>
        </w:rPr>
        <w:t xml:space="preserve">x</w:t>
      </w:r>
      <w:r>
        <w:rPr>
          <w:vertAlign w:val="subscript"/>
        </w:rPr>
        <w:t xml:space="preserve">i</w:t>
      </w:r>
      <w:r>
        <w:t xml:space="preserve">(</w:t>
      </w:r>
      <w:r>
        <w:rPr>
          <w:iCs/>
          <w:i/>
        </w:rPr>
        <w:t xml:space="preserve">t</w:t>
      </w:r>
      <w:r>
        <w:t xml:space="preserve"> </w:t>
      </w:r>
      <w:r>
        <w:t xml:space="preserve">+ 1) −</w:t>
      </w:r>
      <w:r>
        <w:t xml:space="preserve"> </w:t>
      </w:r>
      <w:r>
        <w:rPr>
          <w:iCs/>
          <w:i/>
        </w:rPr>
        <w:t xml:space="preserve">x</w:t>
      </w:r>
      <w:r>
        <w:rPr>
          <w:vertAlign w:val="subscript"/>
        </w:rPr>
        <w:t xml:space="preserve">i</w:t>
      </w:r>
      <w:r>
        <w:t xml:space="preserve">(</w:t>
      </w:r>
      <w:r>
        <w:rPr>
          <w:iCs/>
          <w:i/>
        </w:rPr>
        <w:t xml:space="preserve">t</w:t>
      </w:r>
      <w:r>
        <w:t xml:space="preserve">)</w:t>
      </w:r>
    </w:p>
    <w:p>
      <w:pPr>
        <w:pStyle w:val="BodyText"/>
      </w:pPr>
      <w:r>
        <w:t xml:space="preserve">The core explanatory variables are two network peer effect terms, each computed as the weighted sum of the alignment gaps between state</w:t>
      </w:r>
      <w:r>
        <w:t xml:space="preserve"> </w:t>
      </w:r>
      <w:r>
        <w:rPr>
          <w:iCs/>
          <w:i/>
        </w:rPr>
        <w:t xml:space="preserve">i</w:t>
      </w:r>
      <w:r>
        <w:t xml:space="preserve"> </w:t>
      </w:r>
      <w:r>
        <w:t xml:space="preserve">and its network neighbors, weighted by the strength of their connection:</w:t>
      </w:r>
    </w:p>
    <w:p>
      <w:pPr>
        <w:pStyle w:val="BodyText"/>
      </w:pPr>
      <w:r>
        <w:t xml:space="preserve">SecPeer</w:t>
      </w:r>
      <w:r>
        <w:rPr>
          <w:vertAlign w:val="subscript"/>
        </w:rPr>
        <w:t xml:space="preserve">i</w:t>
      </w:r>
      <w:r>
        <w:t xml:space="preserve">(</w:t>
      </w:r>
      <w:r>
        <w:rPr>
          <w:iCs/>
          <w:i/>
        </w:rPr>
        <w:t xml:space="preserve">t</w:t>
      </w:r>
      <w:r>
        <w:t xml:space="preserve">) = Σ</w:t>
      </w:r>
      <w:r>
        <w:rPr>
          <w:vertAlign w:val="subscript"/>
        </w:rPr>
        <w:t xml:space="preserve">j</w:t>
      </w:r>
      <w:r>
        <w:t xml:space="preserve"> </w:t>
      </w:r>
      <w:r>
        <w:rPr>
          <w:iCs/>
          <w:i/>
        </w:rPr>
        <w:t xml:space="preserve">A</w:t>
      </w:r>
      <w:r>
        <w:rPr>
          <w:vertAlign w:val="subscript"/>
        </w:rPr>
        <w:t xml:space="preserve">ij</w:t>
      </w:r>
      <w:r>
        <w:rPr>
          <w:vertAlign w:val="superscript"/>
        </w:rPr>
        <w:t xml:space="preserve">Sec</w:t>
      </w:r>
      <w:r>
        <w:t xml:space="preserve">(</w:t>
      </w:r>
      <w:r>
        <w:rPr>
          <w:iCs/>
          <w:i/>
        </w:rPr>
        <w:t xml:space="preserve">t</w:t>
      </w:r>
      <w:r>
        <w:t xml:space="preserve">) × [</w:t>
      </w:r>
      <w:r>
        <w:rPr>
          <w:iCs/>
          <w:i/>
        </w:rPr>
        <w:t xml:space="preserve">x</w:t>
      </w:r>
      <w:r>
        <w:rPr>
          <w:vertAlign w:val="subscript"/>
        </w:rPr>
        <w:t xml:space="preserve">j</w:t>
      </w:r>
      <w:r>
        <w:t xml:space="preserve">(</w:t>
      </w:r>
      <w:r>
        <w:rPr>
          <w:iCs/>
          <w:i/>
        </w:rPr>
        <w:t xml:space="preserve">t</w:t>
      </w:r>
      <w:r>
        <w:t xml:space="preserve">) −</w:t>
      </w:r>
      <w:r>
        <w:t xml:space="preserve"> </w:t>
      </w:r>
      <w:r>
        <w:rPr>
          <w:iCs/>
          <w:i/>
        </w:rPr>
        <w:t xml:space="preserve">x</w:t>
      </w:r>
      <w:r>
        <w:rPr>
          <w:vertAlign w:val="subscript"/>
        </w:rPr>
        <w:t xml:space="preserve">i</w:t>
      </w:r>
      <w:r>
        <w:t xml:space="preserve">(</w:t>
      </w:r>
      <w:r>
        <w:rPr>
          <w:iCs/>
          <w:i/>
        </w:rPr>
        <w:t xml:space="preserve">t</w:t>
      </w:r>
      <w:r>
        <w:t xml:space="preserve">)]</w:t>
      </w:r>
    </w:p>
    <w:p>
      <w:pPr>
        <w:pStyle w:val="BodyText"/>
      </w:pPr>
      <w:r>
        <w:t xml:space="preserve">ExchPeer</w:t>
      </w:r>
      <w:r>
        <w:rPr>
          <w:vertAlign w:val="subscript"/>
        </w:rPr>
        <w:t xml:space="preserve">i</w:t>
      </w:r>
      <w:r>
        <w:t xml:space="preserve">(</w:t>
      </w:r>
      <w:r>
        <w:rPr>
          <w:iCs/>
          <w:i/>
        </w:rPr>
        <w:t xml:space="preserve">t</w:t>
      </w:r>
      <w:r>
        <w:t xml:space="preserve">) = Σ</w:t>
      </w:r>
      <w:r>
        <w:rPr>
          <w:vertAlign w:val="subscript"/>
        </w:rPr>
        <w:t xml:space="preserve">j</w:t>
      </w:r>
      <w:r>
        <w:t xml:space="preserve"> </w:t>
      </w:r>
      <w:r>
        <w:rPr>
          <w:iCs/>
          <w:i/>
        </w:rPr>
        <w:t xml:space="preserve">A</w:t>
      </w:r>
      <w:r>
        <w:rPr>
          <w:vertAlign w:val="subscript"/>
        </w:rPr>
        <w:t xml:space="preserve">ij</w:t>
      </w:r>
      <w:r>
        <w:rPr>
          <w:vertAlign w:val="superscript"/>
        </w:rPr>
        <w:t xml:space="preserve">Exch</w:t>
      </w:r>
      <w:r>
        <w:t xml:space="preserve">(</w:t>
      </w:r>
      <w:r>
        <w:rPr>
          <w:iCs/>
          <w:i/>
        </w:rPr>
        <w:t xml:space="preserve">t</w:t>
      </w:r>
      <w:r>
        <w:t xml:space="preserve">) × [</w:t>
      </w:r>
      <w:r>
        <w:rPr>
          <w:iCs/>
          <w:i/>
        </w:rPr>
        <w:t xml:space="preserve">x</w:t>
      </w:r>
      <w:r>
        <w:rPr>
          <w:vertAlign w:val="subscript"/>
        </w:rPr>
        <w:t xml:space="preserve">j</w:t>
      </w:r>
      <w:r>
        <w:t xml:space="preserve">(</w:t>
      </w:r>
      <w:r>
        <w:rPr>
          <w:iCs/>
          <w:i/>
        </w:rPr>
        <w:t xml:space="preserve">t</w:t>
      </w:r>
      <w:r>
        <w:t xml:space="preserve">) −</w:t>
      </w:r>
      <w:r>
        <w:t xml:space="preserve"> </w:t>
      </w:r>
      <w:r>
        <w:rPr>
          <w:iCs/>
          <w:i/>
        </w:rPr>
        <w:t xml:space="preserve">x</w:t>
      </w:r>
      <w:r>
        <w:rPr>
          <w:vertAlign w:val="subscript"/>
        </w:rPr>
        <w:t xml:space="preserve">i</w:t>
      </w:r>
      <w:r>
        <w:t xml:space="preserve">(</w:t>
      </w:r>
      <w:r>
        <w:rPr>
          <w:iCs/>
          <w:i/>
        </w:rPr>
        <w:t xml:space="preserve">t</w:t>
      </w:r>
      <w:r>
        <w:t xml:space="preserve">)]</w:t>
      </w:r>
    </w:p>
    <w:p>
      <w:pPr>
        <w:pStyle w:val="BodyText"/>
      </w:pPr>
      <w:r>
        <w:t xml:space="preserve">The intuition is straightforward. SecPeer</w:t>
      </w:r>
      <w:r>
        <w:rPr>
          <w:vertAlign w:val="subscript"/>
        </w:rPr>
        <w:t xml:space="preserve">i</w:t>
      </w:r>
      <w:r>
        <w:t xml:space="preserve"> </w:t>
      </w:r>
      <w:r>
        <w:t xml:space="preserve">is positive when a state’s security allies are, on average, more pro-Western than the state itself, pulling it rightward; it is negative when they are more pro-Soviet. A positive α would mean states drift toward their security partners’ positions—a network assimilation effect. The same logic applies to ExchPeer</w:t>
      </w:r>
      <w:r>
        <w:rPr>
          <w:vertAlign w:val="subscript"/>
        </w:rPr>
        <w:t xml:space="preserve">i</w:t>
      </w:r>
      <w:r>
        <w:t xml:space="preserve"> </w:t>
      </w:r>
      <w:r>
        <w:t xml:space="preserve">and β, but through the economic dependence channel.</w:t>
      </w:r>
    </w:p>
    <w:p>
      <w:pPr>
        <w:pStyle w:val="BodyText"/>
      </w:pPr>
      <w:r>
        <w:t xml:space="preserve">The full model specification is:</w:t>
      </w:r>
    </w:p>
    <w:p>
      <w:pPr>
        <w:pStyle w:val="BodyText"/>
      </w:pPr>
      <w:r>
        <w:t xml:space="preserve">Δ</w:t>
      </w:r>
      <w:r>
        <w:rPr>
          <w:iCs/>
          <w:i/>
        </w:rPr>
        <w:t xml:space="preserve">x</w:t>
      </w:r>
      <w:r>
        <w:rPr>
          <w:vertAlign w:val="subscript"/>
        </w:rPr>
        <w:t xml:space="preserve">i</w:t>
      </w:r>
      <w:r>
        <w:rPr>
          <w:vertAlign w:val="superscript"/>
        </w:rPr>
        <w:t xml:space="preserve">t</w:t>
      </w:r>
      <w:r>
        <w:t xml:space="preserve"> </w:t>
      </w:r>
      <w:r>
        <w:t xml:space="preserve">= α · SecPeer</w:t>
      </w:r>
      <w:r>
        <w:rPr>
          <w:vertAlign w:val="subscript"/>
        </w:rPr>
        <w:t xml:space="preserve">i</w:t>
      </w:r>
      <w:r>
        <w:t xml:space="preserve">(</w:t>
      </w:r>
      <w:r>
        <w:rPr>
          <w:iCs/>
          <w:i/>
        </w:rPr>
        <w:t xml:space="preserve">t</w:t>
      </w:r>
      <w:r>
        <w:t xml:space="preserve">) + β · ExchPeer</w:t>
      </w:r>
      <w:r>
        <w:rPr>
          <w:vertAlign w:val="subscript"/>
        </w:rPr>
        <w:t xml:space="preserve">i</w:t>
      </w:r>
      <w:r>
        <w:t xml:space="preserve">(</w:t>
      </w:r>
      <w:r>
        <w:rPr>
          <w:iCs/>
          <w:i/>
        </w:rPr>
        <w:t xml:space="preserve">t</w:t>
      </w:r>
      <w:r>
        <w:t xml:space="preserve">) + ϕ ·</w:t>
      </w:r>
      <w:r>
        <w:t xml:space="preserve"> </w:t>
      </w:r>
      <w:r>
        <w:rPr>
          <w:iCs/>
          <w:i/>
        </w:rPr>
        <w:t xml:space="preserve">x</w:t>
      </w:r>
      <w:r>
        <w:rPr>
          <w:vertAlign w:val="subscript"/>
        </w:rPr>
        <w:t xml:space="preserve">i</w:t>
      </w:r>
      <w:r>
        <w:t xml:space="preserve">(</w:t>
      </w:r>
      <w:r>
        <w:rPr>
          <w:iCs/>
          <w:i/>
        </w:rPr>
        <w:t xml:space="preserve">t</w:t>
      </w:r>
      <w:r>
        <w:t xml:space="preserve">) + μ</w:t>
      </w:r>
      <w:r>
        <w:rPr>
          <w:vertAlign w:val="subscript"/>
        </w:rPr>
        <w:t xml:space="preserve">i</w:t>
      </w:r>
      <w:r>
        <w:t xml:space="preserve"> </w:t>
      </w:r>
      <w:r>
        <w:t xml:space="preserve">+ δ</w:t>
      </w:r>
      <w:r>
        <w:rPr>
          <w:vertAlign w:val="subscript"/>
        </w:rPr>
        <w:t xml:space="preserve">t</w:t>
      </w:r>
      <w:r>
        <w:t xml:space="preserve"> </w:t>
      </w:r>
      <w:r>
        <w:t xml:space="preserve">+ ε</w:t>
      </w:r>
      <w:r>
        <w:rPr>
          <w:vertAlign w:val="subscript"/>
        </w:rPr>
        <w:t xml:space="preserve">it </w:t>
      </w:r>
    </w:p>
    <w:p>
      <w:pPr>
        <w:pStyle w:val="BodyText"/>
      </w:pPr>
      <w:r>
        <w:t xml:space="preserve">where μ</w:t>
      </w:r>
      <w:r>
        <w:rPr>
          <w:vertAlign w:val="subscript"/>
        </w:rPr>
        <w:t xml:space="preserve">i</w:t>
      </w:r>
      <w:r>
        <w:t xml:space="preserve"> </w:t>
      </w:r>
      <w:r>
        <w:t xml:space="preserve">denotes country fixed effects, δ</w:t>
      </w:r>
      <w:r>
        <w:rPr>
          <w:vertAlign w:val="subscript"/>
        </w:rPr>
        <w:t xml:space="preserve">t</w:t>
      </w:r>
      <w:r>
        <w:t xml:space="preserve"> </w:t>
      </w:r>
      <w:r>
        <w:t xml:space="preserve">denotes time (window) fixed effects, and ε</w:t>
      </w:r>
      <w:r>
        <w:rPr>
          <w:vertAlign w:val="subscript"/>
        </w:rPr>
        <w:t xml:space="preserve">it</w:t>
      </w:r>
      <w:r>
        <w:t xml:space="preserve"> </w:t>
      </w:r>
      <w:r>
        <w:t xml:space="preserve">is the error term. The inclusion of</w:t>
      </w:r>
      <w:r>
        <w:t xml:space="preserve"> </w:t>
      </w:r>
      <w:r>
        <w:rPr>
          <w:iCs/>
          <w:i/>
        </w:rPr>
        <w:t xml:space="preserve">x</w:t>
      </w:r>
      <w:r>
        <w:rPr>
          <w:vertAlign w:val="subscript"/>
        </w:rPr>
        <w:t xml:space="preserve">i</w:t>
      </w:r>
      <w:r>
        <w:t xml:space="preserve">(</w:t>
      </w:r>
      <w:r>
        <w:rPr>
          <w:iCs/>
          <w:i/>
        </w:rPr>
        <w:t xml:space="preserve">t</w:t>
      </w:r>
      <w:r>
        <w:t xml:space="preserve">) as a control variable is motivated by the need to account for mean reversion in alignment dynamics: states already positioned near the extremes of the [−1, 1] scale have limited room for further movement in the same direction, generating a mechanical negative correlation between current level and subsequent change if left uncontrolled.</w:t>
      </w:r>
    </w:p>
    <w:bookmarkEnd w:id="32"/>
    <w:bookmarkStart w:id="33" w:name="estimation"/>
    <w:p>
      <w:pPr>
        <w:pStyle w:val="Heading2"/>
      </w:pPr>
      <w:r>
        <w:t xml:space="preserve">4.2 Estimation</w:t>
      </w:r>
    </w:p>
    <w:p>
      <w:pPr>
        <w:pStyle w:val="FirstParagraph"/>
      </w:pPr>
      <w:r>
        <w:t xml:space="preserve">The model is estimated by OLS after absorbing both sets of fixed effects through two-way demeaning—subtracting country means, time means, and adding back the grand mean from each variable. This is algebraically equivalent to including full sets of country and time dummy variables but is computationally more efficient given the panel dimensions (up to 150 countries × 9 usable time windows). Standard errors are clustered at the country level to account for serial correlation in the residuals of the same state across time periods. All estimation is implemented in Python using the</w:t>
      </w:r>
      <w:r>
        <w:t xml:space="preserve"> </w:t>
      </w:r>
      <w:r>
        <w:rPr>
          <w:iCs/>
          <w:i/>
        </w:rPr>
        <w:t xml:space="preserve">statsmodels</w:t>
      </w:r>
      <w:r>
        <w:t xml:space="preserve"> </w:t>
      </w:r>
      <w:r>
        <w:t xml:space="preserve">package.</w:t>
      </w:r>
    </w:p>
    <w:p>
      <w:pPr>
        <w:pStyle w:val="BodyText"/>
      </w:pPr>
      <w:r>
        <w:t xml:space="preserve">We report the within R²—the proportion of variance in the demeaned dependent variable explained by the demeaned regressors—as the measure of model fit. This metric isolates the explanatory power of the time-varying network variables, net of all time-invariant country characteristics (geography, colonial history, culture) and global temporal trends (phases of Cold War escalation and détente).</w:t>
      </w:r>
    </w:p>
    <w:bookmarkEnd w:id="33"/>
    <w:bookmarkStart w:id="34" w:name="X0301723ceaad12dd48498b72d0968222b45ab59"/>
    <w:p>
      <w:pPr>
        <w:pStyle w:val="Heading2"/>
      </w:pPr>
      <w:r>
        <w:t xml:space="preserve">4.3 Identification Assumptions and Limitations</w:t>
      </w:r>
    </w:p>
    <w:p>
      <w:pPr>
        <w:pStyle w:val="FirstParagraph"/>
      </w:pPr>
      <w:r>
        <w:t xml:space="preserve">Our identification strategy rests on the temporal ordering of the data: network structure measured in period</w:t>
      </w:r>
      <w:r>
        <w:t xml:space="preserve"> </w:t>
      </w:r>
      <w:r>
        <w:rPr>
          <w:iCs/>
          <w:i/>
        </w:rPr>
        <w:t xml:space="preserve">t</w:t>
      </w:r>
      <w:r>
        <w:t xml:space="preserve"> </w:t>
      </w:r>
      <w:r>
        <w:t xml:space="preserve">is used to predict alignment change from period</w:t>
      </w:r>
      <w:r>
        <w:t xml:space="preserve"> </w:t>
      </w:r>
      <w:r>
        <w:rPr>
          <w:iCs/>
          <w:i/>
        </w:rPr>
        <w:t xml:space="preserve">t</w:t>
      </w:r>
      <w:r>
        <w:t xml:space="preserve"> </w:t>
      </w:r>
      <w:r>
        <w:t xml:space="preserve">to</w:t>
      </w:r>
      <w:r>
        <w:t xml:space="preserve"> </w:t>
      </w:r>
      <w:r>
        <w:rPr>
          <w:iCs/>
          <w:i/>
        </w:rPr>
        <w:t xml:space="preserve">t</w:t>
      </w:r>
      <w:r>
        <w:t xml:space="preserve"> </w:t>
      </w:r>
      <w:r>
        <w:t xml:space="preserve">+ 1. This lagged structure mitigates the most direct form of simultaneity bias—the concern that alignment and network ties are jointly determined within the same period. However, it does not fully resolve the endogeneity problem, which we discuss transparently.</w:t>
      </w:r>
    </w:p>
    <w:p>
      <w:pPr>
        <w:pStyle w:val="BodyText"/>
      </w:pPr>
      <w:r>
        <w:t xml:space="preserve">The primary threat to identification is reverse causality: states may form alliances or concentrate trade with partners that already share their political orientation, in which case our network peer effect terms would capture selection into networks rather than influence through networks. Country fixed effects absorb time-invariant confounders (e.g., geographic proximity to a superpower, colonial heritage) that might simultaneously drive both network formation and alignment. Time fixed effects control for global shocks (e.g., the Cuban Missile Crisis, détente) that shift all states’ alignment simultaneously. Nevertheless, time-varying omitted variables—such as regime changes that simultaneously alter a state’s alliance portfolio and its UNGA voting behavior—remain a potential source of bias.</w:t>
      </w:r>
    </w:p>
    <w:p>
      <w:pPr>
        <w:pStyle w:val="BodyText"/>
      </w:pPr>
      <w:r>
        <w:t xml:space="preserve">We do not employ instrumental variables. The search for valid instruments for network structure in international relations has so far proved largely fruitless (Cranmer et al., 2017; Signorino &amp; Ritter, 1999, discuss analogous measurement challenges), and we prefer transparency about this limitation over a dubious instrument. Our estimates should accordingly be read as associations consistent with a causal interpretation under the assumptions stated above, not as definitively causal. The regional heterogeneity in our results, discussed in the next chapter, provides additional leverage: if the security peer effect were driven entirely by selection, it would be difficult to explain why it appears only in regions with formal multilateral institutions and not in regions where bilateral ties predominate.</w:t>
      </w:r>
    </w:p>
    <w:bookmarkEnd w:id="34"/>
    <w:bookmarkStart w:id="35" w:name="regional-stratification"/>
    <w:p>
      <w:pPr>
        <w:pStyle w:val="Heading2"/>
      </w:pPr>
      <w:r>
        <w:t xml:space="preserve">4.4 Regional Stratification</w:t>
      </w:r>
    </w:p>
    <w:p>
      <w:pPr>
        <w:pStyle w:val="FirstParagraph"/>
      </w:pPr>
      <w:r>
        <w:t xml:space="preserve">A central prediction of the institutional anchoring framework is that network effects should be conditional on regional institutional context. To test this, we estimate the model separately for six mutually exclusive regional subsamples, defined by COW country code ranges:</w:t>
      </w:r>
    </w:p>
    <w:p>
      <w:pPr>
        <w:pStyle w:val="BodyText"/>
      </w:pPr>
      <w:r>
        <w:t xml:space="preserve">Latin America (COW codes 40–165), encompassing states within the institutional orbit of the Organization of American States and the Inter-American Treaty of Reciprocal Assistance; the Middle East and North Africa (codes 600–699); Sub-Saharan Africa (codes 400–599), a region largely lacking multilateral security institutions during the Cold War; Western Europe (codes 200– 359), the core of the NATO alliance; Eastern Europe and the USSR (codes 360–395), the Warsaw Pact zone; and Asia-Pacific (codes 700–990), a region of heterogeneous security arrangements ranging from US bilateral alliances (with Japan, South Korea, Australia) to the non-aligned states of Southeast Asia.</w:t>
      </w:r>
    </w:p>
    <w:p>
      <w:pPr>
        <w:pStyle w:val="BodyText"/>
      </w:pPr>
      <w:r>
        <w:t xml:space="preserve">This coding scheme is admittedly rough. Turkey (code 640) falls into the MENA group despite being a NATO member; Japan is grouped with non-aligned Southeast Asian states. These miscodings work against our hypothesis—Turkey’s NATO membership should show up as a security effect in MENA if the institutional anchoring story is correct—making our regional tests somewhat conservative. We report both the coefficients and their statistical significance for each subgroup, enabling comparison of α and β across institutional contexts.</w:t>
      </w:r>
    </w:p>
    <w:bookmarkEnd w:id="35"/>
    <w:bookmarkStart w:id="36" w:name="robustness-checks"/>
    <w:p>
      <w:pPr>
        <w:pStyle w:val="Heading2"/>
      </w:pPr>
      <w:r>
        <w:t xml:space="preserve">4.5 Robustness Checks</w:t>
      </w:r>
    </w:p>
    <w:p>
      <w:pPr>
        <w:pStyle w:val="FirstParagraph"/>
      </w:pPr>
      <w:r>
        <w:t xml:space="preserve">We conduct several robustness checks to assess the sensitivity of our findings. First, we re-estimate all models using the</w:t>
      </w:r>
      <w:r>
        <w:t xml:space="preserve"> </w:t>
      </w:r>
      <w:r>
        <w:rPr>
          <w:iCs/>
          <w:i/>
        </w:rPr>
        <w:t xml:space="preserve">idealpointall</w:t>
      </w:r>
      <w:r>
        <w:t xml:space="preserve"> </w:t>
      </w:r>
      <w:r>
        <w:t xml:space="preserve">variant of the UNGA ideal points, which incorporates votes on procedural matters and amendments in addition to final-passage votes. Second, we perform leaveone-out analyses for the two regional subsamples (Sub-Saharan Africa and Asia-Pacific) where the exchange peer effect is significant in the baseline specification without the</w:t>
      </w:r>
      <w:r>
        <w:t xml:space="preserve"> </w:t>
      </w:r>
      <w:r>
        <w:rPr>
          <w:iCs/>
          <w:i/>
        </w:rPr>
        <w:t xml:space="preserve">x</w:t>
      </w:r>
      <w:r>
        <w:rPr>
          <w:vertAlign w:val="subscript"/>
        </w:rPr>
        <w:t xml:space="preserve">i</w:t>
      </w:r>
      <w:r>
        <w:t xml:space="preserve">(</w:t>
      </w:r>
      <w:r>
        <w:rPr>
          <w:iCs/>
          <w:i/>
        </w:rPr>
        <w:t xml:space="preserve">t</w:t>
      </w:r>
      <w:r>
        <w:t xml:space="preserve">) control, sequentially excluding each country to verify that the results are not driven by a single influential case. Third, we report models without the</w:t>
      </w:r>
      <w:r>
        <w:t xml:space="preserve"> </w:t>
      </w:r>
      <w:r>
        <w:rPr>
          <w:iCs/>
          <w:i/>
        </w:rPr>
        <w:t xml:space="preserve">x</w:t>
      </w:r>
      <w:r>
        <w:rPr>
          <w:vertAlign w:val="subscript"/>
        </w:rPr>
        <w:t xml:space="preserve">i</w:t>
      </w:r>
      <w:r>
        <w:t xml:space="preserve">(</w:t>
      </w:r>
      <w:r>
        <w:rPr>
          <w:iCs/>
          <w:i/>
        </w:rPr>
        <w:t xml:space="preserve">t</w:t>
      </w:r>
      <w:r>
        <w:t xml:space="preserve">) control to demonstrate how the inclusion of this variable affects the estimated network effects, providing transparency about the role of mean reversion in shaping our conclusions. Fourth, we estimate a model including an interaction term between SecPeer and ExchPeer to test whether the two network layers exhibit synergistic or antagonistic effects.</w:t>
      </w:r>
    </w:p>
    <w:bookmarkEnd w:id="36"/>
    <w:bookmarkEnd w:id="37"/>
    <w:bookmarkStart w:id="43" w:name="results"/>
    <w:p>
      <w:pPr>
        <w:pStyle w:val="Heading1"/>
      </w:pPr>
      <w:r>
        <w:t xml:space="preserve">5. Results</w:t>
      </w:r>
    </w:p>
    <w:p>
      <w:pPr>
        <w:pStyle w:val="FirstParagraph"/>
      </w:pPr>
      <w:r>
        <w:t xml:space="preserve">We present results in four stages, beginning with the full-sample estimates that initially led us to a more optimistic assessment of network effects than our final conclusions warrant. Section 5.1 reports the full-sample estimates, comparing models with and without the baseline alignment control. Section 5.2 presents the regional stratification, which constitutes the core empirical contribution. Section 5.3 examines the interaction between the two network layers. Section 5.4 summarizes the robustness checks.</w:t>
      </w:r>
    </w:p>
    <w:bookmarkStart w:id="38" w:name="full-sample-estimates"/>
    <w:p>
      <w:pPr>
        <w:pStyle w:val="Heading2"/>
      </w:pPr>
      <w:r>
        <w:t xml:space="preserve">5.1 Full-Sample Estimates</w:t>
      </w:r>
    </w:p>
    <w:p>
      <w:pPr>
        <w:pStyle w:val="FirstParagraph"/>
      </w:pPr>
      <w:r>
        <w:t xml:space="preserve">Table 2 reports the results of four model specifications estimated on the full sample of 954 countrywindow observations. Model 1 includes only the security peer effect and the exchange peer effect without the baseline alignment control. Model 2 includes only the security peer effect. Model 3 includes only the exchange peer effect. Model 4, our preferred specification, adds the baseline alignment level</w:t>
      </w:r>
      <w:r>
        <w:t xml:space="preserve"> </w:t>
      </w:r>
      <w:r>
        <w:rPr>
          <w:iCs/>
          <w:i/>
        </w:rPr>
        <w:t xml:space="preserve">x</w:t>
      </w:r>
      <w:r>
        <w:rPr>
          <w:vertAlign w:val="subscript"/>
        </w:rPr>
        <w:t xml:space="preserve">i</w:t>
      </w:r>
      <w:r>
        <w:t xml:space="preserve">(</w:t>
      </w:r>
      <w:r>
        <w:rPr>
          <w:iCs/>
          <w:i/>
        </w:rPr>
        <w:t xml:space="preserve">t</w:t>
      </w:r>
      <w:r>
        <w:t xml:space="preserve">) as a control variable.</w:t>
      </w:r>
    </w:p>
    <w:p>
      <w:pPr>
        <w:pStyle w:val="BodyText"/>
      </w:pPr>
      <w:r>
        <w:rPr>
          <w:bCs/>
          <w:b/>
        </w:rPr>
        <w:t xml:space="preserve">Table 2.</w:t>
      </w:r>
      <w:r>
        <w:rPr>
          <w:bCs/>
          <w:b/>
        </w:rPr>
        <w:t xml:space="preserve"> </w:t>
      </w:r>
      <w:r>
        <w:t xml:space="preserve">Full-Sample Panel Regression Results</w:t>
      </w:r>
    </w:p>
    <w:tbl>
      <w:tblPr>
        <w:tblStyle w:val="Table"/>
        <w:tblW w:type="auto" w:w="0"/>
        <w:tblLook w:firstRow="0" w:lastRow="0" w:firstColumn="0" w:lastColumn="0" w:noHBand="0" w:noVBand="0" w:val="0000"/>
        <w:jc w:val="start"/>
      </w:tblPr>
      <w:tblGrid>
        <w:gridCol w:w="1584"/>
        <w:gridCol w:w="1584"/>
        <w:gridCol w:w="1584"/>
        <w:gridCol w:w="1584"/>
        <w:gridCol w:w="1584"/>
      </w:tblGrid>
      <w:tr>
        <w:tc>
          <w:tcPr/>
          <w:p>
            <w:pPr>
              <w:pStyle w:val="Compact"/>
            </w:pPr>
          </w:p>
        </w:tc>
        <w:tc>
          <w:tcPr/>
          <w:p>
            <w:pPr>
              <w:pStyle w:val="Compact"/>
              <w:jc w:val="left"/>
            </w:pPr>
            <w:r>
              <w:rPr>
                <w:bCs/>
                <w:b/>
              </w:rPr>
              <w:t xml:space="preserve">Model 1</w:t>
            </w:r>
          </w:p>
        </w:tc>
        <w:tc>
          <w:tcPr/>
          <w:p>
            <w:pPr>
              <w:pStyle w:val="Compact"/>
              <w:jc w:val="left"/>
            </w:pPr>
            <w:r>
              <w:rPr>
                <w:bCs/>
                <w:b/>
              </w:rPr>
              <w:t xml:space="preserve">Model 2</w:t>
            </w:r>
          </w:p>
        </w:tc>
        <w:tc>
          <w:tcPr/>
          <w:p>
            <w:pPr>
              <w:pStyle w:val="Compact"/>
              <w:jc w:val="left"/>
            </w:pPr>
            <w:r>
              <w:rPr>
                <w:bCs/>
                <w:b/>
              </w:rPr>
              <w:t xml:space="preserve">Model 3</w:t>
            </w:r>
          </w:p>
        </w:tc>
        <w:tc>
          <w:tcPr/>
          <w:p>
            <w:pPr>
              <w:pStyle w:val="Compact"/>
              <w:jc w:val="left"/>
            </w:pPr>
            <w:r>
              <w:rPr>
                <w:bCs/>
                <w:b/>
              </w:rPr>
              <w:t xml:space="preserve">Model 4</w:t>
            </w:r>
          </w:p>
        </w:tc>
      </w:tr>
      <w:tr>
        <w:tc>
          <w:tcPr/>
          <w:p>
            <w:pPr>
              <w:pStyle w:val="Compact"/>
              <w:jc w:val="left"/>
            </w:pPr>
            <w:r>
              <w:t xml:space="preserve">α (SecPeer)</w:t>
            </w:r>
          </w:p>
        </w:tc>
        <w:tc>
          <w:tcPr/>
          <w:p>
            <w:pPr>
              <w:pStyle w:val="Compact"/>
              <w:jc w:val="left"/>
            </w:pPr>
            <w:r>
              <w:t xml:space="preserve">0.0066**</w:t>
            </w:r>
          </w:p>
        </w:tc>
        <w:tc>
          <w:tcPr/>
          <w:p>
            <w:pPr>
              <w:pStyle w:val="Compact"/>
              <w:jc w:val="left"/>
            </w:pPr>
            <w:r>
              <w:t xml:space="preserve">0.0053*</w:t>
            </w:r>
          </w:p>
        </w:tc>
        <w:tc>
          <w:tcPr/>
          <w:p>
            <w:pPr>
              <w:pStyle w:val="Compact"/>
              <w:jc w:val="left"/>
            </w:pPr>
            <w:r>
              <w:t xml:space="preserve">—</w:t>
            </w:r>
          </w:p>
        </w:tc>
        <w:tc>
          <w:tcPr/>
          <w:p>
            <w:pPr>
              <w:pStyle w:val="Compact"/>
              <w:jc w:val="left"/>
            </w:pPr>
            <w:r>
              <w:t xml:space="preserve">0.0045†</w:t>
            </w:r>
          </w:p>
        </w:tc>
      </w:tr>
      <w:tr>
        <w:tc>
          <w:tcPr/>
          <w:p>
            <w:pPr>
              <w:pStyle w:val="Compact"/>
            </w:pPr>
          </w:p>
        </w:tc>
        <w:tc>
          <w:tcPr/>
          <w:p>
            <w:pPr>
              <w:pStyle w:val="Compact"/>
              <w:jc w:val="left"/>
            </w:pPr>
            <w:r>
              <w:t xml:space="preserve">(0.008)</w:t>
            </w:r>
          </w:p>
        </w:tc>
        <w:tc>
          <w:tcPr/>
          <w:p>
            <w:pPr>
              <w:pStyle w:val="Compact"/>
              <w:jc w:val="left"/>
            </w:pPr>
            <w:r>
              <w:t xml:space="preserve">(0.026)</w:t>
            </w:r>
          </w:p>
        </w:tc>
        <w:tc>
          <w:tcPr/>
          <w:p>
            <w:pPr>
              <w:pStyle w:val="Compact"/>
            </w:pPr>
          </w:p>
        </w:tc>
        <w:tc>
          <w:tcPr/>
          <w:p>
            <w:pPr>
              <w:pStyle w:val="Compact"/>
              <w:jc w:val="left"/>
            </w:pPr>
            <w:r>
              <w:t xml:space="preserve">(0.060)</w:t>
            </w:r>
          </w:p>
        </w:tc>
      </w:tr>
      <w:tr>
        <w:tc>
          <w:tcPr/>
          <w:p>
            <w:pPr>
              <w:pStyle w:val="Compact"/>
              <w:jc w:val="left"/>
            </w:pPr>
            <w:r>
              <w:t xml:space="preserve">β (ExchPeer)</w:t>
            </w:r>
          </w:p>
        </w:tc>
        <w:tc>
          <w:tcPr/>
          <w:p>
            <w:pPr>
              <w:pStyle w:val="Compact"/>
              <w:jc w:val="left"/>
            </w:pPr>
            <w:r>
              <w:t xml:space="preserve">0.1699*</w:t>
            </w:r>
          </w:p>
        </w:tc>
        <w:tc>
          <w:tcPr/>
          <w:p>
            <w:pPr>
              <w:pStyle w:val="Compact"/>
              <w:jc w:val="left"/>
            </w:pPr>
            <w:r>
              <w:t xml:space="preserve">—</w:t>
            </w:r>
          </w:p>
        </w:tc>
        <w:tc>
          <w:tcPr/>
          <w:p>
            <w:pPr>
              <w:pStyle w:val="Compact"/>
              <w:jc w:val="left"/>
            </w:pPr>
            <w:r>
              <w:t xml:space="preserve">0.1156†</w:t>
            </w:r>
          </w:p>
        </w:tc>
        <w:tc>
          <w:tcPr/>
          <w:p>
            <w:pPr>
              <w:pStyle w:val="Compact"/>
              <w:jc w:val="left"/>
            </w:pPr>
            <w:r>
              <w:t xml:space="preserve">−0.0475</w:t>
            </w:r>
          </w:p>
        </w:tc>
      </w:tr>
      <w:tr>
        <w:tc>
          <w:tcPr/>
          <w:p>
            <w:pPr>
              <w:pStyle w:val="Compact"/>
            </w:pPr>
          </w:p>
        </w:tc>
        <w:tc>
          <w:tcPr/>
          <w:p>
            <w:pPr>
              <w:pStyle w:val="Compact"/>
              <w:jc w:val="left"/>
            </w:pPr>
            <w:r>
              <w:t xml:space="preserve">(0.020)</w:t>
            </w:r>
          </w:p>
        </w:tc>
        <w:tc>
          <w:tcPr/>
          <w:p>
            <w:pPr>
              <w:pStyle w:val="Compact"/>
            </w:pPr>
          </w:p>
        </w:tc>
        <w:tc>
          <w:tcPr/>
          <w:p>
            <w:pPr>
              <w:pStyle w:val="Compact"/>
              <w:jc w:val="left"/>
            </w:pPr>
            <w:r>
              <w:t xml:space="preserve">(0.093)</w:t>
            </w:r>
          </w:p>
        </w:tc>
        <w:tc>
          <w:tcPr/>
          <w:p>
            <w:pPr>
              <w:pStyle w:val="Compact"/>
              <w:jc w:val="left"/>
            </w:pPr>
            <w:r>
              <w:t xml:space="preserve">(0.444)</w:t>
            </w:r>
          </w:p>
        </w:tc>
      </w:tr>
      <w:tr>
        <w:tc>
          <w:tcPr/>
          <w:p>
            <w:pPr>
              <w:pStyle w:val="Compact"/>
              <w:jc w:val="left"/>
            </w:pPr>
            <w:r>
              <w:t xml:space="preserve">ϕ (x_i(t))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−0.2285***</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(0.000)</w:t>
            </w:r>
          </w:p>
        </w:tc>
      </w:tr>
      <w:tr>
        <w:tc>
          <w:tcPr/>
          <w:p>
            <w:pPr>
              <w:pStyle w:val="Compact"/>
              <w:jc w:val="left"/>
            </w:pPr>
            <w:r>
              <w:t xml:space="preserve">Country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Time FE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R² (within)</w:t>
            </w:r>
          </w:p>
        </w:tc>
        <w:tc>
          <w:tcPr/>
          <w:p>
            <w:pPr>
              <w:pStyle w:val="Compact"/>
              <w:jc w:val="left"/>
            </w:pPr>
            <w:r>
              <w:t xml:space="preserve">0.049</w:t>
            </w:r>
          </w:p>
        </w:tc>
        <w:tc>
          <w:tcPr/>
          <w:p>
            <w:pPr>
              <w:pStyle w:val="Compact"/>
              <w:jc w:val="left"/>
            </w:pPr>
            <w:r>
              <w:t xml:space="preserve">0.064</w:t>
            </w:r>
          </w:p>
        </w:tc>
        <w:tc>
          <w:tcPr/>
          <w:p>
            <w:pPr>
              <w:pStyle w:val="Compact"/>
              <w:jc w:val="left"/>
            </w:pPr>
            <w:r>
              <w:t xml:space="preserve">0.036</w:t>
            </w:r>
          </w:p>
        </w:tc>
        <w:tc>
          <w:tcPr/>
          <w:p>
            <w:pPr>
              <w:pStyle w:val="Compact"/>
              <w:jc w:val="left"/>
            </w:pPr>
            <w:r>
              <w:t xml:space="preserve">0.093</w:t>
            </w:r>
          </w:p>
        </w:tc>
      </w:tr>
      <w:tr>
        <w:tc>
          <w:tcPr/>
          <w:p>
            <w:pPr>
              <w:pStyle w:val="Compact"/>
              <w:jc w:val="left"/>
            </w:pPr>
            <w:r>
              <w:t xml:space="preserve">N (obs)</w:t>
            </w:r>
          </w:p>
        </w:tc>
        <w:tc>
          <w:tcPr/>
          <w:p>
            <w:pPr>
              <w:pStyle w:val="Compact"/>
              <w:jc w:val="left"/>
            </w:pPr>
            <w:r>
              <w:t xml:space="preserve">954</w:t>
            </w:r>
          </w:p>
        </w:tc>
        <w:tc>
          <w:tcPr/>
          <w:p>
            <w:pPr>
              <w:pStyle w:val="Compact"/>
              <w:jc w:val="left"/>
            </w:pPr>
            <w:r>
              <w:t xml:space="preserve">954</w:t>
            </w:r>
          </w:p>
        </w:tc>
        <w:tc>
          <w:tcPr/>
          <w:p>
            <w:pPr>
              <w:pStyle w:val="Compact"/>
              <w:jc w:val="left"/>
            </w:pPr>
            <w:r>
              <w:t xml:space="preserve">954</w:t>
            </w:r>
          </w:p>
        </w:tc>
        <w:tc>
          <w:tcPr/>
          <w:p>
            <w:pPr>
              <w:pStyle w:val="Compact"/>
              <w:jc w:val="left"/>
            </w:pPr>
            <w:r>
              <w:t xml:space="preserve">954</w:t>
            </w:r>
          </w:p>
        </w:tc>
      </w:tr>
    </w:tbl>
    <w:p>
      <w:pPr>
        <w:pStyle w:val="BodyText"/>
      </w:pPr>
      <w:r>
        <w:rPr>
          <w:iCs/>
          <w:i/>
        </w:rPr>
        <w:t xml:space="preserve">Note: Two-way fixed effects (country + time). Clustered standard errors (country). p-values in parentheses for coefficient rows. *** p &lt; 0.001, ** p &lt; 0.01, * p &lt; 0.05, † p &lt; 0.10.</w:t>
      </w:r>
    </w:p>
    <w:p>
      <w:pPr>
        <w:pStyle w:val="BodyText"/>
      </w:pPr>
      <w:r>
        <w:t xml:space="preserve">Without the baseline alignment control (Models 1–3), the security peer effect is significant at conventional levels (Model 2: α = 0.0066, p = 0.008; Model 1: α = 0.0053, p = 0.026). The exchange peer effect is significant when entered alone (Model 3: β = 0.170, p = 0.020) but attenuates to marginal significance when entered alongside the security term (Model 1: β = 0.116, p = 0.093).</w:t>
      </w:r>
    </w:p>
    <w:p>
      <w:pPr>
        <w:pStyle w:val="BodyText"/>
      </w:pPr>
      <w:r>
        <w:t xml:space="preserve">The introduction of the baseline alignment control in Model 4 substantively alters the picture. The coefficient on</w:t>
      </w:r>
      <w:r>
        <w:t xml:space="preserve"> </w:t>
      </w:r>
      <w:r>
        <w:rPr>
          <w:iCs/>
          <w:i/>
        </w:rPr>
        <w:t xml:space="preserve">x</w:t>
      </w:r>
      <w:r>
        <w:rPr>
          <w:vertAlign w:val="subscript"/>
        </w:rPr>
        <w:t xml:space="preserve">i</w:t>
      </w:r>
      <w:r>
        <w:t xml:space="preserve">(</w:t>
      </w:r>
      <w:r>
        <w:rPr>
          <w:iCs/>
          <w:i/>
        </w:rPr>
        <w:t xml:space="preserve">t</w:t>
      </w:r>
      <w:r>
        <w:t xml:space="preserve">) is large, negative, and highly significant (ϕ = −0.228, p &lt; 0.001), confirming strong mean reversion in political alignment: states that are currently aligned toward one pole tend to drift back toward the center in the subsequent period. With this dynamic controlled for, the security peer effect weakens to marginal significance (α = 0.0045, p = 0.060), and the exchange peer effect reverses sign and becomes entirely insignificant (β = −0.047, p = 0.444). The within R² increases from 0.049 to 0.093, indicating that mean reversion accounts for a substantial share of the variation in alignment change.</w:t>
      </w:r>
    </w:p>
    <w:p>
      <w:pPr>
        <w:pStyle w:val="BodyText"/>
      </w:pPr>
      <w:r>
        <w:t xml:space="preserve">Two things became clear as we worked through these specifications. First, mean reversion is the dominant dynamic at the global level, overpowering both network effects. Second—and this was the result that most changed our thinking—the apparent significance of the exchange peer effect in Models 1–3 is substantially an artifact of ceiling effects. States near the extremes of the alignment scale both trade heavily with co-aligned partners and have limited room for further movement, generating a spurious positive association. Once we controlled for baseline alignment, trade dependence showed no independent association with alignment change. We had initially expected the economic channel to be the stronger of the two; the data said otherwise.</w:t>
      </w:r>
    </w:p>
    <w:bookmarkEnd w:id="38"/>
    <w:bookmarkStart w:id="40" w:name="regional-stratification-1"/>
    <w:p>
      <w:pPr>
        <w:pStyle w:val="Heading2"/>
      </w:pPr>
      <w:r>
        <w:t xml:space="preserve">5.2 Regional Stratification</w:t>
      </w:r>
    </w:p>
    <w:p>
      <w:pPr>
        <w:pStyle w:val="FirstParagraph"/>
      </w:pPr>
      <w:r>
        <w:t xml:space="preserve">But the full-sample results, we suspected, might mask important heterogeneity. Table 3 reports what turned out to be the most revealing analysis: the preferred specification estimated separately for six regional subsamples.</w:t>
      </w:r>
    </w:p>
    <w:p>
      <w:pPr>
        <w:pStyle w:val="BodyText"/>
      </w:pPr>
      <w:r>
        <w:rPr>
          <w:bCs/>
          <w:b/>
        </w:rPr>
        <w:t xml:space="preserve">Table 3.</w:t>
      </w:r>
      <w:r>
        <w:rPr>
          <w:bCs/>
          <w:b/>
        </w:rPr>
        <w:t xml:space="preserve"> </w:t>
      </w:r>
      <w:r>
        <w:t xml:space="preserve">Regional Panel Regression Results (Preferred Specification with x</w:t>
      </w:r>
      <w:r>
        <w:rPr>
          <w:vertAlign w:val="subscript"/>
        </w:rPr>
        <w:t xml:space="preserve">i</w:t>
      </w:r>
      <w:r>
        <w:t xml:space="preserve">(t) Control)</w:t>
      </w:r>
    </w:p>
    <w:tbl>
      <w:tblPr>
        <w:tblStyle w:val="Table"/>
        <w:tblW w:type="auto" w:w="0"/>
        <w:tblLook w:firstRow="0" w:lastRow="0" w:firstColumn="0" w:lastColumn="0" w:noHBand="0" w:noVBand="0" w:val="0000"/>
        <w:jc w:val="start"/>
      </w:tblPr>
      <w:tblGrid>
        <w:gridCol w:w="1131"/>
        <w:gridCol w:w="1131"/>
        <w:gridCol w:w="1131"/>
        <w:gridCol w:w="1131"/>
        <w:gridCol w:w="1131"/>
        <w:gridCol w:w="1131"/>
        <w:gridCol w:w="1131"/>
      </w:tblGrid>
      <w:tr>
        <w:tc>
          <w:tcPr/>
          <w:p>
            <w:pPr>
              <w:pStyle w:val="Compact"/>
            </w:pPr>
          </w:p>
        </w:tc>
        <w:tc>
          <w:tcPr/>
          <w:p>
            <w:pPr>
              <w:pStyle w:val="Compact"/>
              <w:jc w:val="left"/>
            </w:pPr>
            <w:r>
              <w:rPr>
                <w:bCs/>
                <w:b/>
              </w:rPr>
              <w:t xml:space="preserve">Lat. Am.</w:t>
            </w:r>
          </w:p>
        </w:tc>
        <w:tc>
          <w:tcPr/>
          <w:p>
            <w:pPr>
              <w:pStyle w:val="Compact"/>
              <w:jc w:val="left"/>
            </w:pPr>
            <w:r>
              <w:rPr>
                <w:bCs/>
                <w:b/>
              </w:rPr>
              <w:t xml:space="preserve">MENA</w:t>
            </w:r>
          </w:p>
        </w:tc>
        <w:tc>
          <w:tcPr/>
          <w:p>
            <w:pPr>
              <w:pStyle w:val="Compact"/>
              <w:jc w:val="left"/>
            </w:pPr>
            <w:r>
              <w:rPr>
                <w:bCs/>
                <w:b/>
              </w:rPr>
              <w:t xml:space="preserve">Sub-Sah.</w:t>
            </w:r>
          </w:p>
        </w:tc>
        <w:tc>
          <w:tcPr/>
          <w:p>
            <w:pPr>
              <w:pStyle w:val="Compact"/>
              <w:jc w:val="left"/>
            </w:pPr>
            <w:r>
              <w:rPr>
                <w:bCs/>
                <w:b/>
              </w:rPr>
              <w:t xml:space="preserve">W. Eur.</w:t>
            </w:r>
          </w:p>
        </w:tc>
        <w:tc>
          <w:tcPr/>
          <w:p>
            <w:pPr>
              <w:pStyle w:val="Compact"/>
              <w:jc w:val="left"/>
            </w:pPr>
            <w:r>
              <w:rPr>
                <w:bCs/>
                <w:b/>
              </w:rPr>
              <w:t xml:space="preserve">E. Eur.</w:t>
            </w:r>
          </w:p>
        </w:tc>
        <w:tc>
          <w:tcPr/>
          <w:p>
            <w:pPr>
              <w:pStyle w:val="Compact"/>
              <w:jc w:val="left"/>
            </w:pPr>
            <w:r>
              <w:rPr>
                <w:bCs/>
                <w:b/>
              </w:rPr>
              <w:t xml:space="preserve">Asia-Pac.</w:t>
            </w:r>
          </w:p>
        </w:tc>
      </w:tr>
      <w:tr>
        <w:tc>
          <w:tcPr/>
          <w:p>
            <w:pPr>
              <w:pStyle w:val="Compact"/>
              <w:jc w:val="left"/>
            </w:pPr>
            <w:r>
              <w:t xml:space="preserve">α (SecPeer)</w:t>
            </w:r>
          </w:p>
        </w:tc>
        <w:tc>
          <w:tcPr/>
          <w:p>
            <w:pPr>
              <w:pStyle w:val="Compact"/>
              <w:jc w:val="left"/>
            </w:pPr>
            <w:r>
              <w:t xml:space="preserve">0.0196***</w:t>
            </w:r>
          </w:p>
        </w:tc>
        <w:tc>
          <w:tcPr/>
          <w:p>
            <w:pPr>
              <w:pStyle w:val="Compact"/>
              <w:jc w:val="left"/>
            </w:pPr>
            <w:r>
              <w:t xml:space="preserve">0.0084</w:t>
            </w:r>
          </w:p>
        </w:tc>
        <w:tc>
          <w:tcPr/>
          <w:p>
            <w:pPr>
              <w:pStyle w:val="Compact"/>
              <w:jc w:val="left"/>
            </w:pPr>
            <w:r>
              <w:t xml:space="preserve">0.0029</w:t>
            </w:r>
          </w:p>
        </w:tc>
        <w:tc>
          <w:tcPr/>
          <w:p>
            <w:pPr>
              <w:pStyle w:val="Compact"/>
              <w:jc w:val="left"/>
            </w:pPr>
            <w:r>
              <w:t xml:space="preserve">0.0073***</w:t>
            </w:r>
          </w:p>
        </w:tc>
        <w:tc>
          <w:tcPr/>
          <w:p>
            <w:pPr>
              <w:pStyle w:val="Compact"/>
              <w:jc w:val="left"/>
            </w:pPr>
            <w:r>
              <w:t xml:space="preserve">0.0037*</w:t>
            </w:r>
          </w:p>
        </w:tc>
        <w:tc>
          <w:tcPr/>
          <w:p>
            <w:pPr>
              <w:pStyle w:val="Compact"/>
              <w:jc w:val="left"/>
            </w:pPr>
            <w:r>
              <w:t xml:space="preserve">−0.0032</w:t>
            </w:r>
          </w:p>
        </w:tc>
      </w:tr>
      <w:tr>
        <w:tc>
          <w:tcPr/>
          <w:p>
            <w:pPr>
              <w:pStyle w:val="Compact"/>
              <w:jc w:val="left"/>
            </w:pPr>
            <w:r>
              <w:t xml:space="preserve">p-value</w:t>
            </w:r>
          </w:p>
        </w:tc>
        <w:tc>
          <w:tcPr/>
          <w:p>
            <w:pPr>
              <w:pStyle w:val="Compact"/>
              <w:jc w:val="left"/>
            </w:pPr>
            <w:r>
              <w:t xml:space="preserve">(0.000)</w:t>
            </w:r>
          </w:p>
        </w:tc>
        <w:tc>
          <w:tcPr/>
          <w:p>
            <w:pPr>
              <w:pStyle w:val="Compact"/>
              <w:jc w:val="left"/>
            </w:pPr>
            <w:r>
              <w:t xml:space="preserve">(0.142)</w:t>
            </w:r>
          </w:p>
        </w:tc>
        <w:tc>
          <w:tcPr/>
          <w:p>
            <w:pPr>
              <w:pStyle w:val="Compact"/>
              <w:jc w:val="left"/>
            </w:pPr>
            <w:r>
              <w:t xml:space="preserve">(0.489)</w:t>
            </w:r>
          </w:p>
        </w:tc>
        <w:tc>
          <w:tcPr/>
          <w:p>
            <w:pPr>
              <w:pStyle w:val="Compact"/>
              <w:jc w:val="left"/>
            </w:pPr>
            <w:r>
              <w:t xml:space="preserve">(0.000)</w:t>
            </w:r>
          </w:p>
        </w:tc>
        <w:tc>
          <w:tcPr/>
          <w:p>
            <w:pPr>
              <w:pStyle w:val="Compact"/>
              <w:jc w:val="left"/>
            </w:pPr>
            <w:r>
              <w:t xml:space="preserve">(0.037)</w:t>
            </w:r>
          </w:p>
        </w:tc>
        <w:tc>
          <w:tcPr/>
          <w:p>
            <w:pPr>
              <w:pStyle w:val="Compact"/>
              <w:jc w:val="left"/>
            </w:pPr>
            <w:r>
              <w:t xml:space="preserve">(0.637)</w:t>
            </w:r>
          </w:p>
        </w:tc>
      </w:tr>
      <w:tr>
        <w:tc>
          <w:tcPr/>
          <w:p>
            <w:pPr>
              <w:pStyle w:val="Compact"/>
              <w:jc w:val="left"/>
            </w:pPr>
            <w:r>
              <w:t xml:space="preserve">β (ExchPeer)</w:t>
            </w:r>
          </w:p>
        </w:tc>
        <w:tc>
          <w:tcPr/>
          <w:p>
            <w:pPr>
              <w:pStyle w:val="Compact"/>
              <w:jc w:val="left"/>
            </w:pPr>
            <w:r>
              <w:t xml:space="preserve">0.0156</w:t>
            </w:r>
          </w:p>
        </w:tc>
        <w:tc>
          <w:tcPr/>
          <w:p>
            <w:pPr>
              <w:pStyle w:val="Compact"/>
              <w:jc w:val="left"/>
            </w:pPr>
            <w:r>
              <w:t xml:space="preserve">−0.1292</w:t>
            </w:r>
          </w:p>
        </w:tc>
        <w:tc>
          <w:tcPr/>
          <w:p>
            <w:pPr>
              <w:pStyle w:val="Compact"/>
              <w:jc w:val="left"/>
            </w:pPr>
            <w:r>
              <w:t xml:space="preserve">0.1618†</w:t>
            </w:r>
          </w:p>
        </w:tc>
        <w:tc>
          <w:tcPr/>
          <w:p>
            <w:pPr>
              <w:pStyle w:val="Compact"/>
              <w:jc w:val="left"/>
            </w:pPr>
            <w:r>
              <w:t xml:space="preserve">0.0216</w:t>
            </w:r>
          </w:p>
        </w:tc>
        <w:tc>
          <w:tcPr/>
          <w:p>
            <w:pPr>
              <w:pStyle w:val="Compact"/>
              <w:jc w:val="left"/>
            </w:pPr>
            <w:r>
              <w:t xml:space="preserve">†0.0938</w:t>
            </w:r>
          </w:p>
        </w:tc>
        <w:tc>
          <w:tcPr/>
          <w:p>
            <w:pPr>
              <w:pStyle w:val="Compact"/>
              <w:jc w:val="left"/>
            </w:pPr>
            <w:r>
              <w:t xml:space="preserve">0.0449</w:t>
            </w:r>
          </w:p>
        </w:tc>
      </w:tr>
      <w:tr>
        <w:tc>
          <w:tcPr/>
          <w:p>
            <w:pPr>
              <w:pStyle w:val="Compact"/>
              <w:jc w:val="left"/>
            </w:pPr>
            <w:r>
              <w:t xml:space="preserve">p-value</w:t>
            </w:r>
          </w:p>
        </w:tc>
        <w:tc>
          <w:tcPr/>
          <w:p>
            <w:pPr>
              <w:pStyle w:val="Compact"/>
              <w:jc w:val="left"/>
            </w:pPr>
            <w:r>
              <w:t xml:space="preserve">(0.850)</w:t>
            </w:r>
          </w:p>
        </w:tc>
        <w:tc>
          <w:tcPr/>
          <w:p>
            <w:pPr>
              <w:pStyle w:val="Compact"/>
              <w:jc w:val="left"/>
            </w:pPr>
            <w:r>
              <w:t xml:space="preserve">(0.126)</w:t>
            </w:r>
          </w:p>
        </w:tc>
        <w:tc>
          <w:tcPr/>
          <w:p>
            <w:pPr>
              <w:pStyle w:val="Compact"/>
              <w:jc w:val="left"/>
            </w:pPr>
            <w:r>
              <w:t xml:space="preserve">(0.084)</w:t>
            </w:r>
          </w:p>
        </w:tc>
        <w:tc>
          <w:tcPr/>
          <w:p>
            <w:pPr>
              <w:pStyle w:val="Compact"/>
              <w:jc w:val="left"/>
            </w:pPr>
            <w:r>
              <w:t xml:space="preserve">(0.874)</w:t>
            </w:r>
          </w:p>
        </w:tc>
        <w:tc>
          <w:tcPr/>
          <w:p>
            <w:pPr>
              <w:pStyle w:val="Compact"/>
              <w:jc w:val="left"/>
            </w:pPr>
            <w:r>
              <w:t xml:space="preserve">(0.426)</w:t>
            </w:r>
          </w:p>
        </w:tc>
        <w:tc>
          <w:tcPr/>
          <w:p>
            <w:pPr>
              <w:pStyle w:val="Compact"/>
              <w:jc w:val="left"/>
            </w:pPr>
            <w:r>
              <w:t xml:space="preserve">(0.670)</w:t>
            </w:r>
          </w:p>
        </w:tc>
      </w:tr>
      <w:tr>
        <w:tc>
          <w:tcPr/>
          <w:p>
            <w:pPr>
              <w:pStyle w:val="Compact"/>
              <w:jc w:val="left"/>
            </w:pPr>
            <w:r>
              <w:t xml:space="preserve">ϕ (x_i(t))</w:t>
            </w:r>
          </w:p>
        </w:tc>
        <w:tc>
          <w:tcPr/>
          <w:p>
            <w:pPr>
              <w:pStyle w:val="Compact"/>
              <w:jc w:val="left"/>
            </w:pPr>
            <w:r>
              <w:t xml:space="preserve">−0.1050</w:t>
            </w:r>
          </w:p>
        </w:tc>
        <w:tc>
          <w:tcPr/>
          <w:p>
            <w:pPr>
              <w:pStyle w:val="Compact"/>
              <w:jc w:val="left"/>
            </w:pPr>
            <w:r>
              <w:t xml:space="preserve">−0.3203**</w:t>
            </w:r>
          </w:p>
        </w:tc>
        <w:tc>
          <w:tcPr/>
          <w:p>
            <w:pPr>
              <w:pStyle w:val="Compact"/>
              <w:jc w:val="left"/>
            </w:pPr>
            <w:r>
              <w:t xml:space="preserve">−0.1573</w:t>
            </w:r>
          </w:p>
        </w:tc>
        <w:tc>
          <w:tcPr/>
          <w:p>
            <w:pPr>
              <w:pStyle w:val="Compact"/>
              <w:jc w:val="left"/>
            </w:pPr>
            <w:r>
              <w:t xml:space="preserve">−0.1697</w:t>
            </w:r>
          </w:p>
        </w:tc>
        <w:tc>
          <w:tcPr/>
          <w:p>
            <w:pPr>
              <w:pStyle w:val="Compact"/>
              <w:jc w:val="left"/>
            </w:pPr>
            <w:r>
              <w:t xml:space="preserve">†0.1815</w:t>
            </w:r>
          </w:p>
        </w:tc>
        <w:tc>
          <w:tcPr/>
          <w:p>
            <w:pPr>
              <w:pStyle w:val="Compact"/>
              <w:jc w:val="left"/>
            </w:pPr>
            <w:r>
              <w:t xml:space="preserve">−0.2734**</w:t>
            </w:r>
          </w:p>
        </w:tc>
      </w:tr>
      <w:tr>
        <w:tc>
          <w:tcPr/>
          <w:p>
            <w:pPr>
              <w:pStyle w:val="Compact"/>
              <w:jc w:val="left"/>
            </w:pPr>
            <w:r>
              <w:t xml:space="preserve">p-value</w:t>
            </w:r>
          </w:p>
        </w:tc>
        <w:tc>
          <w:tcPr/>
          <w:p>
            <w:pPr>
              <w:pStyle w:val="Compact"/>
              <w:jc w:val="left"/>
            </w:pPr>
            <w:r>
              <w:t xml:space="preserve">(0.502)</w:t>
            </w:r>
          </w:p>
        </w:tc>
        <w:tc>
          <w:tcPr/>
          <w:p>
            <w:pPr>
              <w:pStyle w:val="Compact"/>
              <w:jc w:val="left"/>
            </w:pPr>
            <w:r>
              <w:t xml:space="preserve">(0.002)</w:t>
            </w:r>
          </w:p>
        </w:tc>
        <w:tc>
          <w:tcPr/>
          <w:p>
            <w:pPr>
              <w:pStyle w:val="Compact"/>
              <w:jc w:val="left"/>
            </w:pPr>
            <w:r>
              <w:t xml:space="preserve">(0.131)</w:t>
            </w:r>
          </w:p>
        </w:tc>
        <w:tc>
          <w:tcPr/>
          <w:p>
            <w:pPr>
              <w:pStyle w:val="Compact"/>
              <w:jc w:val="left"/>
            </w:pPr>
            <w:r>
              <w:t xml:space="preserve">(0.282)</w:t>
            </w:r>
          </w:p>
        </w:tc>
        <w:tc>
          <w:tcPr/>
          <w:p>
            <w:pPr>
              <w:pStyle w:val="Compact"/>
              <w:jc w:val="left"/>
            </w:pPr>
            <w:r>
              <w:t xml:space="preserve">(0.357)</w:t>
            </w:r>
          </w:p>
        </w:tc>
        <w:tc>
          <w:tcPr/>
          <w:p>
            <w:pPr>
              <w:pStyle w:val="Compact"/>
              <w:jc w:val="left"/>
            </w:pPr>
            <w:r>
              <w:t xml:space="preserve">(0.006)</w:t>
            </w:r>
          </w:p>
        </w:tc>
      </w:tr>
      <w:tr>
        <w:tc>
          <w:tcPr/>
          <w:p>
            <w:pPr>
              <w:pStyle w:val="Compact"/>
              <w:jc w:val="left"/>
            </w:pPr>
            <w:r>
              <w:t xml:space="preserve">R² (within)</w:t>
            </w:r>
          </w:p>
        </w:tc>
        <w:tc>
          <w:tcPr/>
          <w:p>
            <w:pPr>
              <w:pStyle w:val="Compact"/>
              <w:jc w:val="left"/>
            </w:pPr>
            <w:r>
              <w:t xml:space="preserve">0.327</w:t>
            </w:r>
          </w:p>
        </w:tc>
        <w:tc>
          <w:tcPr/>
          <w:p>
            <w:pPr>
              <w:pStyle w:val="Compact"/>
              <w:jc w:val="left"/>
            </w:pPr>
            <w:r>
              <w:t xml:space="preserve">0.177</w:t>
            </w:r>
          </w:p>
        </w:tc>
        <w:tc>
          <w:tcPr/>
          <w:p>
            <w:pPr>
              <w:pStyle w:val="Compact"/>
              <w:jc w:val="left"/>
            </w:pPr>
            <w:r>
              <w:t xml:space="preserve">0.156</w:t>
            </w:r>
          </w:p>
        </w:tc>
        <w:tc>
          <w:tcPr/>
          <w:p>
            <w:pPr>
              <w:pStyle w:val="Compact"/>
              <w:jc w:val="left"/>
            </w:pPr>
            <w:r>
              <w:t xml:space="preserve">0.116</w:t>
            </w:r>
          </w:p>
        </w:tc>
        <w:tc>
          <w:tcPr/>
          <w:p>
            <w:pPr>
              <w:pStyle w:val="Compact"/>
              <w:jc w:val="left"/>
            </w:pPr>
            <w:r>
              <w:t xml:space="preserve">0.046</w:t>
            </w:r>
          </w:p>
        </w:tc>
        <w:tc>
          <w:tcPr/>
          <w:p>
            <w:pPr>
              <w:pStyle w:val="Compact"/>
              <w:jc w:val="left"/>
            </w:pPr>
            <w:r>
              <w:t xml:space="preserve">0.130</w:t>
            </w:r>
          </w:p>
        </w:tc>
      </w:tr>
      <w:tr>
        <w:tc>
          <w:tcPr/>
          <w:p>
            <w:pPr>
              <w:pStyle w:val="Compact"/>
              <w:jc w:val="left"/>
            </w:pPr>
            <w:r>
              <w:t xml:space="preserve">N (obs)</w:t>
            </w:r>
          </w:p>
        </w:tc>
        <w:tc>
          <w:tcPr/>
          <w:p>
            <w:pPr>
              <w:pStyle w:val="Compact"/>
              <w:jc w:val="left"/>
            </w:pPr>
            <w:r>
              <w:t xml:space="preserve">219</w:t>
            </w:r>
          </w:p>
        </w:tc>
        <w:tc>
          <w:tcPr/>
          <w:p>
            <w:pPr>
              <w:pStyle w:val="Compact"/>
              <w:jc w:val="left"/>
            </w:pPr>
            <w:r>
              <w:t xml:space="preserve">146</w:t>
            </w:r>
          </w:p>
        </w:tc>
        <w:tc>
          <w:tcPr/>
          <w:p>
            <w:pPr>
              <w:pStyle w:val="Compact"/>
              <w:jc w:val="left"/>
            </w:pPr>
            <w:r>
              <w:t xml:space="preserve">222</w:t>
            </w:r>
          </w:p>
        </w:tc>
        <w:tc>
          <w:tcPr/>
          <w:p>
            <w:pPr>
              <w:pStyle w:val="Compact"/>
              <w:jc w:val="left"/>
            </w:pPr>
            <w:r>
              <w:t xml:space="preserve">149</w:t>
            </w:r>
          </w:p>
        </w:tc>
        <w:tc>
          <w:tcPr/>
          <w:p>
            <w:pPr>
              <w:pStyle w:val="Compact"/>
              <w:jc w:val="left"/>
            </w:pPr>
            <w:r>
              <w:t xml:space="preserve">58</w:t>
            </w:r>
          </w:p>
        </w:tc>
        <w:tc>
          <w:tcPr/>
          <w:p>
            <w:pPr>
              <w:pStyle w:val="Compact"/>
              <w:jc w:val="left"/>
            </w:pPr>
            <w:r>
              <w:t xml:space="preserve">160</w:t>
            </w:r>
          </w:p>
        </w:tc>
      </w:tr>
    </w:tbl>
    <w:p>
      <w:pPr>
        <w:pStyle w:val="BodyText"/>
      </w:pPr>
      <w:r>
        <w:rPr>
          <w:iCs/>
          <w:i/>
        </w:rPr>
        <w:t xml:space="preserve">Note: All models include country and time fixed effects with clustered standard errors (country). p-values in parentheses. *** p &lt; 0.001, ** p &lt; 0.01, * p &lt; 0.05, † p &lt; 0.10.</w:t>
      </w:r>
    </w:p>
    <w:p>
      <w:pPr>
        <w:pStyle w:val="BodyText"/>
      </w:pPr>
      <w:r>
        <w:t xml:space="preserve">The regional results reveal a pattern that the full-sample analysis entirely obscures. Three groups of regions emerge, each with a distinct network dynamic.</w:t>
      </w:r>
    </w:p>
    <w:bookmarkStart w:id="39" w:name="Xbf4ae60edfc07d7acaf6bc0391c54580430c545"/>
    <w:p>
      <w:pPr>
        <w:pStyle w:val="Heading3"/>
      </w:pPr>
      <w:r>
        <w:t xml:space="preserve">Group 1: Security network effective (Latin America, Western Europe, Eastern</w:t>
      </w:r>
    </w:p>
    <w:p>
      <w:pPr>
        <w:pStyle w:val="FirstParagraph"/>
      </w:pPr>
      <w:r>
        <w:rPr>
          <w:bCs/>
          <w:b/>
        </w:rPr>
        <w:t xml:space="preserve">Europe/USSR).</w:t>
      </w:r>
      <w:r>
        <w:rPr>
          <w:bCs/>
          <w:b/>
        </w:rPr>
        <w:t xml:space="preserve"> </w:t>
      </w:r>
      <w:r>
        <w:t xml:space="preserve">In these three regions, the security peer effect α is positive and statistically significant: Latin America (α = 0.0196, p &lt; 0.001), Western Europe (α = 0.0073, p &lt; 0.001), and Eastern Europe/USSR (α = 0.0037, p = 0.037). The exchange peer effect β is insignificant in all three. These regions share a defining structural feature: each was anchored during the Cold War by a formal multilateral security organization—the Organization of American States and the Inter-American Treaty of Reciprocal Assistance in the Western Hemisphere, NATO in Western Europe, and the Warsaw Pact in Eastern Europe. Within these institutional frameworks, security network ties were associated with measurable convergence in political alignment, even after controlling for baseline alignment and time-invariant country characteristics.</w:t>
      </w:r>
    </w:p>
    <w:p>
      <w:pPr>
        <w:pStyle w:val="BodyText"/>
      </w:pPr>
      <w:r>
        <w:t xml:space="preserve">The magnitude of the security effect is largest in Latin America (α = 0.0196), which also exhibits the highest within R² (0.327) among all regions. This may reflect the strong institutional role of the OAS in coordinating hemispheric political positions during the Cold War, particularly through mechanisms such as the collective recognition or non-recognition of governments and the coordinated exclusion of Cuba after 1962.</w:t>
      </w:r>
    </w:p>
    <w:p>
      <w:pPr>
        <w:pStyle w:val="BodyText"/>
      </w:pPr>
      <w:r>
        <w:rPr>
          <w:bCs/>
          <w:b/>
        </w:rPr>
        <w:t xml:space="preserve">Group 2: Neither network effective (MENA, Asia-Pacific).</w:t>
      </w:r>
      <w:r>
        <w:rPr>
          <w:bCs/>
          <w:b/>
        </w:rPr>
        <w:t xml:space="preserve"> </w:t>
      </w:r>
      <w:r>
        <w:t xml:space="preserve">In the Middle East and North Africa and in Asia-Pacific, neither the security nor the exchange peer effect achieves conventional significance. Instead, the dominant dynamic is mean reversion: the baseline alignment coefficient ϕ is strongly negative and significant in both regions (MENA: ϕ = −0.320, p = 0.002; Asia-Pacific: ϕ = −0.273, p = 0.006). States in these regions that had drifted toward one superpower’s position tended to revert toward the center in the following period, and this endogenous restoring force overwhelmed any network-based pressure.</w:t>
      </w:r>
    </w:p>
    <w:p>
      <w:pPr>
        <w:pStyle w:val="BodyText"/>
      </w:pPr>
      <w:r>
        <w:t xml:space="preserve">The insignificance of the security peer effect in these regions is noteworthy given that both contained important Cold War alliances. The Middle East hosted CENTO (the Baghdad Pact), while Asia-Pacific was home to SEATO and a web of bilateral US alliances. However, CENTO and SEATO were widely regarded as institutionally weak—lacking the standing military infrastructure, integrated command structures, and dense consultative routines of NATO or the</w:t>
      </w:r>
    </w:p>
    <w:p>
      <w:pPr>
        <w:pStyle w:val="BodyText"/>
      </w:pPr>
      <w:r>
        <w:t xml:space="preserve">Warsaw Pact—and both were effectively defunct well before the end of the Cold War. The bilateral US alliances in Asia (with Japan, South Korea, the Philippines, and Australia) were stronger but remained bilateral rather than multilateral, lacking the collective deliberation mechanisms that characterize NATO.</w:t>
      </w:r>
    </w:p>
    <w:p>
      <w:pPr>
        <w:pStyle w:val="BodyText"/>
      </w:pPr>
      <w:r>
        <w:rPr>
          <w:bCs/>
          <w:b/>
        </w:rPr>
        <w:t xml:space="preserve">Group 3: Marginal economic effect (Sub-Saharan Africa).</w:t>
      </w:r>
      <w:r>
        <w:rPr>
          <w:bCs/>
          <w:b/>
        </w:rPr>
        <w:t xml:space="preserve"> </w:t>
      </w:r>
      <w:r>
        <w:t xml:space="preserve">Sub-Saharan Africa presents a distinctive pattern. The security peer effect is insignificant (α = 0.003, p = 0.489), consistent with the absence of a multilateral security institution in the region during the Cold War. The Organization of African Unity (OAU), established in 1963, operated primarily as a forum for conflict mediation and sovereignty protection rather than as a security alliance with alignment-enforcing mechanisms. The exchange peer effect, however, retains a positive sign and marginal significance (β = 0.162, p = 0.084)—the only region where economic dependence shows even a weak independent association with alignment change after controlling for baseline alignment.</w:t>
      </w:r>
    </w:p>
    <w:p>
      <w:pPr>
        <w:pStyle w:val="BodyText"/>
      </w:pPr>
      <w:r>
        <w:t xml:space="preserve">This marginal signal is consistent with the structural conditions prevailing in Sub-Saharan Africa during the Cold War. Many states in the region were characterized by highly concentrated trade portfolios—often dependent on a single former colonial power or superpower for the majority of their imports—limited alternative trading partners, and weak domestic institutional constraints on executive foreign policy discretion. Under these conditions, economic leverage may have had some capacity to influence alignment, though the effect is small and does not meet the conventional 5% significance threshold.</w:t>
      </w:r>
    </w:p>
    <w:bookmarkEnd w:id="39"/>
    <w:bookmarkEnd w:id="40"/>
    <w:bookmarkStart w:id="41" w:name="interaction-between-network-layers"/>
    <w:p>
      <w:pPr>
        <w:pStyle w:val="Heading2"/>
      </w:pPr>
      <w:r>
        <w:t xml:space="preserve">5.3 Interaction Between Network Layers</w:t>
      </w:r>
    </w:p>
    <w:p>
      <w:pPr>
        <w:pStyle w:val="FirstParagraph"/>
      </w:pPr>
      <w:r>
        <w:t xml:space="preserve">To test whether the security and exchange layers exert synergistic or antagonistic effects on alignment change, we add an interaction term (SecPeer × ExchPeer) to the full-sample Model 1 specification (without the</w:t>
      </w:r>
      <w:r>
        <w:t xml:space="preserve"> </w:t>
      </w:r>
      <w:r>
        <w:rPr>
          <w:iCs/>
          <w:i/>
        </w:rPr>
        <w:t xml:space="preserve">x</w:t>
      </w:r>
      <w:r>
        <w:rPr>
          <w:vertAlign w:val="subscript"/>
        </w:rPr>
        <w:t xml:space="preserve">i</w:t>
      </w:r>
      <w:r>
        <w:t xml:space="preserve">(</w:t>
      </w:r>
      <w:r>
        <w:rPr>
          <w:iCs/>
          <w:i/>
        </w:rPr>
        <w:t xml:space="preserve">t</w:t>
      </w:r>
      <w:r>
        <w:t xml:space="preserve">) control, to maximize statistical power). The interaction coefficient is small and statistically insignificant (0.003, p = 0.295), with the within R² increasing only marginally from 0.064 to 0.071. This null result indicates that the two network layers operate in parallel rather than in a synergistic or antagonistic manner: the political effect of being embedded in a dense security network is not amplified or dampened by simultaneous economic dependence, and vice versa.</w:t>
      </w:r>
    </w:p>
    <w:bookmarkEnd w:id="41"/>
    <w:bookmarkStart w:id="42" w:name="robustness-checks-1"/>
    <w:p>
      <w:pPr>
        <w:pStyle w:val="Heading2"/>
      </w:pPr>
      <w:r>
        <w:t xml:space="preserve">5.4 Robustness Checks</w:t>
      </w:r>
    </w:p>
    <w:p>
      <w:pPr>
        <w:pStyle w:val="FirstParagraph"/>
      </w:pPr>
      <w:r>
        <w:rPr>
          <w:iCs/>
          <w:i/>
        </w:rPr>
        <w:t xml:space="preserve">Alternative alignment measure.</w:t>
      </w:r>
      <w:r>
        <w:rPr>
          <w:iCs/>
          <w:i/>
        </w:rPr>
        <w:t xml:space="preserve"> </w:t>
      </w:r>
      <w:r>
        <w:t xml:space="preserve">Replacing</w:t>
      </w:r>
      <w:r>
        <w:t xml:space="preserve"> </w:t>
      </w:r>
      <w:r>
        <w:rPr>
          <w:iCs/>
          <w:i/>
        </w:rPr>
        <w:t xml:space="preserve">idealpointfp</w:t>
      </w:r>
      <w:r>
        <w:t xml:space="preserve"> </w:t>
      </w:r>
      <w:r>
        <w:t xml:space="preserve">with</w:t>
      </w:r>
      <w:r>
        <w:t xml:space="preserve"> </w:t>
      </w:r>
      <w:r>
        <w:rPr>
          <w:iCs/>
          <w:i/>
        </w:rPr>
        <w:t xml:space="preserve">idealpointall</w:t>
      </w:r>
      <w:r>
        <w:t xml:space="preserve"> </w:t>
      </w:r>
      <w:r>
        <w:t xml:space="preserve">(which incorporates all UNGA votes, not only final-passage votes) produces substantively similar results in the regional analysis. The Sub-Saharan Africa exchange peer effect strengthens slightly (β = 0.307, p = 0.001 in the specification without</w:t>
      </w:r>
      <w:r>
        <w:t xml:space="preserve"> </w:t>
      </w:r>
      <w:r>
        <w:rPr>
          <w:iCs/>
          <w:i/>
        </w:rPr>
        <w:t xml:space="preserve">x</w:t>
      </w:r>
      <w:r>
        <w:rPr>
          <w:vertAlign w:val="subscript"/>
        </w:rPr>
        <w:t xml:space="preserve">i</w:t>
      </w:r>
      <w:r>
        <w:t xml:space="preserve">(</w:t>
      </w:r>
      <w:r>
        <w:rPr>
          <w:iCs/>
          <w:i/>
        </w:rPr>
        <w:t xml:space="preserve">t</w:t>
      </w:r>
      <w:r>
        <w:t xml:space="preserve">) control), and Asia-Pacific remains significant (β = 0.252, p = 0.025). An unexpected finding emerges in Eastern Europe/USSR, where the exchange peer effect turns negative and significant under</w:t>
      </w:r>
      <w:r>
        <w:t xml:space="preserve"> </w:t>
      </w:r>
      <w:r>
        <w:rPr>
          <w:iCs/>
          <w:i/>
        </w:rPr>
        <w:t xml:space="preserve">idealpointall</w:t>
      </w:r>
      <w:r>
        <w:t xml:space="preserve"> </w:t>
      </w:r>
      <w:r>
        <w:t xml:space="preserve">(β = −0.212, p = 0.026), potentially indicating that economic dependence within the Soviet bloc was associated with subtle political resistance rather than compliance. However, the small sample size in this region (58 observations across 7 countries) warrants caution, and we treat this as a suggestive finding rather than a robust conclusion.</w:t>
      </w:r>
    </w:p>
    <w:p>
      <w:pPr>
        <w:pStyle w:val="BodyText"/>
      </w:pPr>
      <w:r>
        <w:rPr>
          <w:iCs/>
          <w:i/>
        </w:rPr>
        <w:t xml:space="preserve">Leave-one-out analysis.</w:t>
      </w:r>
      <w:r>
        <w:rPr>
          <w:iCs/>
          <w:i/>
        </w:rPr>
        <w:t xml:space="preserve"> </w:t>
      </w:r>
      <w:r>
        <w:t xml:space="preserve">For Sub-Saharan Africa, the exchange peer effect (in the specification without</w:t>
      </w:r>
      <w:r>
        <w:t xml:space="preserve"> </w:t>
      </w:r>
      <w:r>
        <w:rPr>
          <w:iCs/>
          <w:i/>
        </w:rPr>
        <w:t xml:space="preserve">x</w:t>
      </w:r>
      <w:r>
        <w:rPr>
          <w:vertAlign w:val="subscript"/>
        </w:rPr>
        <w:t xml:space="preserve">i</w:t>
      </w:r>
      <w:r>
        <w:t xml:space="preserve">(</w:t>
      </w:r>
      <w:r>
        <w:rPr>
          <w:iCs/>
          <w:i/>
        </w:rPr>
        <w:t xml:space="preserve">t</w:t>
      </w:r>
      <w:r>
        <w:t xml:space="preserve">) control) remains significant at the 5% level in all 44 iterations of the leave-one-out procedure. The coefficient ranges from 0.235 to 0.425, with no single country driving the result. For Asia-Pacific, the effect remains significant in 25 of 28 iterations (89.3%), with no sharp drops exceeding 0.15 in magnitude. These results confirm that the baseline findings are not artifacts of influential outliers.</w:t>
      </w:r>
    </w:p>
    <w:p>
      <w:pPr>
        <w:pStyle w:val="BodyText"/>
      </w:pPr>
      <w:r>
        <w:rPr>
          <w:iCs/>
          <w:i/>
        </w:rPr>
        <w:t xml:space="preserve">Models without baseline alignment control.</w:t>
      </w:r>
      <w:r>
        <w:rPr>
          <w:iCs/>
          <w:i/>
        </w:rPr>
        <w:t xml:space="preserve"> </w:t>
      </w:r>
      <w:r>
        <w:t xml:space="preserve">Comparing Table 3 with the corresponding models without the</w:t>
      </w:r>
      <w:r>
        <w:t xml:space="preserve"> </w:t>
      </w:r>
      <w:r>
        <w:rPr>
          <w:iCs/>
          <w:i/>
        </w:rPr>
        <w:t xml:space="preserve">x</w:t>
      </w:r>
      <w:r>
        <w:rPr>
          <w:vertAlign w:val="subscript"/>
        </w:rPr>
        <w:t xml:space="preserve">i</w:t>
      </w:r>
      <w:r>
        <w:t xml:space="preserve">(</w:t>
      </w:r>
      <w:r>
        <w:rPr>
          <w:iCs/>
          <w:i/>
        </w:rPr>
        <w:t xml:space="preserve">t</w:t>
      </w:r>
      <w:r>
        <w:t xml:space="preserve">) control is instructive. In the unrestricted models, the exchange peer effect appears significant in Sub-Saharan Africa (β = 0.302, p = 0.003) and Asia-Pacific (β = 0.234, p = 0.025). Introducing the baseline control reduces both coefficients and renders the Asia-Pacific effect entirely insignificant, indicating that much of the apparent economic network effect in that region was driven by ceiling-effect confounding. In Sub-Saharan Africa, the effect attenuates but retains marginal significance, suggesting that a genuine—if weak—economic channel may operate in that context.</w:t>
      </w:r>
    </w:p>
    <w:bookmarkEnd w:id="42"/>
    <w:bookmarkEnd w:id="43"/>
    <w:bookmarkStart w:id="48" w:name="discussion"/>
    <w:p>
      <w:pPr>
        <w:pStyle w:val="Heading1"/>
      </w:pPr>
      <w:r>
        <w:t xml:space="preserve">6. Discussion</w:t>
      </w:r>
    </w:p>
    <w:p>
      <w:pPr>
        <w:pStyle w:val="FirstParagraph"/>
      </w:pPr>
      <w:r>
        <w:t xml:space="preserve">The results do not fit neatly into either the liberal or the realist template. Security alliances do not universally constrain alignment; economic dependence does not uniformly promote convergence. The political effects of networks are conditional on institutional context in ways that neither tradition has adequately theorized. We discuss the main findings in turn, dwelling longest on the economic null result, which we believe has the most far-reaching implications.</w:t>
      </w:r>
    </w:p>
    <w:bookmarkStart w:id="44" w:name="X321d57974795c156154d81aef15249bf280e982"/>
    <w:p>
      <w:pPr>
        <w:pStyle w:val="Heading2"/>
      </w:pPr>
      <w:r>
        <w:t xml:space="preserve">6.1 Institutional Anchoring and the Conditionality of Network Effects</w:t>
      </w:r>
    </w:p>
    <w:p>
      <w:pPr>
        <w:pStyle w:val="FirstParagraph"/>
      </w:pPr>
      <w:r>
        <w:t xml:space="preserve">Start with the security result. Alliance ties predict alignment convergence in Latin America, Western Europe, and Eastern</w:t>
      </w:r>
    </w:p>
    <w:p>
      <w:pPr>
        <w:pStyle w:val="BodyText"/>
      </w:pPr>
      <w:r>
        <w:t xml:space="preserve">Europe—all regions anchored by formal multilateral security institutions—but not in the Middle East, Sub-Saharan Africa, or Asia-Pacific, where Cold War security ties were predominantly bilateral or embedded in weak multilateral frameworks.</w:t>
      </w:r>
    </w:p>
    <w:p>
      <w:pPr>
        <w:pStyle w:val="BodyText"/>
      </w:pPr>
      <w:r>
        <w:t xml:space="preserve">This pattern is consistent with our institutional anchoring framework and its three proposed mechanisms. In NATO and the Warsaw Pact, regular high-level consultations (the North Atlantic Council, the Political Consultative Committee) created standing channels for preference coordination. Integrated military command structures and burden-sharing arrangements raised the cost of political defection. Decades of joint exercises, diplomatic academies, and parliamentary assemblies facilitated elite socialization. The OAS, while less tightly integrated militarily, provided analogous mechanisms through its General Assembly, Inter-American Commission on Human Rights, and the collective decision to expel Cuba in 1962—a powerful signal of the alignment costs of deviation.</w:t>
      </w:r>
    </w:p>
    <w:p>
      <w:pPr>
        <w:pStyle w:val="BodyText"/>
      </w:pPr>
      <w:r>
        <w:t xml:space="preserve">By contrast, CENTO and SEATO lacked standing military structures, rarely held ministerial-level meetings, and collapsed well before the Cold War ended. The bilateral US alliances in Asia, while operationally robust, provided security guarantees without the multilateral deliberation that NATO fostered. The absence of a collective forum in which member states regularly negotiated political positions may explain why these alliances protected their members from external threats without systematically pulling their UNGA voting behavior toward the patron’s positions.</w:t>
      </w:r>
    </w:p>
    <w:p>
      <w:pPr>
        <w:pStyle w:val="BodyText"/>
      </w:pPr>
      <w:r>
        <w:t xml:space="preserve">We want to be explicit about the limits of this evidence. The correlation between regional institutional presence and the significance of network effects is suggestive, not dispositive. A convincing test would require within-region variation in institutional participation—for instance, comparing NATO members with non-NATO Western European states, or comparing the institutional trajectories of individual Latin American states over time. We could not perform such tests with the present data, and we flag this as the most important next step for the research program.</w:t>
      </w:r>
    </w:p>
    <w:bookmarkEnd w:id="44"/>
    <w:bookmarkStart w:id="45" w:name="the-weakness-of-economic-influence"/>
    <w:p>
      <w:pPr>
        <w:pStyle w:val="Heading2"/>
      </w:pPr>
      <w:r>
        <w:t xml:space="preserve">6.2 The Weakness of Economic Influence</w:t>
      </w:r>
    </w:p>
    <w:p>
      <w:pPr>
        <w:pStyle w:val="FirstParagraph"/>
      </w:pPr>
      <w:r>
        <w:t xml:space="preserve">The economic null result is, we think, the finding with the most bite. Once baseline alignment is controlled for, trade dependence shows no significant association with alignment change at the global level or in five of six regional subsamples. Even in Sub-Saharan Africa, where a marginal effect persists, it falls short of conventional significance thresholds.</w:t>
      </w:r>
    </w:p>
    <w:p>
      <w:pPr>
        <w:pStyle w:val="BodyText"/>
      </w:pPr>
      <w:r>
        <w:t xml:space="preserve">The absence of a robust economic effect challenges the liberal expectation that interdependence promotes political convergence. But the null result is open to several interpretations, not all of which are fatal to the liberal thesis. First, economic dependence during the Cold War may have operated primarily through its effect on alliance formation rather than directly on political alignment. States that depended on a superpower for imports may have been more likely to enter into security arrangements with that superpower, and it was the security relationship—once institutionalized—that transmitted political influence. Under this interpretation, the economic channel is real but indirect, and its effect is absorbed by the security peer term and the country fixed effects.</w:t>
      </w:r>
    </w:p>
    <w:p>
      <w:pPr>
        <w:pStyle w:val="BodyText"/>
      </w:pPr>
      <w:r>
        <w:t xml:space="preserve">Second, the Cold War may represent a scope condition under which economic influence is structurally limited. The bipolar competition between the superpowers meant that states facing economic pressure from one side could often seek alternative support from the other—a dynamic that Hirschman (1945) identified as the key structural constraint on the political use of trade. The existence of a credible outside option, embodied in the rival superpower, may have neutralized much of the leverage that economic dependence would otherwise confer. This interpretation generates a testable prediction for post-Cold War research: economic network effects on alignment should be stronger in a unipolar system where outside options are more limited.</w:t>
      </w:r>
    </w:p>
    <w:p>
      <w:pPr>
        <w:pStyle w:val="BodyText"/>
      </w:pPr>
      <w:r>
        <w:t xml:space="preserve">Third, the measurement of economic dependence through import shares may miss important channels of economic influence. Aid flows, foreign direct investment, debt relationships, and access to international financial institutions all constitute forms of economic leverage that are not captured by bilateral trade data. The Cold War was characterized by extensive use of these instruments—from the Marshall Plan to Soviet development assistance in the Third World—and their omission from our exchange layer may contribute to the null finding. Future research incorporating these additional economic ties into the multiplex network would provide a more complete test of the economic influence hypothesis.</w:t>
      </w:r>
    </w:p>
    <w:p>
      <w:pPr>
        <w:pStyle w:val="BodyText"/>
      </w:pPr>
      <w:r>
        <w:t xml:space="preserve">It is also worth noting what our results do</w:t>
      </w:r>
      <w:r>
        <w:t xml:space="preserve"> </w:t>
      </w:r>
      <w:r>
        <w:rPr>
          <w:iCs/>
          <w:i/>
        </w:rPr>
        <w:t xml:space="preserve">not</w:t>
      </w:r>
      <w:r>
        <w:t xml:space="preserve"> </w:t>
      </w:r>
      <w:r>
        <w:t xml:space="preserve">show: they do not show systematic backlash. The dependency theory prediction—that economic dependence provokes nationalist political resistance, yielding a negative β—finds no consistent support in our data. The coefficient is negative in two regions (MENA and the full-sample Model 4) but significant in neither. The one exception is the Eastern Europe/USSR subsample under the</w:t>
      </w:r>
      <w:r>
        <w:t xml:space="preserve"> </w:t>
      </w:r>
      <w:r>
        <w:rPr>
          <w:iCs/>
          <w:i/>
        </w:rPr>
        <w:t xml:space="preserve">idealpointall</w:t>
      </w:r>
      <w:r>
        <w:t xml:space="preserve"> </w:t>
      </w:r>
      <w:r>
        <w:t xml:space="preserve">specification, which we discuss below. At the global level, the political consequence of economic dependence during the Cold War appears to have been neither compliance nor resistance, but irrelevance.</w:t>
      </w:r>
    </w:p>
    <w:bookmarkEnd w:id="45"/>
    <w:bookmarkStart w:id="46" w:name="mean-reversion-and-state-autonomy"/>
    <w:p>
      <w:pPr>
        <w:pStyle w:val="Heading2"/>
      </w:pPr>
      <w:r>
        <w:t xml:space="preserve">6.3 Mean Reversion and State Autonomy</w:t>
      </w:r>
    </w:p>
    <w:p>
      <w:pPr>
        <w:pStyle w:val="FirstParagraph"/>
      </w:pPr>
      <w:r>
        <w:t xml:space="preserve">The persistence of mean reversion across most regions was, for us, one of the more thought-provoking results. It suggests that the Cold War system was not the monotonic polarization machine that popular accounts sometimes imply. States that had drifted toward one pole tended to drift back, a pattern that is statistically dominant and absorbs much of the variation that network peer effects would otherwise explain.</w:t>
      </w:r>
    </w:p>
    <w:p>
      <w:pPr>
        <w:pStyle w:val="BodyText"/>
      </w:pPr>
      <w:r>
        <w:t xml:space="preserve">What drives this restoring force? Domestically, leadership turnover and shifts in ruling coalitions periodically reoriented foreign policy, as Mattes, Leeds, and Carroll (2015) have shown. A newly independent state that initially aligned with its former colonial power might elect a nationalist government that shifted toward non-alignment; conversely, a state that had tilted toward the Soviet Union might experience a coup installing a pro-Western regime. These domestic dynamics, operating independently of international network pressures, would produce mean reversion in the aggregate.</w:t>
      </w:r>
    </w:p>
    <w:p>
      <w:pPr>
        <w:pStyle w:val="BodyText"/>
      </w:pPr>
      <w:r>
        <w:t xml:space="preserve">Strategically, the Non-Aligned Movement provided an ideological framework and a social reference group for states seeking to resist superpower pressure. At its peak in the 1970s and 1980s, the NAM encompassed over 100 member states, and its annual summits and coordinated UNGA voting blocs created a gravitational pull toward centrist positions. For states embedded in one superpower’s network but ideologically sympathetic to non-alignment, this pull would manifest as regression toward the mean.</w:t>
      </w:r>
    </w:p>
    <w:p>
      <w:pPr>
        <w:pStyle w:val="BodyText"/>
      </w:pPr>
      <w:r>
        <w:t xml:space="preserve">Finally, the superpowers themselves may have inadvertently contributed to mean reversion by overextending their influence. Heavy-handed interventions—the Soviet invasion of Hungary in 1956, US support for the overthrow of Allende in 1973—may have temporarily secured compliance but provoked longer-term backlash that shifted the targeted state (or its neighbors) back toward the center. This dynamic is consistent with Farrell and Newman’s (2019) observation that the overuse of network leverage erodes the cooperation on which the network depends.</w:t>
      </w:r>
    </w:p>
    <w:p>
      <w:pPr>
        <w:pStyle w:val="BodyText"/>
      </w:pPr>
      <w:r>
        <w:rPr>
          <w:bCs/>
          <w:b/>
        </w:rPr>
        <w:t xml:space="preserve">6.4 An Anomaly: Economic Backlash in the Soviet Bloc?</w:t>
      </w:r>
      <w:r>
        <w:rPr>
          <w:bCs/>
          <w:b/>
        </w:rPr>
        <w:t xml:space="preserve"> </w:t>
      </w:r>
    </w:p>
    <w:p>
      <w:pPr>
        <w:pStyle w:val="BodyText"/>
      </w:pPr>
      <w:r>
        <w:t xml:space="preserve">One anomalous result deserves separate discussion, though we hold it at arm’s length. Under the</w:t>
      </w:r>
      <w:r>
        <w:t xml:space="preserve"> </w:t>
      </w:r>
      <w:r>
        <w:rPr>
          <w:iCs/>
          <w:i/>
        </w:rPr>
        <w:t xml:space="preserve">idealpointall</w:t>
      </w:r>
      <w:r>
        <w:t xml:space="preserve"> </w:t>
      </w:r>
      <w:r>
        <w:t xml:space="preserve">specification, the exchange peer effect in Eastern Europe/USSR turns negative and significant (β = −0.212, p = 0.026). If robust, this would suggest that economic dependence within the Soviet bloc was associated with political divergence rather than convergence—the only instance in our data consistent with the dependency theory prediction of backlash.</w:t>
      </w:r>
    </w:p>
    <w:p>
      <w:pPr>
        <w:pStyle w:val="BodyText"/>
      </w:pPr>
      <w:r>
        <w:t xml:space="preserve">A plausible interpretation is that COMECON trade dependence—which was involuntary, imposed by Soviet planning rather than generated by market forces—created resentment that manifested as subtle political resistance in UNGA voting on issues not directly monitored by Moscow. Eastern European states, unable to resist on security matters, may have used the General Assembly as a low-cost venue for signaling displeasure with their economic subordination. The</w:t>
      </w:r>
      <w:r>
        <w:t xml:space="preserve"> </w:t>
      </w:r>
      <w:r>
        <w:rPr>
          <w:iCs/>
          <w:i/>
        </w:rPr>
        <w:t xml:space="preserve">idealpointall</w:t>
      </w:r>
      <w:r>
        <w:t xml:space="preserve"> </w:t>
      </w:r>
      <w:r>
        <w:t xml:space="preserve">measure, which includes votes on procedural and amendment motions where monitoring was less intense, may capture this subtle resistance more effectively than the</w:t>
      </w:r>
      <w:r>
        <w:t xml:space="preserve"> </w:t>
      </w:r>
      <w:r>
        <w:rPr>
          <w:iCs/>
          <w:i/>
        </w:rPr>
        <w:t xml:space="preserve">idealpointfp</w:t>
      </w:r>
      <w:r>
        <w:t xml:space="preserve"> </w:t>
      </w:r>
      <w:r>
        <w:t xml:space="preserve">measure, which focuses on high-profile final-passage votes where Soviet discipline was more strictly enforced.</w:t>
      </w:r>
    </w:p>
    <w:p>
      <w:pPr>
        <w:pStyle w:val="BodyText"/>
      </w:pPr>
      <w:r>
        <w:t xml:space="preserve">However, this interpretation must be heavily caveated. The Eastern Europe/USSR subsample contains only 58 observations spanning 7 countries over 9 windows—a sample size at which even modest specification changes can produce large swings in coefficient estimates. The finding appears in one of two alignment measures and does not survive the addition of the baseline alignment control. We therefore present it as a speculative hypothesis meriting further investigation with more granular data, rather than as a robust finding.</w:t>
      </w:r>
    </w:p>
    <w:bookmarkEnd w:id="46"/>
    <w:bookmarkStart w:id="47" w:name="Xa7973b2b4506d8561b51ba3d6191eda4d164a0a"/>
    <w:p>
      <w:pPr>
        <w:pStyle w:val="Heading2"/>
      </w:pPr>
      <w:r>
        <w:t xml:space="preserve">6.5 Implications for Contemporary International Politics</w:t>
      </w:r>
    </w:p>
    <w:p>
      <w:pPr>
        <w:pStyle w:val="FirstParagraph"/>
      </w:pPr>
      <w:r>
        <w:t xml:space="preserve">We are wary of drawing straight lines from Cold War dynamics to the present, but the institutional anchoring framework does suggest some provocative implications for contemporary debates.</w:t>
      </w:r>
    </w:p>
    <w:p>
      <w:pPr>
        <w:pStyle w:val="BodyText"/>
      </w:pPr>
      <w:r>
        <w:t xml:space="preserve">If the mechanisms we propose are correct, then economic instruments of influence—trade dependence, infrastructure investment, development finance—should have limited capacity to shift political alignment in the absence of accompanying institutional frameworks. China’s Belt and Road Initiative, which has dramatically increased economic dependence across parts of Asia, Africa, and Latin America, would on this logic be insufficient to produce political alignment unless accompanied by the development of formal multilateral institutions with consultative, commitment, and socialization functions. The Shanghai Cooperation Organization and the BRICS grouping represent steps in this direction, but their institutional depth remains far shallower than that of NATO or even the OAS during the Cold War.</w:t>
      </w:r>
    </w:p>
    <w:p>
      <w:pPr>
        <w:pStyle w:val="BodyText"/>
      </w:pPr>
      <w:r>
        <w:t xml:space="preserve">Conversely, the institutional anchoring framework suggests that the deepening of existing</w:t>
      </w:r>
    </w:p>
    <w:p>
      <w:pPr>
        <w:pStyle w:val="BodyText"/>
      </w:pPr>
      <w:r>
        <w:t xml:space="preserve">Western-led institutions—the expansion and formalization of AUKUS and the Quad in the Indo-Pacific, the reinvigoration of NATO following Russia’s invasion of Ukraine—may be more consequential for political alignment than the economic de-risking policies that currently dominate policy discourse. The lesson of the Cold War, as refracted through our data, is that security institutions anchor political alignment more effectively than economic ties alone.</w:t>
      </w:r>
    </w:p>
    <w:p>
      <w:pPr>
        <w:pStyle w:val="BodyText"/>
      </w:pPr>
      <w:r>
        <w:t xml:space="preserve">These are extrapolations, not entailments. The Cold War was a historically specific configuration of bipolarity, nuclear deterrence, and ideological competition, and whether its dynamics generalize to the current order (Acharya, Estevadeordal, &amp; Goodman, 2023) is an empirical question that our data cannot answer.</w:t>
      </w:r>
    </w:p>
    <w:bookmarkEnd w:id="47"/>
    <w:bookmarkEnd w:id="48"/>
    <w:bookmarkStart w:id="49" w:name="conclusion"/>
    <w:p>
      <w:pPr>
        <w:pStyle w:val="Heading1"/>
      </w:pPr>
      <w:r>
        <w:t xml:space="preserve">7. Conclusion</w:t>
      </w:r>
    </w:p>
    <w:p>
      <w:pPr>
        <w:pStyle w:val="FirstParagraph"/>
      </w:pPr>
      <w:r>
        <w:t xml:space="preserve">We set out to ask a simple question—do the security and economic networks binding states together actually reshape their political orientation?—and arrived at an answer that is more conditional than we initially expected.</w:t>
      </w:r>
    </w:p>
    <w:p>
      <w:pPr>
        <w:pStyle w:val="BodyText"/>
      </w:pPr>
      <w:r>
        <w:t xml:space="preserve">Security network effects on political alignment are real but regionally bounded. Alliance ties predict convergence in UNGA-measured political positioning in Latin America, Western Europe, and Eastern Europe/USSR—regions where Cold War alliances were embedded in formal multilateral organizations with consultative, commitment, and socialization functions—but not in the Middle East, Sub-Saharan Africa, or Asia-Pacific, where security cooperation was predominantly bilateral or institutionally shallow. Second, economic dependence, measured as the share of a state’s imports sourced from each trading partner, has no robust independent effect on political alignment at the global level once baseline positioning is accounted for. A marginal positive signal persists in Sub-Saharan Africa, consistent with the region’s concentrated trade portfolios and limited outside options, but it falls short of conventional significance thresholds. Third, mean reversion emerges as the dominant dynamic in alignment change across most regions, indicating that states possess endogenous restoring forces—rooted in domestic political turnover, strategic hedging, and the gravitational pull of non-alignment—that outweigh external network pressures.</w:t>
      </w:r>
    </w:p>
    <w:p>
      <w:pPr>
        <w:pStyle w:val="BodyText"/>
      </w:pPr>
      <w:r>
        <w:t xml:space="preserve">The institutional anchoring hypothesis we have proposed—that networks transmit political influence only when embedded in formal multilateral institutions—reframes the research question from</w:t>
      </w:r>
      <w:r>
        <w:t xml:space="preserve"> </w:t>
      </w:r>
      <w:r>
        <w:t xml:space="preserve">“</w:t>
      </w:r>
      <w:r>
        <w:t xml:space="preserve">do networks matter?</w:t>
      </w:r>
      <w:r>
        <w:t xml:space="preserve">”</w:t>
      </w:r>
      <w:r>
        <w:t xml:space="preserve"> </w:t>
      </w:r>
      <w:r>
        <w:t xml:space="preserve">to</w:t>
      </w:r>
      <w:r>
        <w:t xml:space="preserve"> </w:t>
      </w:r>
      <w:r>
        <w:t xml:space="preserve">“</w:t>
      </w:r>
      <w:r>
        <w:t xml:space="preserve">under what institutional conditions do networks matter?</w:t>
      </w:r>
      <w:r>
        <w:t xml:space="preserve">”</w:t>
      </w:r>
      <w:r>
        <w:t xml:space="preserve"> </w:t>
      </w:r>
      <w:r>
        <w:t xml:space="preserve">We think this is the more productive question, for both network science and international relations.</w:t>
      </w:r>
    </w:p>
    <w:p>
      <w:pPr>
        <w:pStyle w:val="BodyText"/>
      </w:pPr>
      <w:r>
        <w:t xml:space="preserve">The study has real limitations that we do not want to paper over. The most significant is endogeneity. Although our lagged panel design and two-way fixed effects mitigate the most direct forms of simultaneity and omitted variable bias, we cannot fully exclude the possibility that the security peer effect reflects selection—states joining alliances with partners that already share their orientation—rather than influence. The absence of a credible instrumental variable for network structure in international relations is a well-known methodological challenge, and our results should be interpreted as strongly suggestive rather than definitively causal. Second, the five-year window aggregation, while necessary for constructing stable network matrices, sacrifices temporal resolution. Short-lived alignment shifts triggered by specific events—coups, crises, leadership transitions—may be smoothed out or misattributed across windows. Third, our exchange layer captures only bilateral merchandise trade and omits other channels of economic influence—aid, foreign direct investment, debt, access to international financial institutions—that were important instruments of Cold War statecraft. Fourth, the institutional anchoring hypothesis is proposed on the basis of cross-regional variation in outcomes; we do not directly measure institutional depth or test the three mechanisms (information sharing, commitment credibility, socialization) that we posit as transmission channels. Finally, the weight assignment scheme for the security layer—ordinal scoring of treaty types combined with arms transfer normalization via a maximum operator—involves discretionary choices that, while subjected to robustness checks, introduce a degree of subjectivity into the network construction.</w:t>
      </w:r>
    </w:p>
    <w:p>
      <w:pPr>
        <w:pStyle w:val="BodyText"/>
      </w:pPr>
      <w:r>
        <w:t xml:space="preserve">Each limitation suggests a next step. The most immediate would be to construct a quantitative index of institutional depth—incorporating indicators such as frequency of ministerial meetings, presence of standing secretariats, existence of integrated command structures, and formal dispute resolution mechanisms—and introduce it as a moderating variable interacted with the network peer effect terms. This would allow a direct test of the anchoring hypothesis within rather than across regions. A second direction would be to extend the temporal scope to the post-Cold War period, where the dissolution of bipolarity and the emergence of a more multiplex order (Acharya, Estevadeordal, &amp; Goodman, 2023) may alter the dynamics of network influence in ways our framework can illuminate. A third direction would be to enrich the multiplex network with additional layers—international organization co-membership, diplomatic exchange density, migration flows, cultural proximity—to test whether political influence travels through channels beyond security and trade. A fourth direction, methodologically, would be to adopt stochastic actor-oriented models or temporal exponential random graph models (Leifeld, Cranmer, &amp; Desmarais, 2018) that can simultaneously model network formation and behavioral outcomes, addressing the endogeneity concern more directly than our panel approach.</w:t>
      </w:r>
    </w:p>
    <w:p>
      <w:pPr>
        <w:pStyle w:val="BodyText"/>
      </w:pPr>
      <w:r>
        <w:t xml:space="preserve">If there is a single takeaway from viewing the Cold War through the lens of multiplex networks, it is the asymmetry between instruments: security institutions anchored political alignment far more effectively than economic dependence alone. For an era in which policymakers on all sides are reaching for economic tools—de-risking, supply chain diversification, sanctions, infrastructure investment—this asymmetry is worth taking seriously. The unglamorous work of building, deepening, and maintaining multilateral institutional architecture may do more to shape the political orientation of states than any configuration of economic incentives or pressures.</w:t>
      </w:r>
    </w:p>
    <w:bookmarkEnd w:id="49"/>
    <w:bookmarkStart w:id="50" w:name="data-availability-statement"/>
    <w:p>
      <w:pPr>
        <w:pStyle w:val="Heading1"/>
      </w:pPr>
      <w:r>
        <w:t xml:space="preserve">Data Availability Statement</w:t>
      </w:r>
    </w:p>
    <w:p>
      <w:pPr>
        <w:pStyle w:val="FirstParagraph"/>
      </w:pPr>
      <w:r>
        <w:t xml:space="preserve">Replication data and code for this study are available at [repository URL to be provided upon acceptance]. The security layer was constructed from the Alliance Treaty Obligations and Provisions (ATOP) dataset, version 5.0, available at http://www.atopdata.org, and the Stockholm International Peace Research Institute (SIPRI) Arms Transfers Database, available at https://www.sipri.org/databases/armstransfers. The exchange layer uses the Correlates of War Bilateral Trade Dataset, version 4.0, available at https://correlatesofwar.org/data-sets/bilateral-trade/. Political alignment data are from Bailey, Strezhnev, and Voeten’s (2017) United Nations General Assembly Voting Data, available at https://dataverse.harvard.edu/dataset.xhtml?persistentId=hdl:1902.1/12379. All data sources are publicly accessible. The Python scripts used for network construction, panel data assembly, and regression estimation (including the two-way demeaning procedure and clustered standard errors) will be deposited alongside the replication dataset.</w:t>
      </w:r>
    </w:p>
    <w:bookmarkEnd w:id="50"/>
    <w:bookmarkStart w:id="53" w:name="references"/>
    <w:p>
      <w:pPr>
        <w:pStyle w:val="Heading1"/>
      </w:pPr>
      <w:r>
        <w:t xml:space="preserve">References</w:t>
      </w:r>
    </w:p>
    <w:p>
      <w:pPr>
        <w:pStyle w:val="BlockText"/>
      </w:pPr>
      <w:r>
        <w:t xml:space="preserve">Acharya, A., Estevadeordal, A., &amp; Goodman, L. W. (2023). Multipolar or multiplex? Interaction capacity, globalcooperation and world order.</w:t>
      </w:r>
      <w:r>
        <w:t xml:space="preserve"> </w:t>
      </w:r>
      <w:r>
        <w:rPr>
          <w:iCs/>
          <w:i/>
        </w:rPr>
        <w:t xml:space="preserve">International Affairs, 99</w:t>
      </w:r>
      <w:r>
        <w:t xml:space="preserve">(6), 2339–2365.</w:t>
      </w:r>
      <w:r>
        <w:t xml:space="preserve"> </w:t>
      </w:r>
      <w:hyperlink r:id="rId51">
        <w:r>
          <w:rPr>
            <w:rStyle w:val="Hyperlink"/>
            <w:iCs/>
            <w:i/>
          </w:rPr>
          <w:t xml:space="preserve">https://doi.org/10.1093/ia/iiad242</w:t>
        </w:r>
      </w:hyperlink>
      <w:hyperlink r:id="rId51"/>
    </w:p>
    <w:p>
      <w:pPr>
        <w:pStyle w:val="BlockText"/>
      </w:pPr>
      <w:r>
        <w:t xml:space="preserve">Bailey, M. A., Strezhnev, A., &amp; Voeten, E. (2017). Estimating dynamic state preferences from United Nations voting data. Journal of Conflict Resolution, 61(2), 430–456.</w:t>
      </w:r>
    </w:p>
    <w:p>
      <w:pPr>
        <w:pStyle w:val="FirstParagraph"/>
      </w:pPr>
      <w:r>
        <w:t xml:space="preserve">Barbieri, K., Keshk, O., &amp; Pollins, B. (2009). Trading data: Evaluating our assumptions and coding rules.</w:t>
      </w:r>
    </w:p>
    <w:p>
      <w:pPr>
        <w:pStyle w:val="BlockText"/>
      </w:pPr>
      <w:r>
        <w:rPr>
          <w:iCs/>
          <w:i/>
        </w:rPr>
        <w:t xml:space="preserve">Faculty Publications, 26</w:t>
      </w:r>
      <w:r>
        <w:t xml:space="preserve">.</w:t>
      </w:r>
      <w:r>
        <w:t xml:space="preserve"> </w:t>
      </w:r>
      <w:hyperlink r:id="rId52">
        <w:r>
          <w:rPr>
            <w:rStyle w:val="Hyperlink"/>
            <w:iCs/>
            <w:i/>
          </w:rPr>
          <w:t xml:space="preserve">https://doi.org/10.1177/0738894209343887</w:t>
        </w:r>
      </w:hyperlink>
      <w:hyperlink r:id="rId52"/>
    </w:p>
    <w:p>
      <w:pPr>
        <w:pStyle w:val="BlockText"/>
      </w:pPr>
      <w:r>
        <w:t xml:space="preserve">Cardoso, F. H., &amp; Faletto, E. (1979). Dependency and development in Latin America. University of California Press.</w:t>
      </w:r>
    </w:p>
    <w:p>
      <w:pPr>
        <w:pStyle w:val="BlockText"/>
      </w:pPr>
      <w:r>
        <w:t xml:space="preserve">Checkel, J. T. (2005). International institutions and socialization in Europe: Introduction and framework. International Organization, 59(4), 801–826.</w:t>
      </w:r>
    </w:p>
    <w:p>
      <w:pPr>
        <w:pStyle w:val="BlockText"/>
      </w:pPr>
      <w:r>
        <w:t xml:space="preserve">Cranmer, S. J., &amp; Desmarais, B. A. (2011). Inferential network analysis with exponential random graph models. Political Analysis, 19(1), 66–86.</w:t>
      </w:r>
    </w:p>
    <w:p>
      <w:pPr>
        <w:pStyle w:val="BlockText"/>
      </w:pPr>
      <w:r>
        <w:t xml:space="preserve">Cranmer, S. J., Desmarais, B. A., &amp; Kirkland, J. H. (2012). Toward a network theory of alliance formation. International Interactions, 38(3), 295–324.</w:t>
      </w:r>
    </w:p>
    <w:p>
      <w:pPr>
        <w:pStyle w:val="BlockText"/>
      </w:pPr>
      <w:r>
        <w:t xml:space="preserve">Cranmer, S. J., Desmarais, B. A., &amp; Menninga, E. J. (2012). Complex dependencies in the alliance network. Conflict Management and Peace Science, 29(3), 279–313.</w:t>
      </w:r>
    </w:p>
    <w:p>
      <w:pPr>
        <w:pStyle w:val="BlockText"/>
      </w:pPr>
      <w:r>
        <w:t xml:space="preserve">Cranmer, S. J., Leifeld, P., McClurg, S., &amp; Rolfe, M. (2017). Navigating the range of statistical tools for inferential network analysis. American Journal of Political Science, 61(1), 237–251.</w:t>
      </w:r>
    </w:p>
    <w:p>
      <w:pPr>
        <w:pStyle w:val="FirstParagraph"/>
      </w:pPr>
      <w:r>
        <w:t xml:space="preserve">Drezner, D. W. (2024). Global economic sanctions. Annual Review of Political Science, 27, 9–24.</w:t>
      </w:r>
    </w:p>
    <w:p>
      <w:pPr>
        <w:pStyle w:val="BlockText"/>
      </w:pPr>
      <w:r>
        <w:t xml:space="preserve">Farrell, H., &amp; Newman, A. L. (2019). Weaponized interdependence: How global economic networks shape state coercion. International Security, 44(1), 42–79.</w:t>
      </w:r>
    </w:p>
    <w:p>
      <w:pPr>
        <w:pStyle w:val="BlockText"/>
      </w:pPr>
      <w:r>
        <w:t xml:space="preserve">Hafner-Burton, E. M., Kahler, M., &amp; Montgomery, A. H. (2009). Network analysis for international relations. International Organization, 63(3), 559–592.</w:t>
      </w:r>
    </w:p>
    <w:p>
      <w:pPr>
        <w:pStyle w:val="BlockText"/>
      </w:pPr>
      <w:r>
        <w:t xml:space="preserve">Hirschman, A. O. (1945). National power and the structure of foreign trade. University of California Press.</w:t>
      </w:r>
    </w:p>
    <w:p>
      <w:pPr>
        <w:pStyle w:val="BlockText"/>
      </w:pPr>
      <w:r>
        <w:t xml:space="preserve">Johnston, A. I. (2001). Treating international institutions as social environments. International Studies Quarterly, 45(4), 487–515.</w:t>
      </w:r>
    </w:p>
    <w:p>
      <w:pPr>
        <w:pStyle w:val="BlockText"/>
      </w:pPr>
      <w:r>
        <w:t xml:space="preserve">Keohane, R. O., &amp; Nye, J. S. (1977). Power and interdependence: World politics in transition. Little, Brown.</w:t>
      </w:r>
    </w:p>
    <w:p>
      <w:pPr>
        <w:pStyle w:val="BlockText"/>
      </w:pPr>
      <w:r>
        <w:t xml:space="preserve">Kinne, B. J. (2024). Bilateral treaty networks: Assessing cooperative spillover in defense and investment. Business and Politics, 26(1), 1–30.</w:t>
      </w:r>
    </w:p>
    <w:p>
      <w:pPr>
        <w:pStyle w:val="BlockText"/>
      </w:pPr>
      <w:r>
        <w:t xml:space="preserve">Lai, B., &amp; Reiter, D. (2000). Democracy, political similarity, and international alliances, 1816–1992. Journal of Conflict Resolution, 44(2), 203–227.</w:t>
      </w:r>
    </w:p>
    <w:p>
      <w:pPr>
        <w:pStyle w:val="BlockText"/>
      </w:pPr>
      <w:r>
        <w:t xml:space="preserve">Leeds, B., Ritter, J., Mitchell, S., &amp; Long, A. (2002). Alliance treaty obligations and provisions, 18151944.</w:t>
      </w:r>
      <w:r>
        <w:t xml:space="preserve"> </w:t>
      </w:r>
      <w:r>
        <w:rPr>
          <w:iCs/>
          <w:i/>
        </w:rPr>
        <w:t xml:space="preserve">International Interactions</w:t>
      </w:r>
      <w:r>
        <w:t xml:space="preserve">,</w:t>
      </w:r>
      <w:r>
        <w:t xml:space="preserve"> </w:t>
      </w:r>
      <w:r>
        <w:rPr>
          <w:iCs/>
          <w:i/>
        </w:rPr>
        <w:t xml:space="preserve">28</w:t>
      </w:r>
      <w:r>
        <w:t xml:space="preserve">(3), 237-260.</w:t>
      </w:r>
    </w:p>
    <w:p>
      <w:pPr>
        <w:pStyle w:val="BlockText"/>
      </w:pPr>
      <w:r>
        <w:t xml:space="preserve">Leifeld, P., Cranmer, S. J., &amp; Desmarais, B. A. (2018). Temporal exponential random graph models with btergm: Estimation and bootstrap confidence intervals.</w:t>
      </w:r>
      <w:r>
        <w:t xml:space="preserve"> </w:t>
      </w:r>
      <w:r>
        <w:rPr>
          <w:iCs/>
          <w:i/>
        </w:rPr>
        <w:t xml:space="preserve">Journal of Statistical Software</w:t>
      </w:r>
      <w:r>
        <w:t xml:space="preserve">,</w:t>
      </w:r>
      <w:r>
        <w:t xml:space="preserve"> </w:t>
      </w:r>
      <w:r>
        <w:rPr>
          <w:iCs/>
          <w:i/>
        </w:rPr>
        <w:t xml:space="preserve">83</w:t>
      </w:r>
      <w:r>
        <w:t xml:space="preserve">, 1-36.</w:t>
      </w:r>
    </w:p>
    <w:p>
      <w:pPr>
        <w:pStyle w:val="BlockText"/>
      </w:pPr>
      <w:r>
        <w:t xml:space="preserve">Mattes, M., Leeds, B. A., &amp; Carroll, R. (2015). Leadership turnover and foreign policy change: Societal interests, domestic institutions, and voting in the United Nations. International Studies Quarterly, 59(2), 280–290.</w:t>
      </w:r>
    </w:p>
    <w:p>
      <w:pPr>
        <w:pStyle w:val="BlockText"/>
      </w:pPr>
      <w:r>
        <w:t xml:space="preserve">Oneal, J. R., &amp; Russett, B. M. (1997). The classical liberals were right: Democracy, interdependence, and conflict, 1950–1985. International Studies Quarterly, 41(2), 267–294.</w:t>
      </w:r>
    </w:p>
    <w:p>
      <w:pPr>
        <w:pStyle w:val="FirstParagraph"/>
      </w:pPr>
      <w:r>
        <w:t xml:space="preserve">Pomeroy, C., Dasandi, N., &amp; Mikhaylov, S. J. (2019). Multiplex communities and the emergence of international conflict.</w:t>
      </w:r>
      <w:r>
        <w:t xml:space="preserve"> </w:t>
      </w:r>
      <w:r>
        <w:rPr>
          <w:iCs/>
          <w:i/>
        </w:rPr>
        <w:t xml:space="preserve">PloS one</w:t>
      </w:r>
      <w:r>
        <w:t xml:space="preserve">,</w:t>
      </w:r>
      <w:r>
        <w:t xml:space="preserve"> </w:t>
      </w:r>
      <w:r>
        <w:rPr>
          <w:iCs/>
          <w:i/>
        </w:rPr>
        <w:t xml:space="preserve">14</w:t>
      </w:r>
      <w:r>
        <w:t xml:space="preserve">(10), e0223040. https://doi.org/10.1371/journal.pone.0223040 Snyder, G. H. (1997). Alliance politics. Cornell University Press.</w:t>
      </w:r>
    </w:p>
    <w:p>
      <w:pPr>
        <w:pStyle w:val="BlockText"/>
      </w:pPr>
      <w:r>
        <w:t xml:space="preserve">Wallerstein, I. (1974). The modern world-system I: Capitalist agriculture and the origins of the European world-economy in the sixteenth century. Academic Press.</w:t>
      </w:r>
    </w:p>
    <w:p>
      <w:pPr>
        <w:pStyle w:val="FirstParagraph"/>
      </w:pPr>
      <w:r>
        <w:t xml:space="preserve">Walt, S. M. (1987). The origins of alliances. Cornell University Press.</w:t>
      </w:r>
    </w:p>
    <w:p>
      <w:pPr>
        <w:pStyle w:val="BlockText"/>
      </w:pPr>
      <w:r>
        <w:t xml:space="preserve">Ward, M. D., Stovel, K., &amp; Sacks, A. (2011). Network analysis and political science. Annual Review of Political Science, 14, 245–264.</w:t>
      </w:r>
    </w:p>
    <w:p>
      <w:pPr>
        <w:pStyle w:val="BlockText"/>
      </w:pPr>
      <w:r>
        <w:t xml:space="preserve">Kim, S. Y., &amp; Russett, B. (1996). The new politics of voting alignments in the United Nations General Assembly.</w:t>
      </w:r>
      <w:r>
        <w:t xml:space="preserve"> </w:t>
      </w:r>
      <w:r>
        <w:rPr>
          <w:iCs/>
          <w:i/>
        </w:rPr>
        <w:t xml:space="preserve">International Organization, 50</w:t>
      </w:r>
      <w:r>
        <w:t xml:space="preserve">(4), 629–652. https://doi.org/10.1017/S0020818300033531</w:t>
      </w:r>
    </w:p>
    <w:p>
      <w:pPr>
        <w:pStyle w:val="BlockText"/>
      </w:pPr>
      <w:r>
        <w:t xml:space="preserve">Manger, M. S., &amp; Pickup, M. A. (2016). The coevolution of trade agreement networks and democracy.</w:t>
      </w:r>
      <w:r>
        <w:t xml:space="preserve"> </w:t>
      </w:r>
      <w:r>
        <w:rPr>
          <w:iCs/>
          <w:i/>
        </w:rPr>
        <w:t xml:space="preserve">Journal of Conflict Resolution, 60</w:t>
      </w:r>
      <w:r>
        <w:t xml:space="preserve">(1), 164–191. https://doi.org/10.1177/0022002714535431</w:t>
      </w:r>
    </w:p>
    <w:p>
      <w:pPr>
        <w:pStyle w:val="BlockText"/>
      </w:pPr>
      <w:r>
        <w:t xml:space="preserve">Potrafke, N. (2009). Does government ideology influence political alignment with the U.S.? An empirical analysis of voting in the UN General Assembly.</w:t>
      </w:r>
      <w:r>
        <w:t xml:space="preserve"> </w:t>
      </w:r>
      <w:r>
        <w:rPr>
          <w:iCs/>
          <w:i/>
        </w:rPr>
        <w:t xml:space="preserve">Review of International Organizations, 4</w:t>
      </w:r>
      <w:r>
        <w:t xml:space="preserve">(3), 245–268. https://doi.org/10.1007/s11558-009-9059-0</w:t>
      </w:r>
    </w:p>
    <w:p>
      <w:pPr>
        <w:pStyle w:val="BlockText"/>
      </w:pPr>
      <w:r>
        <w:t xml:space="preserve">Signorino, C. S., &amp; Ritter, J. M. (1999). Tau-b or not tau-b: Measuring the similarity of foreign policy positions.</w:t>
      </w:r>
      <w:r>
        <w:t xml:space="preserve"> </w:t>
      </w:r>
      <w:r>
        <w:rPr>
          <w:iCs/>
          <w:i/>
        </w:rPr>
        <w:t xml:space="preserve">International Studies Quarterly, 43</w:t>
      </w:r>
      <w:r>
        <w:t xml:space="preserve">(1), 115–144. https://doi.org/10.1111/0020-8833.00113</w:t>
      </w:r>
    </w:p>
    <w:p>
      <w:pPr>
        <w:pStyle w:val="BlockText"/>
      </w:pPr>
      <w:r>
        <w:t xml:space="preserve">Smith, A. (2016). Leader turnover, institutions, and voting at the UN General Assembly.</w:t>
      </w:r>
      <w:r>
        <w:t xml:space="preserve"> </w:t>
      </w:r>
      <w:r>
        <w:rPr>
          <w:iCs/>
          <w:i/>
        </w:rPr>
        <w:t xml:space="preserve">Journal of Conflict Resolution, 60</w:t>
      </w:r>
      <w:r>
        <w:t xml:space="preserve">(1), 143–163. https://doi.org/10.1177/0022002714532689</w:t>
      </w:r>
    </w:p>
    <w:p>
      <w:pPr>
        <w:pStyle w:val="BlockText"/>
      </w:pPr>
      <w:r>
        <w:t xml:space="preserve">Voeten, E. (2000). Clashes in the assembly.</w:t>
      </w:r>
      <w:r>
        <w:t xml:space="preserve"> </w:t>
      </w:r>
      <w:r>
        <w:rPr>
          <w:iCs/>
          <w:i/>
        </w:rPr>
        <w:t xml:space="preserve">International Organization, 54</w:t>
      </w:r>
      <w:r>
        <w:t xml:space="preserve">(2), 185–215. https://doi.org/10.1162/002081800551154</w:t>
      </w:r>
    </w:p>
    <w:p>
      <w:pPr>
        <w:pStyle w:val="BlockText"/>
      </w:pPr>
      <w:r>
        <w:t xml:space="preserve">Voeten, E. (2004). Resisting the lonely superpower: Responses of states in the United Nations to U.S. dominance.</w:t>
      </w:r>
      <w:r>
        <w:t xml:space="preserve"> </w:t>
      </w:r>
      <w:r>
        <w:rPr>
          <w:iCs/>
          <w:i/>
        </w:rPr>
        <w:t xml:space="preserve">Journal of Politics, 66</w:t>
      </w:r>
      <w:r>
        <w:t xml:space="preserve">(3), 729–754. https://doi.org/10.1111/j.1468-2508.2004.00274.x</w:t>
      </w:r>
    </w:p>
    <w:p>
      <w:pPr>
        <w:pStyle w:val="BlockText"/>
      </w:pPr>
      <w:r>
        <w:t xml:space="preserve">Walasek, N., &amp; Beal, C. (2022). Multiplex communities and the emergence of international conflict.</w:t>
      </w:r>
      <w:r>
        <w:t xml:space="preserve"> </w:t>
      </w:r>
      <w:r>
        <w:rPr>
          <w:iCs/>
          <w:i/>
        </w:rPr>
        <w:t xml:space="preserve">PLoS ONE, 14</w:t>
      </w:r>
      <w:r>
        <w:t xml:space="preserve">(10), e0223040. https://doi.org/10.1371/journal.pone.0223040</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doi.org/10.1093/ia/iiad242" TargetMode="External" /><Relationship Type="http://schemas.openxmlformats.org/officeDocument/2006/relationships/hyperlink" Id="rId52" Target="https://doi.org/10.1177/0738894209343887" TargetMode="External" /></Relationships>
</file>

<file path=word/_rels/footnotes.xml.rels><?xml version="1.0" encoding="UTF-8"?><Relationships xmlns="http://schemas.openxmlformats.org/package/2006/relationships"><Relationship Type="http://schemas.openxmlformats.org/officeDocument/2006/relationships/hyperlink" Id="rId51" Target="https://doi.org/10.1093/ia/iiad242" TargetMode="External" /><Relationship Type="http://schemas.openxmlformats.org/officeDocument/2006/relationships/hyperlink" Id="rId52" Target="https://doi.org/10.1177/073889420934388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2026-02-26T12:25:45Z</dcterms:created>
  <dcterms:modified xsi:type="dcterms:W3CDTF">2026-02-26T12:25:45Z</dcterms:modified>
</cp:coreProperties>
</file>

<file path=docProps/custom.xml><?xml version="1.0" encoding="utf-8"?>
<Properties xmlns="http://schemas.openxmlformats.org/officeDocument/2006/custom-properties" xmlns:vt="http://schemas.openxmlformats.org/officeDocument/2006/docPropsVTypes"/>
</file>