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B31EAB">
      <w:pPr>
        <w:pStyle w:val="2"/>
        <w:jc w:val="center"/>
        <w:rPr>
          <w:rFonts w:ascii="黑体" w:hAnsi="黑体" w:eastAsia="黑体"/>
          <w:color w:val="auto"/>
          <w:sz w:val="28"/>
          <w:szCs w:val="28"/>
        </w:rPr>
      </w:pPr>
      <w:r>
        <w:rPr>
          <w:rFonts w:hint="eastAsia" w:ascii="黑体" w:hAnsi="黑体" w:eastAsia="黑体"/>
          <w:color w:val="auto"/>
          <w:sz w:val="28"/>
          <w:szCs w:val="28"/>
        </w:rPr>
        <w:t>一、引言</w:t>
      </w:r>
    </w:p>
    <w:p w14:paraId="213DFF2D">
      <w:pPr>
        <w:spacing w:line="276" w:lineRule="auto"/>
        <w:ind w:firstLine="480" w:firstLineChars="200"/>
        <w:rPr>
          <w:rFonts w:ascii="宋体" w:hAnsi="宋体" w:eastAsia="宋体"/>
          <w:sz w:val="24"/>
          <w:szCs w:val="24"/>
        </w:rPr>
      </w:pPr>
      <w:r>
        <w:rPr>
          <w:rFonts w:ascii="宋体" w:hAnsi="宋体" w:eastAsia="宋体"/>
          <w:sz w:val="24"/>
          <w:szCs w:val="24"/>
        </w:rPr>
        <w:t>随着人工智能技术的快速发展和广泛应用，培养中小学生的人工智能学习素养已成为全球教育改革的重要议题。中国的《新一代人工智能发展规划》以及联合国教科文组织的《人工智能教育政策》等国际性教育政策，均强调了在基础教育阶段培养学生</w:t>
      </w:r>
      <w:r>
        <w:rPr>
          <w:rFonts w:hint="eastAsia" w:ascii="宋体" w:hAnsi="宋体" w:eastAsia="宋体"/>
          <w:sz w:val="24"/>
          <w:szCs w:val="24"/>
        </w:rPr>
        <w:t>人工智能</w:t>
      </w:r>
      <w:r>
        <w:rPr>
          <w:rFonts w:ascii="宋体" w:hAnsi="宋体" w:eastAsia="宋体"/>
          <w:sz w:val="24"/>
          <w:szCs w:val="24"/>
        </w:rPr>
        <w:t>素养的重要性。</w:t>
      </w:r>
      <w:r>
        <w:rPr>
          <w:rStyle w:val="21"/>
          <w:rFonts w:ascii="宋体" w:hAnsi="宋体" w:eastAsia="宋体"/>
          <w:sz w:val="24"/>
          <w:szCs w:val="24"/>
        </w:rPr>
        <w:t>[</w:t>
      </w:r>
      <w:r>
        <w:rPr>
          <w:rStyle w:val="21"/>
          <w:rFonts w:ascii="宋体" w:hAnsi="宋体" w:eastAsia="宋体"/>
          <w:sz w:val="24"/>
          <w:szCs w:val="24"/>
        </w:rPr>
        <w:endnoteReference w:id="0"/>
      </w:r>
      <w:r>
        <w:rPr>
          <w:rStyle w:val="21"/>
          <w:rFonts w:ascii="宋体" w:hAnsi="宋体" w:eastAsia="宋体"/>
          <w:sz w:val="24"/>
          <w:szCs w:val="24"/>
        </w:rPr>
        <w:t>][</w:t>
      </w:r>
      <w:r>
        <w:rPr>
          <w:rStyle w:val="21"/>
          <w:rFonts w:ascii="宋体" w:hAnsi="宋体" w:eastAsia="宋体"/>
          <w:sz w:val="24"/>
          <w:szCs w:val="24"/>
        </w:rPr>
        <w:endnoteReference w:id="1"/>
      </w:r>
      <w:r>
        <w:rPr>
          <w:rStyle w:val="21"/>
          <w:rFonts w:ascii="宋体" w:hAnsi="宋体" w:eastAsia="宋体"/>
          <w:sz w:val="24"/>
          <w:szCs w:val="24"/>
        </w:rPr>
        <w:t>]</w:t>
      </w:r>
      <w:r>
        <w:rPr>
          <w:rFonts w:ascii="宋体" w:hAnsi="宋体" w:eastAsia="宋体"/>
          <w:sz w:val="24"/>
          <w:szCs w:val="24"/>
        </w:rPr>
        <w:t>同时，国内学者也日益关注人工智能教育的发展，</w:t>
      </w:r>
      <w:r>
        <w:rPr>
          <w:rFonts w:hint="eastAsia" w:ascii="宋体" w:hAnsi="宋体" w:eastAsia="宋体"/>
          <w:sz w:val="24"/>
          <w:szCs w:val="24"/>
        </w:rPr>
        <w:t>包括教育数字化转型的实践和机遇</w:t>
      </w:r>
      <w:r>
        <w:rPr>
          <w:rStyle w:val="21"/>
          <w:rFonts w:ascii="宋体" w:hAnsi="宋体" w:eastAsia="宋体"/>
          <w:sz w:val="24"/>
          <w:szCs w:val="24"/>
        </w:rPr>
        <w:t>[</w:t>
      </w:r>
      <w:r>
        <w:rPr>
          <w:rStyle w:val="21"/>
          <w:rFonts w:ascii="宋体" w:hAnsi="宋体" w:eastAsia="宋体"/>
          <w:sz w:val="24"/>
          <w:szCs w:val="24"/>
        </w:rPr>
        <w:endnoteReference w:id="2"/>
      </w:r>
      <w:r>
        <w:rPr>
          <w:rStyle w:val="21"/>
          <w:rFonts w:ascii="宋体" w:hAnsi="宋体" w:eastAsia="宋体"/>
          <w:sz w:val="24"/>
          <w:szCs w:val="24"/>
        </w:rPr>
        <w:t>]</w:t>
      </w:r>
      <w:r>
        <w:rPr>
          <w:rFonts w:hint="eastAsia" w:ascii="宋体" w:hAnsi="宋体" w:eastAsia="宋体"/>
          <w:sz w:val="24"/>
          <w:szCs w:val="24"/>
        </w:rPr>
        <w:t>；人工智能的应用现状和发展趋势分析等</w:t>
      </w:r>
      <w:r>
        <w:rPr>
          <w:rStyle w:val="21"/>
          <w:rFonts w:ascii="宋体" w:hAnsi="宋体" w:eastAsia="宋体"/>
          <w:sz w:val="24"/>
          <w:szCs w:val="24"/>
        </w:rPr>
        <w:t>[</w:t>
      </w:r>
      <w:r>
        <w:rPr>
          <w:rStyle w:val="21"/>
          <w:rFonts w:ascii="宋体" w:hAnsi="宋体" w:eastAsia="宋体"/>
          <w:sz w:val="24"/>
          <w:szCs w:val="24"/>
        </w:rPr>
        <w:endnoteReference w:id="3"/>
      </w:r>
      <w:r>
        <w:rPr>
          <w:rStyle w:val="21"/>
          <w:rFonts w:ascii="宋体" w:hAnsi="宋体" w:eastAsia="宋体"/>
          <w:sz w:val="24"/>
          <w:szCs w:val="24"/>
        </w:rPr>
        <w:t>]</w:t>
      </w:r>
      <w:r>
        <w:rPr>
          <w:rFonts w:ascii="宋体" w:hAnsi="宋体" w:eastAsia="宋体"/>
          <w:sz w:val="24"/>
          <w:szCs w:val="24"/>
        </w:rPr>
        <w:t>。学生的学习氛围作为影响其学习效果的重要因素，在人工智能教育领域同样发挥着关键作用。本综述旨在系统梳理人工智能学习态度社会网络感知、人工智能学习素养、学习自我效能感以及相关差异性因素的研究现状，为本研究提供理论基础。</w:t>
      </w:r>
    </w:p>
    <w:p w14:paraId="627321DC">
      <w:pPr>
        <w:pStyle w:val="2"/>
        <w:jc w:val="center"/>
        <w:rPr>
          <w:rFonts w:hint="eastAsia" w:ascii="黑体" w:hAnsi="黑体" w:eastAsia="黑体"/>
          <w:color w:val="auto"/>
          <w:sz w:val="28"/>
          <w:szCs w:val="28"/>
        </w:rPr>
      </w:pPr>
      <w:r>
        <w:rPr>
          <w:rFonts w:hint="eastAsia" w:ascii="黑体" w:hAnsi="黑体" w:eastAsia="黑体"/>
          <w:color w:val="auto"/>
          <w:sz w:val="28"/>
          <w:szCs w:val="28"/>
        </w:rPr>
        <w:t>二、</w:t>
      </w:r>
      <w:r>
        <w:rPr>
          <w:rFonts w:ascii="黑体" w:hAnsi="黑体" w:eastAsia="黑体"/>
          <w:color w:val="auto"/>
          <w:sz w:val="28"/>
          <w:szCs w:val="28"/>
        </w:rPr>
        <w:t>重要他人</w:t>
      </w:r>
      <w:r>
        <w:rPr>
          <w:rFonts w:hint="eastAsia" w:ascii="黑体" w:hAnsi="黑体" w:eastAsia="黑体"/>
          <w:color w:val="auto"/>
          <w:sz w:val="28"/>
          <w:szCs w:val="28"/>
        </w:rPr>
        <w:t>影响</w:t>
      </w:r>
      <w:r>
        <w:rPr>
          <w:rFonts w:ascii="黑体" w:hAnsi="黑体" w:eastAsia="黑体"/>
          <w:color w:val="auto"/>
          <w:sz w:val="28"/>
          <w:szCs w:val="28"/>
        </w:rPr>
        <w:t>与人工智能学习素养</w:t>
      </w:r>
    </w:p>
    <w:p w14:paraId="75E6DDD2">
      <w:pPr>
        <w:spacing w:line="360" w:lineRule="auto"/>
        <w:ind w:firstLine="480" w:firstLineChars="200"/>
        <w:rPr>
          <w:rFonts w:hint="eastAsia" w:ascii="楷体" w:hAnsi="楷体" w:eastAsia="楷体"/>
          <w:sz w:val="24"/>
          <w:szCs w:val="24"/>
        </w:rPr>
      </w:pPr>
      <w:r>
        <w:rPr>
          <w:rFonts w:ascii="楷体" w:hAnsi="楷体" w:eastAsia="楷体"/>
          <w:sz w:val="24"/>
          <w:szCs w:val="24"/>
        </w:rPr>
        <w:t>（一）重要他人影响</w:t>
      </w:r>
      <w:r>
        <w:rPr>
          <w:rFonts w:hint="eastAsia" w:ascii="楷体" w:hAnsi="楷体" w:eastAsia="楷体"/>
          <w:sz w:val="24"/>
          <w:szCs w:val="24"/>
        </w:rPr>
        <w:t>及其重要维度</w:t>
      </w:r>
      <w:r>
        <w:rPr>
          <w:rFonts w:ascii="楷体" w:hAnsi="楷体" w:eastAsia="楷体"/>
          <w:sz w:val="24"/>
          <w:szCs w:val="24"/>
        </w:rPr>
        <w:t>相关研究</w:t>
      </w:r>
    </w:p>
    <w:p w14:paraId="34D8A685">
      <w:pPr>
        <w:spacing w:line="276" w:lineRule="auto"/>
        <w:ind w:firstLine="480" w:firstLineChars="200"/>
        <w:rPr>
          <w:rFonts w:ascii="宋体" w:hAnsi="宋体" w:eastAsia="宋体"/>
          <w:sz w:val="24"/>
          <w:szCs w:val="24"/>
        </w:rPr>
      </w:pPr>
      <w:r>
        <w:rPr>
          <w:rFonts w:ascii="宋体" w:hAnsi="宋体" w:eastAsia="宋体"/>
          <w:sz w:val="24"/>
          <w:szCs w:val="24"/>
        </w:rPr>
        <w:t>根据社会认知理论，</w:t>
      </w:r>
      <w:r>
        <w:rPr>
          <w:rFonts w:hint="eastAsia" w:ascii="宋体" w:hAnsi="宋体" w:eastAsia="宋体"/>
          <w:sz w:val="24"/>
          <w:szCs w:val="24"/>
        </w:rPr>
        <w:t>个体通过观察生活中重要他人（即“榜样”）的行为与态度来形成和调整自身的行为模式。在这一理论框架下，重要他人主要包括父母、教师、同伴等与个体有密切互动关系的人。重要他人的影响具有明显的发展阶段性特征：儿童期以父母为主，青少年期同伴影响增强，成年期则趋于多元化这与个体社会化过程中认知能力和社会关系网络的发展是密切相关的。</w:t>
      </w:r>
      <w:bookmarkStart w:id="0" w:name="_Ref212885828"/>
      <w:r>
        <w:rPr>
          <w:rStyle w:val="21"/>
          <w:rFonts w:hint="eastAsia" w:ascii="宋体" w:hAnsi="宋体" w:eastAsia="宋体"/>
          <w:sz w:val="24"/>
          <w:szCs w:val="24"/>
        </w:rPr>
        <w:endnoteReference w:id="4"/>
      </w:r>
      <w:bookmarkEnd w:id="0"/>
      <w:r>
        <w:rPr>
          <w:rFonts w:hint="eastAsia" w:ascii="宋体" w:hAnsi="宋体" w:eastAsia="宋体"/>
          <w:sz w:val="24"/>
          <w:szCs w:val="24"/>
        </w:rPr>
        <w:t>对于学生而言，其学习态度与认知发展并非孤立形成的，而是嵌入在由家庭、学校与同伴构成的社会网络之中。已有研究表明，父母、教师与同伴作为学生社会网络中的关键行动者，对其学习动机、认知信念与学科态度具有深远影响。</w:t>
      </w:r>
    </w:p>
    <w:p w14:paraId="7678FF13">
      <w:pPr>
        <w:spacing w:line="276" w:lineRule="auto"/>
        <w:ind w:firstLine="480" w:firstLineChars="200"/>
        <w:rPr>
          <w:rFonts w:ascii="宋体" w:hAnsi="宋体" w:eastAsia="宋体"/>
          <w:sz w:val="24"/>
          <w:szCs w:val="24"/>
        </w:rPr>
      </w:pPr>
      <w:r>
        <w:rPr>
          <w:rFonts w:hint="eastAsia" w:ascii="宋体" w:hAnsi="宋体" w:eastAsia="宋体"/>
          <w:sz w:val="24"/>
          <w:szCs w:val="24"/>
        </w:rPr>
        <w:t>对于处在青少年期的学生而言，</w:t>
      </w:r>
      <w:r>
        <w:rPr>
          <w:rFonts w:ascii="宋体" w:hAnsi="宋体" w:eastAsia="宋体"/>
          <w:sz w:val="24"/>
          <w:szCs w:val="24"/>
        </w:rPr>
        <w:t>家长参与(parental involvement)是影响学生学业成就的最重要因素之一，其影响力甚至超过社会经济地位、种族或民族背景。</w:t>
      </w:r>
      <w:r>
        <w:rPr>
          <w:rStyle w:val="21"/>
          <w:rFonts w:ascii="宋体" w:hAnsi="宋体" w:eastAsia="宋体"/>
          <w:sz w:val="24"/>
          <w:szCs w:val="24"/>
        </w:rPr>
        <w:t>[</w:t>
      </w:r>
      <w:r>
        <w:rPr>
          <w:rStyle w:val="21"/>
          <w:rFonts w:ascii="宋体" w:hAnsi="宋体" w:eastAsia="宋体"/>
          <w:sz w:val="24"/>
          <w:szCs w:val="24"/>
        </w:rPr>
        <w:endnoteReference w:id="5"/>
      </w:r>
      <w:r>
        <w:rPr>
          <w:rStyle w:val="21"/>
          <w:rFonts w:ascii="宋体" w:hAnsi="宋体" w:eastAsia="宋体"/>
          <w:sz w:val="24"/>
          <w:szCs w:val="24"/>
        </w:rPr>
        <w:t>]</w:t>
      </w:r>
      <w:r>
        <w:rPr>
          <w:rFonts w:ascii="宋体" w:hAnsi="宋体" w:eastAsia="宋体"/>
          <w:sz w:val="24"/>
          <w:szCs w:val="24"/>
        </w:rPr>
        <w:t>研究表明，家长参与可以通过多种机制影响学生的学业表现</w:t>
      </w:r>
      <w:r>
        <w:rPr>
          <w:rFonts w:hint="eastAsia" w:ascii="宋体" w:hAnsi="宋体" w:eastAsia="宋体"/>
          <w:sz w:val="24"/>
          <w:szCs w:val="24"/>
        </w:rPr>
        <w:t>；而</w:t>
      </w:r>
      <w:r>
        <w:rPr>
          <w:rFonts w:ascii="宋体" w:hAnsi="宋体" w:eastAsia="宋体"/>
          <w:sz w:val="24"/>
          <w:szCs w:val="24"/>
        </w:rPr>
        <w:t>阻碍家长参与子女教育的因素</w:t>
      </w:r>
      <w:r>
        <w:rPr>
          <w:rFonts w:hint="eastAsia" w:ascii="宋体" w:hAnsi="宋体" w:eastAsia="宋体"/>
          <w:sz w:val="24"/>
          <w:szCs w:val="24"/>
        </w:rPr>
        <w:t>则</w:t>
      </w:r>
      <w:r>
        <w:rPr>
          <w:rFonts w:ascii="宋体" w:hAnsi="宋体" w:eastAsia="宋体"/>
          <w:sz w:val="24"/>
          <w:szCs w:val="24"/>
        </w:rPr>
        <w:t>包括阶层差异和学校选择性抑制等。</w:t>
      </w:r>
      <w:r>
        <w:rPr>
          <w:rStyle w:val="21"/>
          <w:rFonts w:ascii="宋体" w:hAnsi="宋体" w:eastAsia="宋体"/>
          <w:sz w:val="24"/>
          <w:szCs w:val="24"/>
        </w:rPr>
        <w:t>[</w:t>
      </w:r>
      <w:r>
        <w:rPr>
          <w:rStyle w:val="21"/>
          <w:rFonts w:ascii="宋体" w:hAnsi="宋体" w:eastAsia="宋体"/>
          <w:sz w:val="24"/>
          <w:szCs w:val="24"/>
        </w:rPr>
        <w:endnoteReference w:id="6"/>
      </w:r>
      <w:r>
        <w:rPr>
          <w:rStyle w:val="21"/>
          <w:rFonts w:ascii="宋体" w:hAnsi="宋体" w:eastAsia="宋体"/>
          <w:sz w:val="24"/>
          <w:szCs w:val="24"/>
        </w:rPr>
        <w:t>]</w:t>
      </w:r>
      <w:r>
        <w:rPr>
          <w:rFonts w:hint="eastAsia" w:ascii="宋体" w:hAnsi="宋体" w:eastAsia="宋体"/>
          <w:sz w:val="24"/>
          <w:szCs w:val="24"/>
        </w:rPr>
        <w:t>此外</w:t>
      </w:r>
      <w:r>
        <w:rPr>
          <w:rFonts w:ascii="宋体" w:hAnsi="宋体" w:eastAsia="宋体"/>
          <w:sz w:val="24"/>
          <w:szCs w:val="24"/>
        </w:rPr>
        <w:t>，家长的教育态度和对子女的期望能够间接影响学生的学业成就，</w:t>
      </w:r>
      <w:r>
        <w:rPr>
          <w:rFonts w:hint="eastAsia" w:ascii="宋体" w:hAnsi="宋体" w:eastAsia="宋体"/>
          <w:sz w:val="24"/>
          <w:szCs w:val="24"/>
        </w:rPr>
        <w:t>这</w:t>
      </w:r>
      <w:r>
        <w:rPr>
          <w:rFonts w:ascii="宋体" w:hAnsi="宋体" w:eastAsia="宋体"/>
          <w:sz w:val="24"/>
          <w:szCs w:val="24"/>
        </w:rPr>
        <w:t>主要通过增强学生的学习动机和坚持性来实现。</w:t>
      </w:r>
      <w:r>
        <w:rPr>
          <w:rStyle w:val="21"/>
          <w:rFonts w:ascii="宋体" w:hAnsi="宋体" w:eastAsia="宋体"/>
          <w:sz w:val="24"/>
          <w:szCs w:val="24"/>
        </w:rPr>
        <w:t>[</w:t>
      </w:r>
      <w:r>
        <w:rPr>
          <w:rStyle w:val="21"/>
          <w:rFonts w:ascii="宋体" w:hAnsi="宋体" w:eastAsia="宋体"/>
          <w:sz w:val="24"/>
          <w:szCs w:val="24"/>
        </w:rPr>
        <w:endnoteReference w:id="7"/>
      </w:r>
      <w:r>
        <w:rPr>
          <w:rStyle w:val="21"/>
          <w:rFonts w:ascii="宋体" w:hAnsi="宋体" w:eastAsia="宋体"/>
          <w:sz w:val="24"/>
          <w:szCs w:val="24"/>
        </w:rPr>
        <w:t>]</w:t>
      </w:r>
      <w:r>
        <w:rPr>
          <w:rFonts w:ascii="宋体" w:hAnsi="宋体" w:eastAsia="宋体"/>
          <w:sz w:val="24"/>
          <w:szCs w:val="24"/>
        </w:rPr>
        <w:t>家长参与还能够促进积极的师生关系，进而提升学生的认知能力感知。</w:t>
      </w:r>
      <w:r>
        <w:rPr>
          <w:rStyle w:val="21"/>
          <w:rFonts w:ascii="宋体" w:hAnsi="宋体" w:eastAsia="宋体"/>
          <w:sz w:val="24"/>
          <w:szCs w:val="24"/>
        </w:rPr>
        <w:t>[</w:t>
      </w:r>
      <w:r>
        <w:rPr>
          <w:rStyle w:val="21"/>
          <w:rFonts w:ascii="宋体" w:hAnsi="宋体" w:eastAsia="宋体"/>
          <w:sz w:val="24"/>
          <w:szCs w:val="24"/>
        </w:rPr>
        <w:endnoteReference w:id="8"/>
      </w:r>
      <w:r>
        <w:rPr>
          <w:rStyle w:val="21"/>
          <w:rFonts w:ascii="宋体" w:hAnsi="宋体" w:eastAsia="宋体"/>
          <w:sz w:val="24"/>
          <w:szCs w:val="24"/>
        </w:rPr>
        <w:t>]</w:t>
      </w:r>
      <w:r>
        <w:rPr>
          <w:rFonts w:ascii="宋体" w:hAnsi="宋体" w:eastAsia="宋体"/>
          <w:sz w:val="24"/>
          <w:szCs w:val="24"/>
        </w:rPr>
        <w:t>在技术学习领域，家长的态度和行为同样具有重要影响。研究表明，学生对技术的接触和使用在很大程度上取决于其社会经济背景和家长态度，这可能导致教育不平等和社会经济成就差距。</w:t>
      </w:r>
      <w:r>
        <w:rPr>
          <w:rStyle w:val="21"/>
          <w:rFonts w:ascii="宋体" w:hAnsi="宋体" w:eastAsia="宋体"/>
          <w:sz w:val="24"/>
          <w:szCs w:val="24"/>
        </w:rPr>
        <w:t>[</w:t>
      </w:r>
      <w:r>
        <w:rPr>
          <w:rStyle w:val="21"/>
          <w:rFonts w:ascii="宋体" w:hAnsi="宋体" w:eastAsia="宋体"/>
          <w:sz w:val="24"/>
          <w:szCs w:val="24"/>
        </w:rPr>
        <w:endnoteReference w:id="9"/>
      </w:r>
      <w:r>
        <w:rPr>
          <w:rStyle w:val="21"/>
          <w:rFonts w:ascii="宋体" w:hAnsi="宋体" w:eastAsia="宋体"/>
          <w:sz w:val="24"/>
          <w:szCs w:val="24"/>
        </w:rPr>
        <w:t>]</w:t>
      </w:r>
    </w:p>
    <w:p w14:paraId="1ADE760A">
      <w:pPr>
        <w:spacing w:line="276" w:lineRule="auto"/>
        <w:ind w:firstLine="480" w:firstLineChars="200"/>
        <w:rPr>
          <w:rFonts w:ascii="宋体" w:hAnsi="宋体" w:eastAsia="宋体"/>
          <w:sz w:val="24"/>
          <w:szCs w:val="24"/>
        </w:rPr>
      </w:pPr>
      <w:r>
        <w:rPr>
          <w:rFonts w:ascii="宋体" w:hAnsi="宋体" w:eastAsia="宋体"/>
          <w:sz w:val="24"/>
          <w:szCs w:val="24"/>
        </w:rPr>
        <w:t>教师支持</w:t>
      </w:r>
      <w:r>
        <w:rPr>
          <w:rFonts w:hint="eastAsia" w:ascii="宋体" w:hAnsi="宋体" w:eastAsia="宋体"/>
          <w:sz w:val="24"/>
          <w:szCs w:val="24"/>
        </w:rPr>
        <w:t>也</w:t>
      </w:r>
      <w:r>
        <w:rPr>
          <w:rFonts w:ascii="宋体" w:hAnsi="宋体" w:eastAsia="宋体"/>
          <w:sz w:val="24"/>
          <w:szCs w:val="24"/>
        </w:rPr>
        <w:t>是影响学生学习参与和学业成就的关键因素。研究表明，教师支持可以分为三个不同类别——自主支持、情感支持和能力支持——每一类被学生感知后，都能激发学习兴趣、增强能力感并促进努力投入，从而培养积极的学业情感。</w:t>
      </w:r>
      <w:r>
        <w:rPr>
          <w:rStyle w:val="21"/>
          <w:rFonts w:ascii="宋体" w:hAnsi="宋体" w:eastAsia="宋体"/>
          <w:sz w:val="24"/>
          <w:szCs w:val="24"/>
        </w:rPr>
        <w:t>[</w:t>
      </w:r>
      <w:r>
        <w:rPr>
          <w:rStyle w:val="21"/>
          <w:rFonts w:ascii="宋体" w:hAnsi="宋体" w:eastAsia="宋体"/>
          <w:sz w:val="24"/>
          <w:szCs w:val="24"/>
        </w:rPr>
        <w:endnoteReference w:id="10"/>
      </w:r>
      <w:r>
        <w:rPr>
          <w:rStyle w:val="21"/>
          <w:rFonts w:ascii="宋体" w:hAnsi="宋体" w:eastAsia="宋体"/>
          <w:sz w:val="24"/>
          <w:szCs w:val="24"/>
        </w:rPr>
        <w:t>]</w:t>
      </w:r>
      <w:r>
        <w:rPr>
          <w:rFonts w:ascii="宋体" w:hAnsi="宋体" w:eastAsia="宋体"/>
          <w:sz w:val="24"/>
          <w:szCs w:val="24"/>
        </w:rPr>
        <w:t>在技术和AI教育背景下，教师支持的作用更加凸显。由于</w:t>
      </w:r>
      <w:r>
        <w:rPr>
          <w:rFonts w:hint="eastAsia" w:ascii="宋体" w:hAnsi="宋体" w:eastAsia="宋体"/>
          <w:sz w:val="24"/>
          <w:szCs w:val="24"/>
        </w:rPr>
        <w:t>人工智能</w:t>
      </w:r>
      <w:r>
        <w:rPr>
          <w:rFonts w:ascii="宋体" w:hAnsi="宋体" w:eastAsia="宋体"/>
          <w:sz w:val="24"/>
          <w:szCs w:val="24"/>
        </w:rPr>
        <w:t>教育在基础教育阶段仍处于发展初期，教师的专业发展和培训至关重要。研究表明，为了促进</w:t>
      </w:r>
      <w:r>
        <w:rPr>
          <w:rFonts w:hint="eastAsia" w:ascii="宋体" w:hAnsi="宋体" w:eastAsia="宋体"/>
          <w:sz w:val="24"/>
          <w:szCs w:val="24"/>
        </w:rPr>
        <w:t>学生的人工智能</w:t>
      </w:r>
      <w:r>
        <w:rPr>
          <w:rFonts w:ascii="宋体" w:hAnsi="宋体" w:eastAsia="宋体"/>
          <w:sz w:val="24"/>
          <w:szCs w:val="24"/>
        </w:rPr>
        <w:t>素养</w:t>
      </w:r>
      <w:r>
        <w:rPr>
          <w:rFonts w:hint="eastAsia" w:ascii="宋体" w:hAnsi="宋体" w:eastAsia="宋体"/>
          <w:sz w:val="24"/>
          <w:szCs w:val="24"/>
        </w:rPr>
        <w:t>发展</w:t>
      </w:r>
      <w:r>
        <w:rPr>
          <w:rFonts w:ascii="宋体" w:hAnsi="宋体" w:eastAsia="宋体"/>
          <w:sz w:val="24"/>
          <w:szCs w:val="24"/>
        </w:rPr>
        <w:t>，教师本身需要理解</w:t>
      </w:r>
      <w:r>
        <w:rPr>
          <w:rFonts w:hint="eastAsia" w:ascii="宋体" w:hAnsi="宋体" w:eastAsia="宋体"/>
          <w:sz w:val="24"/>
          <w:szCs w:val="24"/>
        </w:rPr>
        <w:t>人工智能</w:t>
      </w:r>
      <w:r>
        <w:rPr>
          <w:rFonts w:ascii="宋体" w:hAnsi="宋体" w:eastAsia="宋体"/>
          <w:sz w:val="24"/>
          <w:szCs w:val="24"/>
        </w:rPr>
        <w:t>，专业发展在这一领域至关重要，它使教师能够超越使用技术，促进关于其影响的关键对话</w:t>
      </w:r>
      <w:r>
        <w:rPr>
          <w:rFonts w:hint="eastAsia" w:ascii="宋体" w:hAnsi="宋体" w:eastAsia="宋体"/>
          <w:sz w:val="24"/>
          <w:szCs w:val="24"/>
        </w:rPr>
        <w:t>；</w:t>
      </w:r>
      <w:r>
        <w:rPr>
          <w:rFonts w:ascii="宋体" w:hAnsi="宋体" w:eastAsia="宋体"/>
          <w:sz w:val="24"/>
          <w:szCs w:val="24"/>
        </w:rPr>
        <w:t>此外，教师在创建适当的学习任务、注重个体差异和建立学习档案方面的努力，能够帮助学生体验能力感和成就感。</w:t>
      </w:r>
      <w:r>
        <w:rPr>
          <w:rStyle w:val="21"/>
          <w:rFonts w:ascii="宋体" w:hAnsi="宋体" w:eastAsia="宋体"/>
          <w:sz w:val="24"/>
          <w:szCs w:val="24"/>
        </w:rPr>
        <w:t>[</w:t>
      </w:r>
      <w:r>
        <w:rPr>
          <w:rStyle w:val="21"/>
          <w:rFonts w:ascii="宋体" w:hAnsi="宋体" w:eastAsia="宋体"/>
          <w:sz w:val="24"/>
          <w:szCs w:val="24"/>
        </w:rPr>
        <w:endnoteReference w:id="11"/>
      </w:r>
      <w:r>
        <w:rPr>
          <w:rStyle w:val="21"/>
          <w:rFonts w:ascii="宋体" w:hAnsi="宋体" w:eastAsia="宋体"/>
          <w:sz w:val="24"/>
          <w:szCs w:val="24"/>
        </w:rPr>
        <w:t>]</w:t>
      </w:r>
    </w:p>
    <w:p w14:paraId="6363141B">
      <w:pPr>
        <w:spacing w:line="276" w:lineRule="auto"/>
        <w:ind w:firstLine="480" w:firstLineChars="200"/>
        <w:rPr>
          <w:rFonts w:ascii="宋体" w:hAnsi="宋体" w:eastAsia="宋体"/>
          <w:sz w:val="24"/>
          <w:szCs w:val="24"/>
        </w:rPr>
      </w:pPr>
      <w:r>
        <w:rPr>
          <w:rFonts w:hint="eastAsia" w:ascii="宋体" w:hAnsi="宋体" w:eastAsia="宋体"/>
          <w:sz w:val="24"/>
          <w:szCs w:val="24"/>
        </w:rPr>
        <w:t>此外，</w:t>
      </w:r>
      <w:r>
        <w:rPr>
          <w:rFonts w:ascii="宋体" w:hAnsi="宋体" w:eastAsia="宋体"/>
          <w:sz w:val="24"/>
          <w:szCs w:val="24"/>
        </w:rPr>
        <w:t>同伴影响在青少年学习发展中</w:t>
      </w:r>
      <w:r>
        <w:rPr>
          <w:rFonts w:hint="eastAsia" w:ascii="宋体" w:hAnsi="宋体" w:eastAsia="宋体"/>
          <w:sz w:val="24"/>
          <w:szCs w:val="24"/>
        </w:rPr>
        <w:t>也</w:t>
      </w:r>
      <w:r>
        <w:rPr>
          <w:rFonts w:ascii="宋体" w:hAnsi="宋体" w:eastAsia="宋体"/>
          <w:sz w:val="24"/>
          <w:szCs w:val="24"/>
        </w:rPr>
        <w:t>扮演着独特而重要的角色。学生的学校关系会通过共享的学校价值观、教育期望、出勤率、学习愿望和学术信念与努力来影响其参与度。</w:t>
      </w:r>
      <w:r>
        <w:rPr>
          <w:rStyle w:val="21"/>
          <w:rFonts w:ascii="宋体" w:hAnsi="宋体" w:eastAsia="宋体"/>
          <w:sz w:val="24"/>
          <w:szCs w:val="24"/>
        </w:rPr>
        <w:t>[</w:t>
      </w:r>
      <w:r>
        <w:rPr>
          <w:rStyle w:val="21"/>
          <w:rFonts w:ascii="宋体" w:hAnsi="宋体" w:eastAsia="宋体"/>
          <w:sz w:val="24"/>
          <w:szCs w:val="24"/>
        </w:rPr>
        <w:endnoteReference w:id="12"/>
      </w:r>
      <w:r>
        <w:rPr>
          <w:rStyle w:val="21"/>
          <w:rFonts w:ascii="宋体" w:hAnsi="宋体" w:eastAsia="宋体"/>
          <w:sz w:val="24"/>
          <w:szCs w:val="24"/>
        </w:rPr>
        <w:t>][</w:t>
      </w:r>
      <w:r>
        <w:rPr>
          <w:rStyle w:val="21"/>
          <w:rFonts w:ascii="宋体" w:hAnsi="宋体" w:eastAsia="宋体"/>
          <w:sz w:val="24"/>
          <w:szCs w:val="24"/>
        </w:rPr>
        <w:endnoteReference w:id="13"/>
      </w:r>
      <w:r>
        <w:rPr>
          <w:rStyle w:val="21"/>
          <w:rFonts w:ascii="宋体" w:hAnsi="宋体" w:eastAsia="宋体"/>
          <w:sz w:val="24"/>
          <w:szCs w:val="24"/>
        </w:rPr>
        <w:t>]</w:t>
      </w:r>
      <w:r>
        <w:rPr>
          <w:rFonts w:hint="eastAsia" w:ascii="宋体" w:hAnsi="宋体" w:eastAsia="宋体"/>
          <w:sz w:val="24"/>
          <w:szCs w:val="24"/>
        </w:rPr>
        <w:t>关于同伴效应的实证研究表明，这种氛围对个体的影响同时具有社会遵从和社会比较的双重功能。</w:t>
      </w:r>
      <w:r>
        <w:rPr>
          <w:rStyle w:val="21"/>
          <w:rFonts w:ascii="宋体" w:hAnsi="宋体" w:eastAsia="宋体"/>
          <w:sz w:val="24"/>
          <w:szCs w:val="24"/>
        </w:rPr>
        <w:t>[</w:t>
      </w:r>
      <w:r>
        <w:rPr>
          <w:rStyle w:val="21"/>
          <w:rFonts w:ascii="宋体" w:hAnsi="宋体" w:eastAsia="宋体"/>
          <w:sz w:val="24"/>
          <w:szCs w:val="24"/>
        </w:rPr>
        <w:endnoteReference w:id="14"/>
      </w:r>
      <w:r>
        <w:rPr>
          <w:rStyle w:val="21"/>
          <w:rFonts w:ascii="宋体" w:hAnsi="宋体" w:eastAsia="宋体"/>
          <w:sz w:val="24"/>
          <w:szCs w:val="24"/>
        </w:rPr>
        <w:t>]</w:t>
      </w:r>
      <w:r>
        <w:rPr>
          <w:rFonts w:hint="eastAsia" w:ascii="宋体" w:hAnsi="宋体" w:eastAsia="宋体"/>
          <w:sz w:val="24"/>
          <w:szCs w:val="24"/>
        </w:rPr>
        <w:t>当氛围倡导积极、严肃的学习时，同伴群体通过榜样示范作用，传递“力争上游”的群体规范</w:t>
      </w:r>
      <w:r>
        <w:rPr>
          <w:rFonts w:ascii="宋体" w:hAnsi="宋体" w:eastAsia="宋体"/>
          <w:sz w:val="24"/>
          <w:szCs w:val="24"/>
        </w:rPr>
        <w:t xml:space="preserve"> </w:t>
      </w:r>
      <w:r>
        <w:rPr>
          <w:rFonts w:hint="eastAsia" w:ascii="宋体" w:hAnsi="宋体" w:eastAsia="宋体"/>
          <w:sz w:val="24"/>
          <w:szCs w:val="24"/>
        </w:rPr>
        <w:t>，促使个体进行相似的、高品质的学习行为投入，这被称为“近朱者赤”效应</w:t>
      </w:r>
      <w:r>
        <w:rPr>
          <w:rFonts w:ascii="宋体" w:hAnsi="宋体" w:eastAsia="宋体"/>
          <w:sz w:val="24"/>
          <w:szCs w:val="24"/>
        </w:rPr>
        <w:t xml:space="preserve"> </w:t>
      </w:r>
      <w:r>
        <w:rPr>
          <w:rFonts w:hint="eastAsia" w:ascii="宋体" w:hAnsi="宋体" w:eastAsia="宋体"/>
          <w:sz w:val="24"/>
          <w:szCs w:val="24"/>
        </w:rPr>
        <w:t>。</w:t>
      </w:r>
    </w:p>
    <w:p w14:paraId="6B072BAB">
      <w:pPr>
        <w:spacing w:line="360" w:lineRule="auto"/>
        <w:ind w:firstLine="480" w:firstLineChars="200"/>
        <w:rPr>
          <w:rFonts w:ascii="楷体" w:hAnsi="楷体" w:eastAsia="楷体"/>
          <w:sz w:val="24"/>
          <w:szCs w:val="24"/>
        </w:rPr>
      </w:pPr>
      <w:r>
        <w:rPr>
          <w:rFonts w:ascii="楷体" w:hAnsi="楷体" w:eastAsia="楷体"/>
          <w:sz w:val="24"/>
          <w:szCs w:val="24"/>
        </w:rPr>
        <w:t>（二）人工智能学习素养及其影响因素相关研究</w:t>
      </w:r>
    </w:p>
    <w:p w14:paraId="0D23337D">
      <w:pPr>
        <w:spacing w:line="276" w:lineRule="auto"/>
        <w:ind w:firstLine="480" w:firstLineChars="200"/>
        <w:rPr>
          <w:rFonts w:ascii="宋体" w:hAnsi="宋体" w:eastAsia="宋体"/>
          <w:sz w:val="24"/>
          <w:szCs w:val="24"/>
        </w:rPr>
      </w:pPr>
      <w:r>
        <w:rPr>
          <w:rFonts w:hint="eastAsia" w:ascii="宋体" w:hAnsi="宋体" w:eastAsia="宋体"/>
          <w:sz w:val="24"/>
          <w:szCs w:val="24"/>
        </w:rPr>
        <w:t>在当前人工智能技术迅猛发展的背景之下，人工智能学习素养（</w:t>
      </w:r>
      <w:r>
        <w:rPr>
          <w:rFonts w:ascii="宋体" w:hAnsi="宋体" w:eastAsia="宋体"/>
          <w:sz w:val="24"/>
          <w:szCs w:val="24"/>
        </w:rPr>
        <w:t>Artificial Intelligence Literacy</w:t>
      </w:r>
      <w:r>
        <w:rPr>
          <w:rFonts w:hint="eastAsia" w:ascii="宋体" w:hAnsi="宋体" w:eastAsia="宋体"/>
          <w:sz w:val="24"/>
          <w:szCs w:val="24"/>
        </w:rPr>
        <w:t>）作为数字时代的关键能力，已成为教育研究与实践的重要议题。当前对人工智能学习素养的探讨，主要聚焦于如何帮助学习者理解</w:t>
      </w:r>
      <w:r>
        <w:rPr>
          <w:rFonts w:ascii="宋体" w:hAnsi="宋体" w:eastAsia="宋体"/>
          <w:sz w:val="24"/>
          <w:szCs w:val="24"/>
        </w:rPr>
        <w:t>AI</w:t>
      </w:r>
      <w:r>
        <w:rPr>
          <w:rFonts w:hint="eastAsia" w:ascii="宋体" w:hAnsi="宋体" w:eastAsia="宋体"/>
          <w:sz w:val="24"/>
          <w:szCs w:val="24"/>
        </w:rPr>
        <w:t>技术的基本概念，培养其批判性评估人工智能应用、解决现实问题及恪守伦理准则的综合能力，从而实现从单纯的工具使用到与智能技术协同共生的范式转变。</w:t>
      </w:r>
      <w:r>
        <w:rPr>
          <w:rStyle w:val="21"/>
          <w:rFonts w:ascii="宋体" w:hAnsi="宋体" w:eastAsia="宋体"/>
          <w:sz w:val="24"/>
          <w:szCs w:val="24"/>
        </w:rPr>
        <w:t>[</w:t>
      </w:r>
      <w:r>
        <w:rPr>
          <w:rStyle w:val="21"/>
          <w:rFonts w:ascii="宋体" w:hAnsi="宋体" w:eastAsia="宋体"/>
          <w:sz w:val="24"/>
          <w:szCs w:val="24"/>
        </w:rPr>
        <w:endnoteReference w:id="15"/>
      </w:r>
      <w:r>
        <w:rPr>
          <w:rStyle w:val="21"/>
          <w:rFonts w:ascii="宋体" w:hAnsi="宋体" w:eastAsia="宋体"/>
          <w:sz w:val="24"/>
          <w:szCs w:val="24"/>
        </w:rPr>
        <w:t>]</w:t>
      </w:r>
      <w:r>
        <w:rPr>
          <w:rFonts w:ascii="宋体" w:hAnsi="宋体" w:eastAsia="宋体"/>
          <w:sz w:val="24"/>
          <w:szCs w:val="24"/>
        </w:rPr>
        <w:t xml:space="preserve"> </w:t>
      </w:r>
      <w:r>
        <w:rPr>
          <w:rStyle w:val="21"/>
          <w:rFonts w:ascii="宋体" w:hAnsi="宋体" w:eastAsia="宋体"/>
          <w:sz w:val="24"/>
          <w:szCs w:val="24"/>
        </w:rPr>
        <w:t>[</w:t>
      </w:r>
      <w:r>
        <w:rPr>
          <w:rStyle w:val="21"/>
          <w:rFonts w:ascii="宋体" w:hAnsi="宋体" w:eastAsia="宋体"/>
          <w:sz w:val="24"/>
          <w:szCs w:val="24"/>
        </w:rPr>
        <w:endnoteReference w:id="16"/>
      </w:r>
      <w:r>
        <w:rPr>
          <w:rStyle w:val="21"/>
          <w:rFonts w:ascii="宋体" w:hAnsi="宋体" w:eastAsia="宋体"/>
          <w:sz w:val="24"/>
          <w:szCs w:val="24"/>
        </w:rPr>
        <w:t>]</w:t>
      </w:r>
      <w:r>
        <w:rPr>
          <w:rFonts w:hint="eastAsia" w:ascii="宋体" w:hAnsi="宋体" w:eastAsia="宋体"/>
          <w:sz w:val="24"/>
          <w:szCs w:val="24"/>
        </w:rPr>
        <w:t>在理论框架的构建上，人工智能学习素养的内涵已从单一的技术知识掌握，扩展到涵盖知识、技能、态度与价值观的多维结构。</w:t>
      </w:r>
      <w:r>
        <w:rPr>
          <w:rStyle w:val="21"/>
          <w:rFonts w:ascii="宋体" w:hAnsi="宋体" w:eastAsia="宋体"/>
          <w:sz w:val="24"/>
          <w:szCs w:val="24"/>
        </w:rPr>
        <w:t>[</w:t>
      </w:r>
      <w:r>
        <w:rPr>
          <w:rStyle w:val="21"/>
          <w:rFonts w:ascii="宋体" w:hAnsi="宋体" w:eastAsia="宋体"/>
          <w:sz w:val="24"/>
          <w:szCs w:val="24"/>
        </w:rPr>
        <w:endnoteReference w:id="17"/>
      </w:r>
      <w:r>
        <w:rPr>
          <w:rStyle w:val="21"/>
          <w:rFonts w:ascii="宋体" w:hAnsi="宋体" w:eastAsia="宋体"/>
          <w:sz w:val="24"/>
          <w:szCs w:val="24"/>
        </w:rPr>
        <w:t>][</w:t>
      </w:r>
      <w:r>
        <w:rPr>
          <w:rStyle w:val="21"/>
          <w:rFonts w:ascii="宋体" w:hAnsi="宋体" w:eastAsia="宋体"/>
          <w:sz w:val="24"/>
          <w:szCs w:val="24"/>
        </w:rPr>
        <w:endnoteReference w:id="18"/>
      </w:r>
      <w:r>
        <w:rPr>
          <w:rStyle w:val="21"/>
          <w:rFonts w:ascii="宋体" w:hAnsi="宋体" w:eastAsia="宋体"/>
          <w:sz w:val="24"/>
          <w:szCs w:val="24"/>
        </w:rPr>
        <w:t>]</w:t>
      </w:r>
      <w:r>
        <w:rPr>
          <w:rFonts w:hint="eastAsia" w:ascii="宋体" w:hAnsi="宋体" w:eastAsia="宋体"/>
          <w:sz w:val="24"/>
          <w:szCs w:val="24"/>
        </w:rPr>
        <w:t>实证研究认为，素养的培养应包括智能知识准备、智能能力准备、技术思维准备以及智能条件支持等多个层面，其中非认知因素，如人机协同的态度与技术焦虑的管理，应被赋予较高权重。</w:t>
      </w:r>
      <w:r>
        <w:rPr>
          <w:rFonts w:ascii="宋体" w:hAnsi="宋体" w:eastAsia="宋体"/>
          <w:sz w:val="24"/>
          <w:szCs w:val="24"/>
          <w:vertAlign w:val="superscript"/>
        </w:rPr>
        <w:t>[16]</w:t>
      </w:r>
      <w:r>
        <w:rPr>
          <w:rFonts w:hint="eastAsia" w:ascii="宋体" w:hAnsi="宋体" w:eastAsia="宋体"/>
          <w:sz w:val="24"/>
          <w:szCs w:val="24"/>
        </w:rPr>
        <w:t>此外，教学实践领域也提出以人为中心的框架，主张将生成式</w:t>
      </w:r>
      <w:r>
        <w:rPr>
          <w:rFonts w:ascii="宋体" w:hAnsi="宋体" w:eastAsia="宋体"/>
          <w:sz w:val="24"/>
          <w:szCs w:val="24"/>
        </w:rPr>
        <w:t>AI</w:t>
      </w:r>
      <w:r>
        <w:rPr>
          <w:rFonts w:hint="eastAsia" w:ascii="宋体" w:hAnsi="宋体" w:eastAsia="宋体"/>
          <w:sz w:val="24"/>
          <w:szCs w:val="24"/>
        </w:rPr>
        <w:t>作为学习伙伴，通过引导学习者与之进行深度提问、内容修订和反思性对话，来促进其元认知与自我调节学习能力的发展。</w:t>
      </w:r>
      <w:r>
        <w:rPr>
          <w:rStyle w:val="21"/>
          <w:rFonts w:ascii="宋体" w:hAnsi="宋体" w:eastAsia="宋体"/>
          <w:sz w:val="24"/>
          <w:szCs w:val="24"/>
        </w:rPr>
        <w:t>[</w:t>
      </w:r>
      <w:r>
        <w:rPr>
          <w:rStyle w:val="21"/>
          <w:rFonts w:ascii="宋体" w:hAnsi="宋体" w:eastAsia="宋体"/>
          <w:sz w:val="24"/>
          <w:szCs w:val="24"/>
        </w:rPr>
        <w:endnoteReference w:id="19"/>
      </w:r>
      <w:r>
        <w:rPr>
          <w:rStyle w:val="21"/>
          <w:rFonts w:ascii="宋体" w:hAnsi="宋体" w:eastAsia="宋体"/>
          <w:sz w:val="24"/>
          <w:szCs w:val="24"/>
        </w:rPr>
        <w:t>]</w:t>
      </w:r>
      <w:r>
        <w:rPr>
          <w:rFonts w:hint="eastAsia" w:ascii="宋体" w:hAnsi="宋体" w:eastAsia="宋体"/>
          <w:sz w:val="24"/>
          <w:szCs w:val="24"/>
        </w:rPr>
        <w:t>这些框架共同指向了人工智能学习素养的综合性、实践性与跨学科性。</w:t>
      </w:r>
    </w:p>
    <w:p w14:paraId="1A7AF956">
      <w:pPr>
        <w:spacing w:line="276" w:lineRule="auto"/>
        <w:ind w:firstLine="480" w:firstLineChars="200"/>
        <w:rPr>
          <w:rFonts w:ascii="宋体" w:hAnsi="宋体" w:eastAsia="宋体"/>
          <w:sz w:val="24"/>
          <w:szCs w:val="24"/>
        </w:rPr>
      </w:pPr>
      <w:r>
        <w:rPr>
          <w:rFonts w:hint="eastAsia" w:ascii="宋体" w:hAnsi="宋体" w:eastAsia="宋体"/>
          <w:sz w:val="24"/>
          <w:szCs w:val="24"/>
        </w:rPr>
        <w:t>人工智能素养的形成是一个受个体、环境与技术三类因素复杂交互影响的系统工程。个体层面构成了素养发展的心理基础。学习者的认知风格、先前的知识基础及态度倾向均显著影响其</w:t>
      </w:r>
      <w:r>
        <w:rPr>
          <w:rFonts w:ascii="宋体" w:hAnsi="宋体" w:eastAsia="宋体"/>
          <w:sz w:val="24"/>
          <w:szCs w:val="24"/>
        </w:rPr>
        <w:t>AI</w:t>
      </w:r>
      <w:r>
        <w:rPr>
          <w:rFonts w:hint="eastAsia" w:ascii="宋体" w:hAnsi="宋体" w:eastAsia="宋体"/>
          <w:sz w:val="24"/>
          <w:szCs w:val="24"/>
        </w:rPr>
        <w:t>素养的习得与提升。研究表明，场独立型学习者更倾向于自主探索和深度追问，从而在</w:t>
      </w:r>
      <w:r>
        <w:rPr>
          <w:rFonts w:ascii="宋体" w:hAnsi="宋体" w:eastAsia="宋体"/>
          <w:sz w:val="24"/>
          <w:szCs w:val="24"/>
        </w:rPr>
        <w:t>AI</w:t>
      </w:r>
      <w:r>
        <w:rPr>
          <w:rFonts w:hint="eastAsia" w:ascii="宋体" w:hAnsi="宋体" w:eastAsia="宋体"/>
          <w:sz w:val="24"/>
          <w:szCs w:val="24"/>
        </w:rPr>
        <w:t>辅助学习中表现出更高的建构性思维；而积极的学习态度与兴趣度能显著增强学习动机和效果。</w:t>
      </w:r>
      <w:r>
        <w:rPr>
          <w:rStyle w:val="21"/>
          <w:rFonts w:ascii="宋体" w:hAnsi="宋体" w:eastAsia="宋体"/>
          <w:sz w:val="24"/>
          <w:szCs w:val="24"/>
        </w:rPr>
        <w:t>[</w:t>
      </w:r>
      <w:r>
        <w:rPr>
          <w:rStyle w:val="21"/>
          <w:rFonts w:ascii="宋体" w:hAnsi="宋体" w:eastAsia="宋体"/>
          <w:sz w:val="24"/>
          <w:szCs w:val="24"/>
        </w:rPr>
        <w:endnoteReference w:id="20"/>
      </w:r>
      <w:r>
        <w:rPr>
          <w:rStyle w:val="21"/>
          <w:rFonts w:ascii="宋体" w:hAnsi="宋体" w:eastAsia="宋体"/>
          <w:sz w:val="24"/>
          <w:szCs w:val="24"/>
        </w:rPr>
        <w:t>]</w:t>
      </w:r>
      <w:r>
        <w:rPr>
          <w:rFonts w:hint="eastAsia" w:ascii="宋体" w:hAnsi="宋体" w:eastAsia="宋体"/>
          <w:sz w:val="24"/>
          <w:szCs w:val="24"/>
        </w:rPr>
        <w:t>此外，其他特征如年龄、性别和教育阶段也会带来差异：高年级学生和女性学习者更易展现协作与反思性学习行为，而男性学习者则在编程等实操活动中参与度更高。</w:t>
      </w:r>
      <w:r>
        <w:rPr>
          <w:rStyle w:val="21"/>
          <w:rFonts w:ascii="宋体" w:hAnsi="宋体" w:eastAsia="宋体"/>
          <w:sz w:val="24"/>
          <w:szCs w:val="24"/>
        </w:rPr>
        <w:t>[</w:t>
      </w:r>
      <w:r>
        <w:rPr>
          <w:rStyle w:val="21"/>
          <w:rFonts w:ascii="宋体" w:hAnsi="宋体" w:eastAsia="宋体"/>
          <w:sz w:val="24"/>
          <w:szCs w:val="24"/>
        </w:rPr>
        <w:endnoteReference w:id="21"/>
      </w:r>
      <w:r>
        <w:rPr>
          <w:rStyle w:val="21"/>
          <w:rFonts w:ascii="宋体" w:hAnsi="宋体" w:eastAsia="宋体"/>
          <w:sz w:val="24"/>
          <w:szCs w:val="24"/>
        </w:rPr>
        <w:t>]</w:t>
      </w:r>
    </w:p>
    <w:p w14:paraId="7ABC112F">
      <w:pPr>
        <w:spacing w:line="276" w:lineRule="auto"/>
        <w:ind w:firstLine="480" w:firstLineChars="200"/>
        <w:rPr>
          <w:rFonts w:ascii="宋体" w:hAnsi="宋体" w:eastAsia="宋体"/>
          <w:sz w:val="24"/>
          <w:szCs w:val="24"/>
        </w:rPr>
      </w:pPr>
      <w:r>
        <w:rPr>
          <w:rFonts w:hint="eastAsia" w:ascii="宋体" w:hAnsi="宋体" w:eastAsia="宋体"/>
          <w:sz w:val="24"/>
          <w:szCs w:val="24"/>
        </w:rPr>
        <w:t>环境层面构建了素养发展的社会生态，涵盖了家庭、学校与社会层面的支持系统。家长的认知水平与管理方式至关重要，调查显示，农村地区家长“不管”比例较高，可能导致学生</w:t>
      </w:r>
      <w:r>
        <w:rPr>
          <w:rFonts w:ascii="宋体" w:hAnsi="宋体" w:eastAsia="宋体"/>
          <w:sz w:val="24"/>
          <w:szCs w:val="24"/>
        </w:rPr>
        <w:t>AI</w:t>
      </w:r>
      <w:r>
        <w:rPr>
          <w:rFonts w:hint="eastAsia" w:ascii="宋体" w:hAnsi="宋体" w:eastAsia="宋体"/>
          <w:sz w:val="24"/>
          <w:szCs w:val="24"/>
        </w:rPr>
        <w:t>使用规范的缺失。</w:t>
      </w:r>
      <w:r>
        <w:rPr>
          <w:rStyle w:val="21"/>
          <w:rFonts w:ascii="宋体" w:hAnsi="宋体" w:eastAsia="宋体"/>
          <w:sz w:val="24"/>
          <w:szCs w:val="24"/>
        </w:rPr>
        <w:t>[</w:t>
      </w:r>
      <w:r>
        <w:rPr>
          <w:rStyle w:val="21"/>
          <w:rFonts w:ascii="宋体" w:hAnsi="宋体" w:eastAsia="宋体"/>
          <w:sz w:val="24"/>
          <w:szCs w:val="24"/>
        </w:rPr>
        <w:endnoteReference w:id="22"/>
      </w:r>
      <w:r>
        <w:rPr>
          <w:rStyle w:val="21"/>
          <w:rFonts w:ascii="宋体" w:hAnsi="宋体" w:eastAsia="宋体"/>
          <w:sz w:val="24"/>
          <w:szCs w:val="24"/>
        </w:rPr>
        <w:t>]</w:t>
      </w:r>
      <w:r>
        <w:rPr>
          <w:rFonts w:hint="eastAsia" w:ascii="宋体" w:hAnsi="宋体" w:eastAsia="宋体"/>
          <w:sz w:val="24"/>
          <w:szCs w:val="24"/>
        </w:rPr>
        <w:t>学校环境中，智能化基础设施、师资培训及跨学科课程设计都是培育人工智能素养的保障；师生和同伴关系质量亦影响学习模式</w:t>
      </w:r>
      <w:r>
        <w:rPr>
          <w:rStyle w:val="21"/>
          <w:rFonts w:ascii="宋体" w:hAnsi="宋体" w:eastAsia="宋体"/>
          <w:sz w:val="24"/>
          <w:szCs w:val="24"/>
        </w:rPr>
        <w:t>[</w:t>
      </w:r>
      <w:r>
        <w:rPr>
          <w:rStyle w:val="21"/>
          <w:rFonts w:ascii="宋体" w:hAnsi="宋体" w:eastAsia="宋体"/>
          <w:sz w:val="24"/>
          <w:szCs w:val="24"/>
        </w:rPr>
        <w:endnoteReference w:id="23"/>
      </w:r>
      <w:r>
        <w:rPr>
          <w:rStyle w:val="21"/>
          <w:rFonts w:ascii="宋体" w:hAnsi="宋体" w:eastAsia="宋体"/>
          <w:sz w:val="24"/>
          <w:szCs w:val="24"/>
        </w:rPr>
        <w:t>]</w:t>
      </w:r>
      <w:r>
        <w:rPr>
          <w:rFonts w:hint="eastAsia" w:ascii="宋体" w:hAnsi="宋体" w:eastAsia="宋体"/>
          <w:sz w:val="24"/>
          <w:szCs w:val="24"/>
        </w:rPr>
        <w:t>。社会层面，文化氛围与政策支持可以通过提供正向激励和伦理导向，促进学生人工智能素养的可持续发展。</w:t>
      </w:r>
      <w:r>
        <w:rPr>
          <w:rFonts w:ascii="宋体" w:hAnsi="宋体" w:eastAsia="宋体"/>
          <w:sz w:val="24"/>
          <w:szCs w:val="24"/>
          <w:vertAlign w:val="superscript"/>
        </w:rPr>
        <w:t>[23]</w:t>
      </w:r>
    </w:p>
    <w:p w14:paraId="1BEC3A14">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技术层面决定了人机交互的质量与深度。一方面，生成式人工智能的响应准确性、内容多样性及交互流畅度均会影响学习者的信任度和使用意愿；另一方面，在应用方式上，会话交互式比单向内容生成更有效，而多次干预又比单次短期干预更能促进深度学习。此外，技术透明度和伦理安全设计（如隐私保护）也是关键，缺乏这些要素可能导致学习者产生技术焦虑或伦理模糊。</w:t>
      </w:r>
      <w:r>
        <w:rPr>
          <w:rFonts w:ascii="宋体" w:hAnsi="宋体" w:eastAsia="宋体"/>
          <w:sz w:val="24"/>
          <w:szCs w:val="24"/>
          <w:vertAlign w:val="superscript"/>
        </w:rPr>
        <w:t>[23]</w:t>
      </w:r>
    </w:p>
    <w:p w14:paraId="507CCA6F">
      <w:pPr>
        <w:spacing w:line="360" w:lineRule="auto"/>
        <w:ind w:firstLine="480" w:firstLineChars="200"/>
        <w:rPr>
          <w:rFonts w:ascii="楷体" w:hAnsi="楷体" w:eastAsia="楷体"/>
          <w:sz w:val="24"/>
          <w:szCs w:val="24"/>
        </w:rPr>
      </w:pPr>
      <w:r>
        <w:rPr>
          <w:rFonts w:ascii="楷体" w:hAnsi="楷体" w:eastAsia="楷体"/>
          <w:sz w:val="24"/>
          <w:szCs w:val="24"/>
        </w:rPr>
        <w:t>（三）对现有研究的突破</w:t>
      </w:r>
    </w:p>
    <w:p w14:paraId="5E6EF4DD">
      <w:pPr>
        <w:spacing w:line="276" w:lineRule="auto"/>
        <w:ind w:firstLine="480" w:firstLineChars="200"/>
        <w:rPr>
          <w:rFonts w:hint="eastAsia" w:ascii="宋体" w:hAnsi="宋体" w:eastAsia="宋体"/>
          <w:sz w:val="24"/>
          <w:szCs w:val="24"/>
        </w:rPr>
      </w:pPr>
      <w:r>
        <w:rPr>
          <w:rFonts w:ascii="宋体" w:hAnsi="宋体" w:eastAsia="宋体"/>
          <w:sz w:val="24"/>
          <w:szCs w:val="24"/>
        </w:rPr>
        <w:t>虽然家长、教师和同伴</w:t>
      </w:r>
      <w:r>
        <w:rPr>
          <w:rFonts w:hint="eastAsia" w:ascii="宋体" w:hAnsi="宋体" w:eastAsia="宋体"/>
          <w:sz w:val="24"/>
          <w:szCs w:val="24"/>
        </w:rPr>
        <w:t>作为重要他人</w:t>
      </w:r>
      <w:r>
        <w:rPr>
          <w:rFonts w:ascii="宋体" w:hAnsi="宋体" w:eastAsia="宋体"/>
          <w:sz w:val="24"/>
          <w:szCs w:val="24"/>
        </w:rPr>
        <w:t>对学生学业成就的</w:t>
      </w:r>
      <w:r>
        <w:rPr>
          <w:rFonts w:hint="eastAsia" w:ascii="宋体" w:hAnsi="宋体" w:eastAsia="宋体"/>
          <w:sz w:val="24"/>
          <w:szCs w:val="24"/>
        </w:rPr>
        <w:t>影响</w:t>
      </w:r>
      <w:r>
        <w:rPr>
          <w:rFonts w:ascii="宋体" w:hAnsi="宋体" w:eastAsia="宋体"/>
          <w:sz w:val="24"/>
          <w:szCs w:val="24"/>
        </w:rPr>
        <w:t>已得到充分</w:t>
      </w:r>
      <w:r>
        <w:rPr>
          <w:rFonts w:hint="eastAsia" w:ascii="宋体" w:hAnsi="宋体" w:eastAsia="宋体"/>
          <w:sz w:val="24"/>
          <w:szCs w:val="24"/>
        </w:rPr>
        <w:t>研究</w:t>
      </w:r>
      <w:r>
        <w:rPr>
          <w:rFonts w:ascii="宋体" w:hAnsi="宋体" w:eastAsia="宋体"/>
          <w:sz w:val="24"/>
          <w:szCs w:val="24"/>
        </w:rPr>
        <w:t>，但这些因素在</w:t>
      </w:r>
      <w:r>
        <w:rPr>
          <w:rFonts w:hint="eastAsia" w:ascii="宋体" w:hAnsi="宋体" w:eastAsia="宋体"/>
          <w:sz w:val="24"/>
          <w:szCs w:val="24"/>
        </w:rPr>
        <w:t>人工智能辅助</w:t>
      </w:r>
      <w:r>
        <w:rPr>
          <w:rFonts w:ascii="宋体" w:hAnsi="宋体" w:eastAsia="宋体"/>
          <w:sz w:val="24"/>
          <w:szCs w:val="24"/>
        </w:rPr>
        <w:t>学习</w:t>
      </w:r>
      <w:r>
        <w:rPr>
          <w:rFonts w:hint="eastAsia" w:ascii="宋体" w:hAnsi="宋体" w:eastAsia="宋体"/>
          <w:sz w:val="24"/>
          <w:szCs w:val="24"/>
        </w:rPr>
        <w:t>中</w:t>
      </w:r>
      <w:r>
        <w:rPr>
          <w:rFonts w:ascii="宋体" w:hAnsi="宋体" w:eastAsia="宋体"/>
          <w:sz w:val="24"/>
          <w:szCs w:val="24"/>
        </w:rPr>
        <w:t>的作用机制尚缺乏系统性</w:t>
      </w:r>
      <w:r>
        <w:rPr>
          <w:rFonts w:hint="eastAsia" w:ascii="宋体" w:hAnsi="宋体" w:eastAsia="宋体"/>
          <w:sz w:val="24"/>
          <w:szCs w:val="24"/>
        </w:rPr>
        <w:t>考察</w:t>
      </w:r>
      <w:r>
        <w:rPr>
          <w:rFonts w:ascii="宋体" w:hAnsi="宋体" w:eastAsia="宋体"/>
          <w:sz w:val="24"/>
          <w:szCs w:val="24"/>
        </w:rPr>
        <w:t>。现有研究主要集中在传统学科(如数学、语言)或一般性技术能力(如数字素养、计算思维)上</w:t>
      </w:r>
      <w:r>
        <w:rPr>
          <w:rFonts w:hint="eastAsia" w:ascii="宋体" w:hAnsi="宋体" w:eastAsia="宋体"/>
          <w:sz w:val="24"/>
          <w:szCs w:val="24"/>
          <w:vertAlign w:val="superscript"/>
        </w:rPr>
        <w:t>[6][10][14]</w:t>
      </w:r>
      <w:r>
        <w:rPr>
          <w:rFonts w:ascii="宋体" w:hAnsi="宋体" w:eastAsia="宋体"/>
          <w:sz w:val="24"/>
          <w:szCs w:val="24"/>
        </w:rPr>
        <w:t>，而针对</w:t>
      </w:r>
      <w:r>
        <w:rPr>
          <w:rFonts w:hint="eastAsia" w:ascii="宋体" w:hAnsi="宋体" w:eastAsia="宋体"/>
          <w:sz w:val="24"/>
          <w:szCs w:val="24"/>
        </w:rPr>
        <w:t>人工智能</w:t>
      </w:r>
      <w:r>
        <w:rPr>
          <w:rFonts w:ascii="宋体" w:hAnsi="宋体" w:eastAsia="宋体"/>
          <w:sz w:val="24"/>
          <w:szCs w:val="24"/>
        </w:rPr>
        <w:t>这一新兴领域的影响研究仍处于起步阶段。</w:t>
      </w:r>
      <w:r>
        <w:rPr>
          <w:rFonts w:hint="eastAsia" w:ascii="宋体" w:hAnsi="宋体" w:eastAsia="宋体"/>
          <w:sz w:val="24"/>
          <w:szCs w:val="24"/>
        </w:rPr>
        <w:t>因此，</w:t>
      </w:r>
      <w:r>
        <w:rPr>
          <w:rFonts w:ascii="宋体" w:hAnsi="宋体" w:eastAsia="宋体"/>
          <w:sz w:val="24"/>
          <w:szCs w:val="24"/>
        </w:rPr>
        <w:t>本研究试图在以下几个方面实现突破：第一，整合家长、教师和同伴三个维度，系统考察多层次社会影响对</w:t>
      </w:r>
      <w:r>
        <w:rPr>
          <w:rFonts w:hint="eastAsia" w:ascii="宋体" w:hAnsi="宋体" w:eastAsia="宋体"/>
          <w:sz w:val="24"/>
          <w:szCs w:val="24"/>
        </w:rPr>
        <w:t>人工智能学习</w:t>
      </w:r>
      <w:r>
        <w:rPr>
          <w:rFonts w:ascii="宋体" w:hAnsi="宋体" w:eastAsia="宋体"/>
          <w:sz w:val="24"/>
          <w:szCs w:val="24"/>
        </w:rPr>
        <w:t>素养的协同作用。第二，聚焦于</w:t>
      </w:r>
      <w:r>
        <w:rPr>
          <w:rFonts w:hint="eastAsia" w:ascii="宋体" w:hAnsi="宋体" w:eastAsia="宋体"/>
          <w:sz w:val="24"/>
          <w:szCs w:val="24"/>
        </w:rPr>
        <w:t>人工智能</w:t>
      </w:r>
      <w:r>
        <w:rPr>
          <w:rFonts w:ascii="宋体" w:hAnsi="宋体" w:eastAsia="宋体"/>
          <w:sz w:val="24"/>
          <w:szCs w:val="24"/>
        </w:rPr>
        <w:t>这一</w:t>
      </w:r>
      <w:r>
        <w:rPr>
          <w:rFonts w:hint="eastAsia" w:ascii="宋体" w:hAnsi="宋体" w:eastAsia="宋体"/>
          <w:sz w:val="24"/>
          <w:szCs w:val="24"/>
        </w:rPr>
        <w:t>工具在</w:t>
      </w:r>
      <w:r>
        <w:rPr>
          <w:rFonts w:ascii="宋体" w:hAnsi="宋体" w:eastAsia="宋体"/>
          <w:sz w:val="24"/>
          <w:szCs w:val="24"/>
        </w:rPr>
        <w:t>学习领域</w:t>
      </w:r>
      <w:r>
        <w:rPr>
          <w:rFonts w:hint="eastAsia" w:ascii="宋体" w:hAnsi="宋体" w:eastAsia="宋体"/>
          <w:sz w:val="24"/>
          <w:szCs w:val="24"/>
        </w:rPr>
        <w:t>中的应用</w:t>
      </w:r>
      <w:r>
        <w:rPr>
          <w:rFonts w:ascii="宋体" w:hAnsi="宋体" w:eastAsia="宋体"/>
          <w:sz w:val="24"/>
          <w:szCs w:val="24"/>
        </w:rPr>
        <w:t>，探讨</w:t>
      </w:r>
      <w:r>
        <w:rPr>
          <w:rFonts w:hint="eastAsia" w:ascii="宋体" w:hAnsi="宋体" w:eastAsia="宋体"/>
          <w:sz w:val="24"/>
          <w:szCs w:val="24"/>
        </w:rPr>
        <w:t>重要他人的</w:t>
      </w:r>
      <w:r>
        <w:rPr>
          <w:rFonts w:ascii="宋体" w:hAnsi="宋体" w:eastAsia="宋体"/>
          <w:sz w:val="24"/>
          <w:szCs w:val="24"/>
        </w:rPr>
        <w:t>影响在技术学习情境中的独特作用机制。</w:t>
      </w:r>
      <w:r>
        <w:rPr>
          <w:rFonts w:hint="eastAsia" w:ascii="宋体" w:hAnsi="宋体" w:eastAsia="宋体"/>
          <w:sz w:val="24"/>
          <w:szCs w:val="24"/>
        </w:rPr>
        <w:t>基于以上分析，本研究提出假设1，用于</w:t>
      </w:r>
      <w:r>
        <w:rPr>
          <w:rFonts w:ascii="宋体" w:hAnsi="宋体" w:eastAsia="宋体"/>
          <w:sz w:val="24"/>
          <w:szCs w:val="24"/>
        </w:rPr>
        <w:t>检验</w:t>
      </w:r>
      <w:r>
        <w:rPr>
          <w:rFonts w:hint="eastAsia" w:ascii="宋体" w:hAnsi="宋体" w:eastAsia="宋体"/>
          <w:sz w:val="24"/>
          <w:szCs w:val="24"/>
        </w:rPr>
        <w:t>重要他人的</w:t>
      </w:r>
      <w:r>
        <w:rPr>
          <w:rFonts w:ascii="宋体" w:hAnsi="宋体" w:eastAsia="宋体"/>
          <w:sz w:val="24"/>
          <w:szCs w:val="24"/>
        </w:rPr>
        <w:t>影响对人工智能</w:t>
      </w:r>
      <w:r>
        <w:rPr>
          <w:rFonts w:hint="eastAsia" w:ascii="宋体" w:hAnsi="宋体" w:eastAsia="宋体"/>
          <w:sz w:val="24"/>
          <w:szCs w:val="24"/>
        </w:rPr>
        <w:t>学习</w:t>
      </w:r>
      <w:r>
        <w:rPr>
          <w:rFonts w:ascii="宋体" w:hAnsi="宋体" w:eastAsia="宋体"/>
          <w:sz w:val="24"/>
          <w:szCs w:val="24"/>
        </w:rPr>
        <w:t>素养的作用</w:t>
      </w:r>
      <w:r>
        <w:rPr>
          <w:rFonts w:hint="eastAsia" w:ascii="宋体" w:hAnsi="宋体" w:eastAsia="宋体"/>
          <w:sz w:val="24"/>
          <w:szCs w:val="24"/>
        </w:rPr>
        <w:t>，并分为3个子假设，分别验证</w:t>
      </w:r>
      <w:r>
        <w:rPr>
          <w:rFonts w:ascii="宋体" w:hAnsi="宋体" w:eastAsia="宋体"/>
          <w:sz w:val="24"/>
          <w:szCs w:val="24"/>
        </w:rPr>
        <w:t>家长、教师和同伴</w:t>
      </w:r>
      <w:r>
        <w:rPr>
          <w:rFonts w:hint="eastAsia" w:ascii="宋体" w:hAnsi="宋体" w:eastAsia="宋体"/>
          <w:sz w:val="24"/>
          <w:szCs w:val="24"/>
        </w:rPr>
        <w:t>的人工智能学习态度行为对学生人工智能学习素养的影响：</w:t>
      </w:r>
    </w:p>
    <w:p w14:paraId="61B4BBBE">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假设1：感知的重要他人</w:t>
      </w:r>
      <w:bookmarkStart w:id="1" w:name="OLE_LINK1"/>
      <w:r>
        <w:rPr>
          <w:rFonts w:hint="eastAsia" w:ascii="宋体" w:hAnsi="宋体" w:eastAsia="宋体"/>
          <w:sz w:val="24"/>
          <w:szCs w:val="24"/>
        </w:rPr>
        <w:t>态度行为</w:t>
      </w:r>
      <w:bookmarkEnd w:id="1"/>
      <w:r>
        <w:rPr>
          <w:rFonts w:hint="eastAsia" w:ascii="宋体" w:hAnsi="宋体" w:eastAsia="宋体"/>
          <w:sz w:val="24"/>
          <w:szCs w:val="24"/>
        </w:rPr>
        <w:t>显著提升中小学生人工智能学习素养。</w:t>
      </w:r>
    </w:p>
    <w:p w14:paraId="6D9352B8">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假设1.1：感知的家长态度行为显著提升中小学生人工智能学习素养。</w:t>
      </w:r>
    </w:p>
    <w:p w14:paraId="47D94FDC">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假设1.2：感知的学生态度行为显著提升中小学生人工智能学习素养。</w:t>
      </w:r>
    </w:p>
    <w:p w14:paraId="76D97DDD">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假设1.3：感知的同辈态度行为显著提升中小学生人工智能学习素养。</w:t>
      </w:r>
    </w:p>
    <w:p w14:paraId="10BE8A6A">
      <w:pPr>
        <w:spacing w:line="276" w:lineRule="auto"/>
        <w:rPr>
          <w:rFonts w:ascii="宋体" w:hAnsi="宋体" w:eastAsia="宋体"/>
          <w:sz w:val="24"/>
          <w:szCs w:val="24"/>
        </w:rPr>
      </w:pPr>
    </w:p>
    <w:p w14:paraId="78D0B32F">
      <w:pPr>
        <w:pStyle w:val="2"/>
        <w:jc w:val="center"/>
        <w:rPr>
          <w:rFonts w:ascii="黑体" w:hAnsi="黑体" w:eastAsia="黑体"/>
          <w:color w:val="auto"/>
          <w:sz w:val="28"/>
          <w:szCs w:val="28"/>
        </w:rPr>
      </w:pPr>
      <w:r>
        <w:rPr>
          <w:rFonts w:hint="eastAsia" w:ascii="黑体" w:hAnsi="黑体" w:eastAsia="黑体"/>
          <w:color w:val="auto"/>
          <w:sz w:val="28"/>
          <w:szCs w:val="28"/>
        </w:rPr>
        <w:t>三、</w:t>
      </w:r>
      <w:r>
        <w:rPr>
          <w:rFonts w:ascii="黑体" w:hAnsi="黑体" w:eastAsia="黑体"/>
          <w:color w:val="auto"/>
          <w:sz w:val="28"/>
          <w:szCs w:val="28"/>
        </w:rPr>
        <w:t>人工智能辅助学习情境下的学业自我效能感、城乡差异、父母受教育水平差异</w:t>
      </w:r>
    </w:p>
    <w:p w14:paraId="7977187E">
      <w:pPr>
        <w:spacing w:line="360" w:lineRule="auto"/>
        <w:ind w:firstLine="480" w:firstLineChars="200"/>
        <w:rPr>
          <w:rFonts w:hint="eastAsia" w:ascii="楷体" w:hAnsi="楷体" w:eastAsia="楷体"/>
          <w:sz w:val="24"/>
          <w:szCs w:val="24"/>
        </w:rPr>
      </w:pPr>
      <w:r>
        <w:rPr>
          <w:rFonts w:ascii="楷体" w:hAnsi="楷体" w:eastAsia="楷体"/>
          <w:sz w:val="24"/>
          <w:szCs w:val="24"/>
        </w:rPr>
        <w:t>（一）中介效应分析：学业自我效能感</w:t>
      </w:r>
    </w:p>
    <w:p w14:paraId="68F394E1">
      <w:pPr>
        <w:spacing w:line="276" w:lineRule="auto"/>
        <w:ind w:firstLine="480" w:firstLineChars="200"/>
        <w:rPr>
          <w:rFonts w:ascii="宋体" w:hAnsi="宋体" w:eastAsia="宋体"/>
          <w:sz w:val="24"/>
          <w:szCs w:val="24"/>
        </w:rPr>
      </w:pPr>
      <w:r>
        <w:rPr>
          <w:rFonts w:ascii="宋体" w:hAnsi="宋体" w:eastAsia="宋体"/>
          <w:sz w:val="24"/>
          <w:szCs w:val="24"/>
        </w:rPr>
        <w:t>自我效能感(self-efficacy)是Bandura社会认知理论的核心概念，指个体对自己能够成功完成特定任务的信念。</w:t>
      </w:r>
      <w:r>
        <w:rPr>
          <w:rStyle w:val="21"/>
          <w:rFonts w:ascii="宋体" w:hAnsi="宋体" w:eastAsia="宋体"/>
          <w:sz w:val="24"/>
          <w:szCs w:val="24"/>
        </w:rPr>
        <w:t>[</w:t>
      </w:r>
      <w:r>
        <w:rPr>
          <w:rStyle w:val="21"/>
          <w:rFonts w:ascii="宋体" w:hAnsi="宋体" w:eastAsia="宋体"/>
          <w:sz w:val="24"/>
          <w:szCs w:val="24"/>
        </w:rPr>
        <w:endnoteReference w:id="24"/>
      </w:r>
      <w:r>
        <w:rPr>
          <w:rStyle w:val="21"/>
          <w:rFonts w:ascii="宋体" w:hAnsi="宋体" w:eastAsia="宋体"/>
          <w:sz w:val="24"/>
          <w:szCs w:val="24"/>
        </w:rPr>
        <w:t>]</w:t>
      </w:r>
      <w:r>
        <w:rPr>
          <w:rFonts w:ascii="宋体" w:hAnsi="宋体" w:eastAsia="宋体"/>
          <w:sz w:val="24"/>
          <w:szCs w:val="24"/>
        </w:rPr>
        <w:t>在教育领域，</w:t>
      </w:r>
      <w:r>
        <w:rPr>
          <w:rFonts w:hint="eastAsia" w:ascii="宋体" w:hAnsi="宋体" w:eastAsia="宋体"/>
          <w:sz w:val="24"/>
          <w:szCs w:val="24"/>
        </w:rPr>
        <w:t>学业</w:t>
      </w:r>
      <w:r>
        <w:rPr>
          <w:rFonts w:ascii="宋体" w:hAnsi="宋体" w:eastAsia="宋体"/>
          <w:sz w:val="24"/>
          <w:szCs w:val="24"/>
        </w:rPr>
        <w:t>自我效能感被证明是影响学生学业成就的重要心理变量。边玉芳指出学业自我效能感是学生对自己学习能力的评估和信心程度</w:t>
      </w:r>
      <w:r>
        <w:rPr>
          <w:rStyle w:val="21"/>
          <w:rFonts w:ascii="宋体" w:hAnsi="宋体" w:eastAsia="宋体"/>
          <w:sz w:val="24"/>
          <w:szCs w:val="24"/>
        </w:rPr>
        <w:t>[</w:t>
      </w:r>
      <w:r>
        <w:rPr>
          <w:rStyle w:val="21"/>
          <w:rFonts w:ascii="宋体" w:hAnsi="宋体" w:eastAsia="宋体"/>
          <w:sz w:val="24"/>
          <w:szCs w:val="24"/>
        </w:rPr>
        <w:endnoteReference w:id="25"/>
      </w:r>
      <w:r>
        <w:rPr>
          <w:rStyle w:val="21"/>
          <w:rFonts w:ascii="宋体" w:hAnsi="宋体" w:eastAsia="宋体"/>
          <w:sz w:val="24"/>
          <w:szCs w:val="24"/>
        </w:rPr>
        <w:t>]</w:t>
      </w:r>
      <w:r>
        <w:rPr>
          <w:rFonts w:hint="eastAsia" w:ascii="宋体" w:hAnsi="宋体" w:eastAsia="宋体"/>
          <w:sz w:val="24"/>
          <w:szCs w:val="24"/>
        </w:rPr>
        <w:t>，</w:t>
      </w:r>
      <w:r>
        <w:rPr>
          <w:rFonts w:ascii="宋体" w:hAnsi="宋体" w:eastAsia="宋体"/>
          <w:sz w:val="24"/>
          <w:szCs w:val="24"/>
        </w:rPr>
        <w:t>王凯荣等探讨了中学生自我效能感、归因与学习成绩的关系</w:t>
      </w:r>
      <w:r>
        <w:rPr>
          <w:rStyle w:val="21"/>
          <w:rFonts w:ascii="宋体" w:hAnsi="宋体" w:eastAsia="宋体"/>
          <w:sz w:val="24"/>
          <w:szCs w:val="24"/>
        </w:rPr>
        <w:t>[</w:t>
      </w:r>
      <w:r>
        <w:rPr>
          <w:rStyle w:val="21"/>
          <w:rFonts w:ascii="宋体" w:hAnsi="宋体" w:eastAsia="宋体"/>
          <w:sz w:val="24"/>
          <w:szCs w:val="24"/>
        </w:rPr>
        <w:endnoteReference w:id="26"/>
      </w:r>
      <w:r>
        <w:rPr>
          <w:rStyle w:val="21"/>
          <w:rFonts w:ascii="宋体" w:hAnsi="宋体" w:eastAsia="宋体"/>
          <w:sz w:val="24"/>
          <w:szCs w:val="24"/>
        </w:rPr>
        <w:t>]</w:t>
      </w:r>
      <w:r>
        <w:rPr>
          <w:rFonts w:ascii="宋体" w:hAnsi="宋体" w:eastAsia="宋体"/>
          <w:sz w:val="24"/>
          <w:szCs w:val="24"/>
        </w:rPr>
        <w:t>。大量研究表明，学习自我效能感与学业成就之间存在正相关</w:t>
      </w:r>
      <w:r>
        <w:rPr>
          <w:rFonts w:hint="eastAsia" w:ascii="宋体" w:hAnsi="宋体" w:eastAsia="宋体"/>
          <w:sz w:val="24"/>
          <w:szCs w:val="24"/>
        </w:rPr>
        <w:t>关系</w:t>
      </w:r>
      <w:r>
        <w:rPr>
          <w:rFonts w:ascii="宋体" w:hAnsi="宋体" w:eastAsia="宋体"/>
          <w:sz w:val="24"/>
          <w:szCs w:val="24"/>
        </w:rPr>
        <w:t>。根据社会认知理论，自我效能感作为个体行动的关键内在动力，能够通过多种认知与行为机制促进学业表现。具有高自我效能感的学生更有可能为自己设定更高的目标，在追求目标时投入更多努力和毅力，即使面对困难或挫折也能坚持，并倾向于在学业上超越自我效能感较低的同伴。</w:t>
      </w:r>
      <w:r>
        <w:rPr>
          <w:rStyle w:val="21"/>
          <w:rFonts w:ascii="宋体" w:hAnsi="宋体" w:eastAsia="宋体"/>
          <w:sz w:val="24"/>
          <w:szCs w:val="24"/>
        </w:rPr>
        <w:t>[</w:t>
      </w:r>
      <w:r>
        <w:rPr>
          <w:rStyle w:val="21"/>
          <w:rFonts w:ascii="宋体" w:hAnsi="宋体" w:eastAsia="宋体"/>
          <w:sz w:val="24"/>
          <w:szCs w:val="24"/>
        </w:rPr>
        <w:endnoteReference w:id="27"/>
      </w:r>
      <w:r>
        <w:rPr>
          <w:rStyle w:val="21"/>
          <w:rFonts w:ascii="宋体" w:hAnsi="宋体" w:eastAsia="宋体"/>
          <w:sz w:val="24"/>
          <w:szCs w:val="24"/>
        </w:rPr>
        <w:t>]</w:t>
      </w:r>
      <w:r>
        <w:rPr>
          <w:rFonts w:ascii="宋体" w:hAnsi="宋体" w:eastAsia="宋体"/>
          <w:sz w:val="24"/>
          <w:szCs w:val="24"/>
        </w:rPr>
        <w:t>这一关系在不同层面的实证研究中得到进一步验证</w:t>
      </w:r>
      <w:r>
        <w:rPr>
          <w:rFonts w:hint="eastAsia" w:ascii="宋体" w:hAnsi="宋体" w:eastAsia="宋体"/>
          <w:sz w:val="24"/>
          <w:szCs w:val="24"/>
        </w:rPr>
        <w:t>：一项</w:t>
      </w:r>
      <w:r>
        <w:rPr>
          <w:rFonts w:ascii="宋体" w:hAnsi="宋体" w:eastAsia="宋体"/>
          <w:sz w:val="24"/>
          <w:szCs w:val="24"/>
        </w:rPr>
        <w:t>数十年的研究强调了自我效能感对学业成就的积极影响</w:t>
      </w:r>
      <w:r>
        <w:rPr>
          <w:rStyle w:val="21"/>
          <w:rFonts w:ascii="宋体" w:hAnsi="宋体" w:eastAsia="宋体"/>
          <w:sz w:val="24"/>
          <w:szCs w:val="24"/>
        </w:rPr>
        <w:t>[</w:t>
      </w:r>
      <w:r>
        <w:rPr>
          <w:rStyle w:val="21"/>
          <w:rFonts w:ascii="宋体" w:hAnsi="宋体" w:eastAsia="宋体"/>
          <w:sz w:val="24"/>
          <w:szCs w:val="24"/>
        </w:rPr>
        <w:endnoteReference w:id="28"/>
      </w:r>
      <w:r>
        <w:rPr>
          <w:rStyle w:val="21"/>
          <w:rFonts w:ascii="宋体" w:hAnsi="宋体" w:eastAsia="宋体"/>
          <w:sz w:val="24"/>
          <w:szCs w:val="24"/>
        </w:rPr>
        <w:t>]</w:t>
      </w:r>
      <w:r>
        <w:rPr>
          <w:rFonts w:hint="eastAsia" w:ascii="宋体" w:hAnsi="宋体" w:eastAsia="宋体"/>
          <w:sz w:val="24"/>
          <w:szCs w:val="24"/>
        </w:rPr>
        <w:t>；另一项对</w:t>
      </w:r>
      <w:r>
        <w:rPr>
          <w:rFonts w:ascii="宋体" w:hAnsi="宋体" w:eastAsia="宋体"/>
          <w:sz w:val="24"/>
          <w:szCs w:val="24"/>
        </w:rPr>
        <w:t xml:space="preserve">398 </w:t>
      </w:r>
      <w:r>
        <w:rPr>
          <w:rFonts w:hint="eastAsia" w:ascii="宋体" w:hAnsi="宋体" w:eastAsia="宋体"/>
          <w:sz w:val="24"/>
          <w:szCs w:val="24"/>
        </w:rPr>
        <w:t>名中学生的研究发现，自我效能感对学习成绩有直接的影响</w:t>
      </w:r>
      <w:r>
        <w:rPr>
          <w:rFonts w:hint="eastAsia" w:ascii="宋体" w:hAnsi="宋体" w:eastAsia="宋体"/>
          <w:sz w:val="24"/>
          <w:szCs w:val="24"/>
          <w:vertAlign w:val="superscript"/>
        </w:rPr>
        <w:t>[23]</w:t>
      </w:r>
      <w:r>
        <w:rPr>
          <w:rFonts w:hint="eastAsia" w:ascii="宋体" w:hAnsi="宋体" w:eastAsia="宋体"/>
          <w:sz w:val="24"/>
          <w:szCs w:val="24"/>
        </w:rPr>
        <w:t>。</w:t>
      </w:r>
      <w:r>
        <w:rPr>
          <w:rFonts w:ascii="宋体" w:hAnsi="宋体" w:eastAsia="宋体"/>
          <w:sz w:val="24"/>
          <w:szCs w:val="24"/>
        </w:rPr>
        <w:t>社会认知理论</w:t>
      </w:r>
      <w:r>
        <w:rPr>
          <w:rFonts w:hint="eastAsia" w:ascii="宋体" w:hAnsi="宋体" w:eastAsia="宋体"/>
          <w:sz w:val="24"/>
          <w:szCs w:val="24"/>
        </w:rPr>
        <w:t>同时强调</w:t>
      </w:r>
      <w:r>
        <w:rPr>
          <w:rFonts w:ascii="宋体" w:hAnsi="宋体" w:eastAsia="宋体"/>
          <w:sz w:val="24"/>
          <w:szCs w:val="24"/>
        </w:rPr>
        <w:t>，人类行为在很大程度上受到自我调节和观察的影响，特别强调自我影响在塑造思想、感受和行动中的作用。</w:t>
      </w:r>
      <w:r>
        <w:rPr>
          <w:rFonts w:hint="eastAsia" w:ascii="宋体" w:hAnsi="宋体" w:eastAsia="宋体"/>
          <w:sz w:val="24"/>
          <w:szCs w:val="24"/>
          <w:vertAlign w:val="superscript"/>
        </w:rPr>
        <w:fldChar w:fldCharType="begin"/>
      </w:r>
      <w:r>
        <w:rPr>
          <w:rFonts w:hint="eastAsia" w:ascii="宋体" w:hAnsi="宋体" w:eastAsia="宋体"/>
          <w:sz w:val="24"/>
          <w:szCs w:val="24"/>
          <w:vertAlign w:val="superscript"/>
        </w:rPr>
        <w:instrText xml:space="preserve"> </w:instrText>
      </w:r>
      <w:r>
        <w:rPr>
          <w:rFonts w:ascii="宋体" w:hAnsi="宋体" w:eastAsia="宋体"/>
          <w:sz w:val="24"/>
          <w:szCs w:val="24"/>
          <w:vertAlign w:val="superscript"/>
        </w:rPr>
        <w:instrText xml:space="preserve">NOTEREF _Ref212885828 \h</w:instrText>
      </w:r>
      <w:r>
        <w:rPr>
          <w:rFonts w:hint="eastAsia" w:ascii="宋体" w:hAnsi="宋体" w:eastAsia="宋体"/>
          <w:sz w:val="24"/>
          <w:szCs w:val="24"/>
          <w:vertAlign w:val="superscript"/>
        </w:rPr>
        <w:instrText xml:space="preserve">  \* MERGEFORMAT </w:instrText>
      </w:r>
      <w:r>
        <w:rPr>
          <w:rFonts w:hint="eastAsia" w:ascii="宋体" w:hAnsi="宋体" w:eastAsia="宋体"/>
          <w:sz w:val="24"/>
          <w:szCs w:val="24"/>
          <w:vertAlign w:val="superscript"/>
        </w:rPr>
        <w:fldChar w:fldCharType="separate"/>
      </w:r>
      <w:r>
        <w:rPr>
          <w:rFonts w:hint="eastAsia" w:ascii="宋体" w:hAnsi="宋体" w:eastAsia="宋体"/>
          <w:sz w:val="24"/>
          <w:szCs w:val="24"/>
          <w:vertAlign w:val="superscript"/>
        </w:rPr>
        <w:t>5</w:t>
      </w:r>
      <w:r>
        <w:rPr>
          <w:rFonts w:hint="eastAsia" w:ascii="宋体" w:hAnsi="宋体" w:eastAsia="宋体"/>
          <w:sz w:val="24"/>
          <w:szCs w:val="24"/>
          <w:vertAlign w:val="superscript"/>
        </w:rPr>
        <w:fldChar w:fldCharType="end"/>
      </w:r>
      <w:r>
        <w:rPr>
          <w:rFonts w:ascii="宋体" w:hAnsi="宋体" w:eastAsia="宋体"/>
          <w:sz w:val="24"/>
          <w:szCs w:val="24"/>
        </w:rPr>
        <w:t>在教育</w:t>
      </w:r>
      <w:r>
        <w:rPr>
          <w:rFonts w:hint="eastAsia" w:ascii="宋体" w:hAnsi="宋体" w:eastAsia="宋体"/>
          <w:sz w:val="24"/>
          <w:szCs w:val="24"/>
        </w:rPr>
        <w:t>情景中</w:t>
      </w:r>
      <w:r>
        <w:rPr>
          <w:rFonts w:ascii="宋体" w:hAnsi="宋体" w:eastAsia="宋体"/>
          <w:sz w:val="24"/>
          <w:szCs w:val="24"/>
        </w:rPr>
        <w:t>，学生的学业成果在很大程度上是由他们与教师的互动以及他们学习的环境所塑造的。研究发现，师生互动与学业成就之间的关系由学业自我效能感部分中介。当学生相信自己的能力时，他们更有可能深入参与学习过程并取得更高的学业成果。</w:t>
      </w:r>
      <w:r>
        <w:rPr>
          <w:rFonts w:hint="eastAsia" w:ascii="宋体" w:hAnsi="宋体" w:eastAsia="宋体"/>
          <w:sz w:val="24"/>
          <w:szCs w:val="24"/>
          <w:vertAlign w:val="superscript"/>
        </w:rPr>
        <w:t>[26]</w:t>
      </w:r>
      <w:r>
        <w:rPr>
          <w:rFonts w:hint="eastAsia" w:ascii="宋体" w:hAnsi="宋体" w:eastAsia="宋体"/>
          <w:sz w:val="24"/>
          <w:szCs w:val="24"/>
        </w:rPr>
        <w:t>宋灵青等对</w:t>
      </w:r>
      <w:r>
        <w:rPr>
          <w:rFonts w:ascii="宋体" w:hAnsi="宋体" w:eastAsia="宋体"/>
          <w:sz w:val="24"/>
          <w:szCs w:val="24"/>
        </w:rPr>
        <w:t>469</w:t>
      </w:r>
      <w:r>
        <w:rPr>
          <w:rFonts w:hint="eastAsia" w:ascii="宋体" w:hAnsi="宋体" w:eastAsia="宋体"/>
          <w:sz w:val="24"/>
          <w:szCs w:val="24"/>
        </w:rPr>
        <w:t>名初中生的问卷调查发现，社会支持、学习观和自我效能感对学习主观幸福感有显著影响。</w:t>
      </w:r>
      <w:r>
        <w:rPr>
          <w:rStyle w:val="21"/>
          <w:rFonts w:ascii="宋体" w:hAnsi="宋体" w:eastAsia="宋体"/>
          <w:sz w:val="24"/>
          <w:szCs w:val="24"/>
        </w:rPr>
        <w:t>[</w:t>
      </w:r>
      <w:r>
        <w:rPr>
          <w:rStyle w:val="21"/>
          <w:rFonts w:ascii="宋体" w:hAnsi="宋体" w:eastAsia="宋体"/>
          <w:sz w:val="24"/>
          <w:szCs w:val="24"/>
        </w:rPr>
        <w:endnoteReference w:id="29"/>
      </w:r>
      <w:r>
        <w:rPr>
          <w:rStyle w:val="21"/>
          <w:rFonts w:ascii="宋体" w:hAnsi="宋体" w:eastAsia="宋体"/>
          <w:sz w:val="24"/>
          <w:szCs w:val="24"/>
        </w:rPr>
        <w:t>]</w:t>
      </w:r>
      <w:r>
        <w:rPr>
          <w:rFonts w:hint="eastAsia" w:ascii="宋体" w:hAnsi="宋体" w:eastAsia="宋体"/>
          <w:sz w:val="24"/>
          <w:szCs w:val="24"/>
        </w:rPr>
        <w:t xml:space="preserve"> </w:t>
      </w:r>
    </w:p>
    <w:p w14:paraId="63A3665C">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尽管自我效能感在传统学业领域中的作用已得到广泛验证，但其在人工智能辅助学习这一新兴教育情境中的机制与表现尚具探索空间。相较于常规学习环境，人工智能赋能的教学场景具有交互动态性、技术依赖性与认知适配性等特征，可能使学生的自我效能感形成路径及其影响机制呈现一定的情境特异性。依据社会认知理论，个体在特定领域的效能信念不仅受到既有成功经验的影响，更在与社会环境、技术工具及符号互动的过程中不断建构与调适。因此，在人工智能逐步融入课堂教学实践的背景下，学生对于自身驾驭人工智能技术以完成学习任务的信念——即面向</w:t>
      </w:r>
      <w:r>
        <w:rPr>
          <w:rFonts w:ascii="宋体" w:hAnsi="宋体" w:eastAsia="宋体"/>
          <w:sz w:val="24"/>
          <w:szCs w:val="24"/>
        </w:rPr>
        <w:t>AI</w:t>
      </w:r>
      <w:r>
        <w:rPr>
          <w:rFonts w:hint="eastAsia" w:ascii="宋体" w:hAnsi="宋体" w:eastAsia="宋体"/>
          <w:sz w:val="24"/>
          <w:szCs w:val="24"/>
        </w:rPr>
        <w:t xml:space="preserve">的学业自我效能感，可被视为衔接其感知到的重要他人态度、行为与其人工智能学习素养发展之间的关键中介机制。本研究据此推论，教师、家长等关键主体对人工智能教育所持的态度及表现出的支持行为，将通过增强学生在人工智能学习情境中的能力信心（即学业自我效能感），进而推动其在知识、技能、态度与伦理维度上的人工智能学习素养整体发展。为系统检验该中介路径，研究设立如下假设2，并分别从学习能力自我效能感与学习行为自我效能感两个维度展开具体验证： </w:t>
      </w:r>
    </w:p>
    <w:p w14:paraId="0E9AC379">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假设2：感知的重要他人态度行为通过学业自我效能感正向影响中小学生人工智能学习素养的关系。</w:t>
      </w:r>
    </w:p>
    <w:p w14:paraId="6249A995">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假设2.1：感知的重要他人态度行为通过学习能力自我效能感正向影响中小学生人工智能学习素养的关系。</w:t>
      </w:r>
    </w:p>
    <w:p w14:paraId="3EFBB4E9">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假设2.2：感知的重要他人态度行为通过学习行为自我效能感正向影响中小学生人工智能学习素养的关系。</w:t>
      </w:r>
    </w:p>
    <w:p w14:paraId="59582B2E">
      <w:pPr>
        <w:spacing w:line="360" w:lineRule="auto"/>
        <w:ind w:firstLine="480" w:firstLineChars="200"/>
        <w:rPr>
          <w:rFonts w:ascii="楷体" w:hAnsi="楷体" w:eastAsia="楷体"/>
          <w:sz w:val="24"/>
          <w:szCs w:val="24"/>
        </w:rPr>
      </w:pPr>
      <w:r>
        <w:rPr>
          <w:rFonts w:ascii="楷体" w:hAnsi="楷体" w:eastAsia="楷体"/>
          <w:sz w:val="24"/>
          <w:szCs w:val="24"/>
        </w:rPr>
        <w:t>（二）差异性分析：城乡差异</w:t>
      </w:r>
    </w:p>
    <w:p w14:paraId="267D6A11">
      <w:pPr>
        <w:spacing w:line="276" w:lineRule="auto"/>
        <w:ind w:firstLine="480" w:firstLineChars="200"/>
        <w:rPr>
          <w:rFonts w:hint="eastAsia" w:ascii="宋体" w:hAnsi="宋体" w:eastAsia="宋体"/>
          <w:sz w:val="24"/>
          <w:szCs w:val="24"/>
        </w:rPr>
      </w:pPr>
      <w:r>
        <w:rPr>
          <w:rFonts w:ascii="宋体" w:hAnsi="宋体" w:eastAsia="宋体"/>
          <w:sz w:val="24"/>
          <w:szCs w:val="24"/>
        </w:rPr>
        <w:t>中国城乡教育差距是一个长期存在且受到广泛关注的问题。这一差距不仅体现在教育资源配置上，还深刻影响着学生的学业成就和未来发展机会。</w:t>
      </w:r>
      <w:r>
        <w:rPr>
          <w:rFonts w:hint="eastAsia" w:ascii="宋体" w:hAnsi="宋体" w:eastAsia="宋体"/>
          <w:sz w:val="24"/>
          <w:szCs w:val="24"/>
        </w:rPr>
        <w:t>总体来看，随着国家持续投入和政策扶持，中国农村教育条件得到了历史性改善，这体现在硬件设施（校舍、操场等）有了很大提升，义务教育普及率接近</w:t>
      </w:r>
      <w:r>
        <w:rPr>
          <w:rFonts w:ascii="宋体" w:hAnsi="宋体" w:eastAsia="宋体"/>
          <w:sz w:val="24"/>
          <w:szCs w:val="24"/>
        </w:rPr>
        <w:t>100%</w:t>
      </w:r>
      <w:r>
        <w:rPr>
          <w:rFonts w:hint="eastAsia" w:ascii="宋体" w:hAnsi="宋体" w:eastAsia="宋体"/>
          <w:sz w:val="24"/>
          <w:szCs w:val="24"/>
        </w:rPr>
        <w:t>。然而，城乡之间的教育差距依然显著，主要体现在教育资源不均和教育结果两极分化上。此外，相关研究表明，随着人工智能技术的发展，数字教育领域出现了新的鸿沟。这表现在</w:t>
      </w:r>
      <w:r>
        <w:rPr>
          <w:rFonts w:ascii="宋体" w:hAnsi="宋体" w:eastAsia="宋体"/>
          <w:sz w:val="24"/>
          <w:szCs w:val="24"/>
        </w:rPr>
        <w:t>互联网</w:t>
      </w:r>
      <w:r>
        <w:rPr>
          <w:rFonts w:hint="eastAsia" w:ascii="宋体" w:hAnsi="宋体" w:eastAsia="宋体"/>
          <w:sz w:val="24"/>
          <w:szCs w:val="24"/>
        </w:rPr>
        <w:t>在一定程度上</w:t>
      </w:r>
      <w:r>
        <w:rPr>
          <w:rFonts w:ascii="宋体" w:hAnsi="宋体" w:eastAsia="宋体"/>
          <w:sz w:val="24"/>
          <w:szCs w:val="24"/>
        </w:rPr>
        <w:t>扩大了教育结果不平等</w:t>
      </w:r>
      <w:r>
        <w:rPr>
          <w:rStyle w:val="21"/>
          <w:rFonts w:ascii="宋体" w:hAnsi="宋体" w:eastAsia="宋体"/>
          <w:sz w:val="24"/>
          <w:szCs w:val="24"/>
        </w:rPr>
        <w:t>[</w:t>
      </w:r>
      <w:r>
        <w:rPr>
          <w:rStyle w:val="21"/>
          <w:rFonts w:ascii="宋体" w:hAnsi="宋体" w:eastAsia="宋体"/>
          <w:sz w:val="24"/>
          <w:szCs w:val="24"/>
        </w:rPr>
        <w:endnoteReference w:id="30"/>
      </w:r>
      <w:r>
        <w:rPr>
          <w:rStyle w:val="21"/>
          <w:rFonts w:ascii="宋体" w:hAnsi="宋体" w:eastAsia="宋体"/>
          <w:sz w:val="24"/>
          <w:szCs w:val="24"/>
        </w:rPr>
        <w:t>]</w:t>
      </w:r>
      <w:r>
        <w:rPr>
          <w:rFonts w:ascii="宋体" w:hAnsi="宋体" w:eastAsia="宋体"/>
          <w:sz w:val="24"/>
          <w:szCs w:val="24"/>
        </w:rPr>
        <w:t>，</w:t>
      </w:r>
      <w:r>
        <w:rPr>
          <w:rFonts w:hint="eastAsia" w:ascii="宋体" w:hAnsi="宋体" w:eastAsia="宋体"/>
          <w:sz w:val="24"/>
          <w:szCs w:val="24"/>
        </w:rPr>
        <w:t>以及</w:t>
      </w:r>
      <w:r>
        <w:rPr>
          <w:rFonts w:ascii="宋体" w:hAnsi="宋体" w:eastAsia="宋体"/>
          <w:sz w:val="24"/>
          <w:szCs w:val="24"/>
        </w:rPr>
        <w:t>城乡教育</w:t>
      </w:r>
      <w:r>
        <w:rPr>
          <w:rFonts w:hint="eastAsia" w:ascii="宋体" w:hAnsi="宋体" w:eastAsia="宋体"/>
          <w:sz w:val="24"/>
          <w:szCs w:val="24"/>
        </w:rPr>
        <w:t>现存的</w:t>
      </w:r>
      <w:r>
        <w:rPr>
          <w:rFonts w:ascii="宋体" w:hAnsi="宋体" w:eastAsia="宋体"/>
          <w:sz w:val="24"/>
          <w:szCs w:val="24"/>
        </w:rPr>
        <w:t>二元结构瓶颈</w:t>
      </w:r>
      <w:r>
        <w:rPr>
          <w:rFonts w:hint="eastAsia" w:ascii="宋体" w:hAnsi="宋体" w:eastAsia="宋体"/>
          <w:sz w:val="24"/>
          <w:szCs w:val="24"/>
        </w:rPr>
        <w:t>仍未被打破</w:t>
      </w:r>
      <w:r>
        <w:rPr>
          <w:rFonts w:ascii="宋体" w:hAnsi="宋体" w:eastAsia="宋体"/>
          <w:sz w:val="24"/>
          <w:szCs w:val="24"/>
        </w:rPr>
        <w:t>，城乡教育一体化</w:t>
      </w:r>
      <w:r>
        <w:rPr>
          <w:rFonts w:hint="eastAsia" w:ascii="宋体" w:hAnsi="宋体" w:eastAsia="宋体"/>
          <w:sz w:val="24"/>
          <w:szCs w:val="24"/>
        </w:rPr>
        <w:t>仍未实现</w:t>
      </w:r>
      <w:r>
        <w:rPr>
          <w:rStyle w:val="21"/>
          <w:rFonts w:ascii="宋体" w:hAnsi="宋体" w:eastAsia="宋体"/>
          <w:sz w:val="24"/>
          <w:szCs w:val="24"/>
        </w:rPr>
        <w:t>[</w:t>
      </w:r>
      <w:r>
        <w:rPr>
          <w:rStyle w:val="21"/>
          <w:rFonts w:ascii="宋体" w:hAnsi="宋体" w:eastAsia="宋体"/>
          <w:sz w:val="24"/>
          <w:szCs w:val="24"/>
        </w:rPr>
        <w:endnoteReference w:id="31"/>
      </w:r>
      <w:r>
        <w:rPr>
          <w:rStyle w:val="21"/>
          <w:rFonts w:ascii="宋体" w:hAnsi="宋体" w:eastAsia="宋体"/>
          <w:sz w:val="24"/>
          <w:szCs w:val="24"/>
        </w:rPr>
        <w:t>]</w:t>
      </w:r>
      <w:r>
        <w:rPr>
          <w:rFonts w:ascii="宋体" w:hAnsi="宋体" w:eastAsia="宋体"/>
          <w:sz w:val="24"/>
          <w:szCs w:val="24"/>
        </w:rPr>
        <w:t>。</w:t>
      </w:r>
    </w:p>
    <w:p w14:paraId="345AC64C">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除了传统的数字鸿沟主要聚焦的信息技术使用机会的差异，“新数字鸿沟”更关注因计算机或上网技能差异导致的“技能鸿沟”，以及因网络使用方式差异导致的“使用鸿沟”。</w:t>
      </w:r>
      <w:r>
        <w:rPr>
          <w:rStyle w:val="21"/>
          <w:rFonts w:ascii="宋体" w:hAnsi="宋体" w:eastAsia="宋体"/>
          <w:sz w:val="24"/>
          <w:szCs w:val="24"/>
        </w:rPr>
        <w:t>[</w:t>
      </w:r>
      <w:r>
        <w:rPr>
          <w:rStyle w:val="21"/>
          <w:rFonts w:ascii="宋体" w:hAnsi="宋体" w:eastAsia="宋体"/>
          <w:sz w:val="24"/>
          <w:szCs w:val="24"/>
        </w:rPr>
        <w:endnoteReference w:id="32"/>
      </w:r>
      <w:r>
        <w:rPr>
          <w:rStyle w:val="21"/>
          <w:rFonts w:ascii="宋体" w:hAnsi="宋体" w:eastAsia="宋体"/>
          <w:sz w:val="24"/>
          <w:szCs w:val="24"/>
        </w:rPr>
        <w:t>]</w:t>
      </w:r>
      <w:r>
        <w:rPr>
          <w:rFonts w:hint="eastAsia" w:ascii="宋体" w:hAnsi="宋体" w:eastAsia="宋体"/>
          <w:sz w:val="24"/>
          <w:szCs w:val="24"/>
        </w:rPr>
        <w:t>随着教育信息化基础设施的推广，信息鸿沟逐渐弥合，而素养鸿沟日益凸显。</w:t>
      </w:r>
      <w:r>
        <w:rPr>
          <w:rStyle w:val="21"/>
          <w:rFonts w:ascii="宋体" w:hAnsi="宋体" w:eastAsia="宋体"/>
          <w:sz w:val="24"/>
          <w:szCs w:val="24"/>
        </w:rPr>
        <w:t>[</w:t>
      </w:r>
      <w:r>
        <w:rPr>
          <w:rStyle w:val="21"/>
          <w:rFonts w:ascii="宋体" w:hAnsi="宋体" w:eastAsia="宋体"/>
          <w:sz w:val="24"/>
          <w:szCs w:val="24"/>
        </w:rPr>
        <w:endnoteReference w:id="33"/>
      </w:r>
      <w:r>
        <w:rPr>
          <w:rStyle w:val="21"/>
          <w:rFonts w:ascii="宋体" w:hAnsi="宋体" w:eastAsia="宋体"/>
          <w:sz w:val="24"/>
          <w:szCs w:val="24"/>
        </w:rPr>
        <w:t>]</w:t>
      </w:r>
      <w:r>
        <w:rPr>
          <w:rFonts w:hint="eastAsia" w:ascii="宋体" w:hAnsi="宋体" w:eastAsia="宋体"/>
          <w:sz w:val="24"/>
          <w:szCs w:val="24"/>
        </w:rPr>
        <w:t>研究表明，城乡学校在硬件设备、网络基础设施、数字资源获取以及师资数字素养等方面存在显著差距。城市学校设备先进、网络完善，学生能便捷获取在线资源；而农村特别是偏远山区学校硬件落后、网络覆盖不足，师生数字素养较低。</w:t>
      </w:r>
      <w:r>
        <w:rPr>
          <w:rStyle w:val="21"/>
          <w:rFonts w:ascii="宋体" w:hAnsi="宋体" w:eastAsia="宋体"/>
          <w:sz w:val="24"/>
          <w:szCs w:val="24"/>
        </w:rPr>
        <w:t>[</w:t>
      </w:r>
      <w:r>
        <w:rPr>
          <w:rStyle w:val="21"/>
          <w:rFonts w:ascii="宋体" w:hAnsi="宋体" w:eastAsia="宋体"/>
          <w:sz w:val="24"/>
          <w:szCs w:val="24"/>
        </w:rPr>
        <w:endnoteReference w:id="34"/>
      </w:r>
      <w:r>
        <w:rPr>
          <w:rStyle w:val="21"/>
          <w:rFonts w:ascii="宋体" w:hAnsi="宋体" w:eastAsia="宋体"/>
          <w:sz w:val="24"/>
          <w:szCs w:val="24"/>
        </w:rPr>
        <w:t>]</w:t>
      </w:r>
      <w:r>
        <w:rPr>
          <w:rFonts w:hint="eastAsia" w:ascii="宋体" w:hAnsi="宋体" w:eastAsia="宋体"/>
          <w:sz w:val="24"/>
          <w:szCs w:val="24"/>
        </w:rPr>
        <w:t>尽管我国在运用信息技术促进教育公平方面取得了很大成效，但现有政策和实践更多着眼于物理接入层面</w:t>
      </w:r>
      <w:r>
        <w:rPr>
          <w:rStyle w:val="21"/>
          <w:rFonts w:ascii="宋体" w:hAnsi="宋体" w:eastAsia="宋体"/>
          <w:sz w:val="24"/>
          <w:szCs w:val="24"/>
        </w:rPr>
        <w:t>[</w:t>
      </w:r>
      <w:r>
        <w:rPr>
          <w:rStyle w:val="21"/>
          <w:rFonts w:ascii="宋体" w:hAnsi="宋体" w:eastAsia="宋体"/>
          <w:sz w:val="24"/>
          <w:szCs w:val="24"/>
        </w:rPr>
        <w:endnoteReference w:id="35"/>
      </w:r>
      <w:r>
        <w:rPr>
          <w:rStyle w:val="21"/>
          <w:rFonts w:ascii="宋体" w:hAnsi="宋体" w:eastAsia="宋体"/>
          <w:sz w:val="24"/>
          <w:szCs w:val="24"/>
        </w:rPr>
        <w:t>]</w:t>
      </w:r>
      <w:r>
        <w:rPr>
          <w:rFonts w:hint="eastAsia" w:ascii="宋体" w:hAnsi="宋体" w:eastAsia="宋体"/>
          <w:sz w:val="24"/>
          <w:szCs w:val="24"/>
        </w:rPr>
        <w:t>，对技能培养和有效使用的关注仍显不足。这种差距不仅影响农村学生接触先进技术教育的机会，也制约了其未来发展和社会流动。</w:t>
      </w:r>
    </w:p>
    <w:p w14:paraId="19762D53">
      <w:pPr>
        <w:spacing w:line="276" w:lineRule="auto"/>
        <w:ind w:firstLine="480" w:firstLineChars="200"/>
        <w:rPr>
          <w:rFonts w:hint="eastAsia" w:ascii="宋体" w:hAnsi="宋体" w:eastAsia="宋体"/>
          <w:sz w:val="24"/>
          <w:szCs w:val="24"/>
        </w:rPr>
      </w:pPr>
      <w:r>
        <w:rPr>
          <w:rFonts w:ascii="宋体" w:hAnsi="宋体" w:eastAsia="宋体"/>
          <w:sz w:val="24"/>
          <w:szCs w:val="24"/>
        </w:rPr>
        <w:t>在城乡差距的复杂背景下，社会支持可能在不同情境中发挥差异化作用。农村学生面临的挑战不仅包括物质资源的缺乏，还包括文化资本和社会资本的不足。</w:t>
      </w:r>
      <w:r>
        <w:rPr>
          <w:rStyle w:val="21"/>
          <w:rFonts w:ascii="宋体" w:hAnsi="宋体" w:eastAsia="宋体"/>
          <w:sz w:val="24"/>
          <w:szCs w:val="24"/>
        </w:rPr>
        <w:t>[</w:t>
      </w:r>
      <w:r>
        <w:rPr>
          <w:rStyle w:val="21"/>
          <w:rFonts w:ascii="宋体" w:hAnsi="宋体" w:eastAsia="宋体"/>
          <w:sz w:val="24"/>
          <w:szCs w:val="24"/>
        </w:rPr>
        <w:endnoteReference w:id="36"/>
      </w:r>
      <w:r>
        <w:rPr>
          <w:rStyle w:val="21"/>
          <w:rFonts w:ascii="宋体" w:hAnsi="宋体" w:eastAsia="宋体"/>
          <w:sz w:val="24"/>
          <w:szCs w:val="24"/>
        </w:rPr>
        <w:t>]</w:t>
      </w:r>
      <w:r>
        <w:rPr>
          <w:rFonts w:ascii="宋体" w:hAnsi="宋体" w:eastAsia="宋体"/>
          <w:sz w:val="24"/>
          <w:szCs w:val="24"/>
        </w:rPr>
        <w:t>对于农村学生而言，来自学校的支持(教师和同伴)可能比城市学生更为关键，因为这可能是他们获得AI学习资源和正向态度的主要渠道。研究表明，教育技术可以成为缩小城乡教育差距的有效途径。</w:t>
      </w:r>
      <w:r>
        <w:rPr>
          <w:rStyle w:val="21"/>
          <w:rFonts w:ascii="宋体" w:hAnsi="宋体" w:eastAsia="宋体"/>
          <w:sz w:val="24"/>
          <w:szCs w:val="24"/>
        </w:rPr>
        <w:t>[</w:t>
      </w:r>
      <w:r>
        <w:rPr>
          <w:rStyle w:val="21"/>
          <w:rFonts w:ascii="宋体" w:hAnsi="宋体" w:eastAsia="宋体"/>
          <w:sz w:val="24"/>
          <w:szCs w:val="24"/>
        </w:rPr>
        <w:endnoteReference w:id="37"/>
      </w:r>
      <w:r>
        <w:rPr>
          <w:rStyle w:val="21"/>
          <w:rFonts w:ascii="宋体" w:hAnsi="宋体" w:eastAsia="宋体"/>
          <w:sz w:val="24"/>
          <w:szCs w:val="24"/>
        </w:rPr>
        <w:t>]</w:t>
      </w:r>
      <w:r>
        <w:rPr>
          <w:rFonts w:ascii="宋体" w:hAnsi="宋体" w:eastAsia="宋体"/>
          <w:sz w:val="24"/>
          <w:szCs w:val="24"/>
        </w:rPr>
        <w:t>然而，现有研究尚未明确探讨社会网络感知在AI学习情境中是否以及如何在城乡间产生差异化影响。本研究假设，由于农村学生缺乏家庭的</w:t>
      </w:r>
      <w:r>
        <w:rPr>
          <w:rFonts w:hint="eastAsia" w:ascii="宋体" w:hAnsi="宋体" w:eastAsia="宋体"/>
          <w:sz w:val="24"/>
          <w:szCs w:val="24"/>
        </w:rPr>
        <w:t>人工智能</w:t>
      </w:r>
      <w:r>
        <w:rPr>
          <w:rFonts w:ascii="宋体" w:hAnsi="宋体" w:eastAsia="宋体"/>
          <w:sz w:val="24"/>
          <w:szCs w:val="24"/>
        </w:rPr>
        <w:t>学习资源和支持，学校环境(教师和同伴)提供的</w:t>
      </w:r>
      <w:r>
        <w:rPr>
          <w:rFonts w:hint="eastAsia" w:ascii="宋体" w:hAnsi="宋体" w:eastAsia="宋体"/>
          <w:sz w:val="24"/>
          <w:szCs w:val="24"/>
        </w:rPr>
        <w:t>人工智能</w:t>
      </w:r>
      <w:r>
        <w:rPr>
          <w:rFonts w:ascii="宋体" w:hAnsi="宋体" w:eastAsia="宋体"/>
          <w:sz w:val="24"/>
          <w:szCs w:val="24"/>
        </w:rPr>
        <w:t>学习氛围可能对他们的</w:t>
      </w:r>
      <w:r>
        <w:rPr>
          <w:rFonts w:hint="eastAsia" w:ascii="宋体" w:hAnsi="宋体" w:eastAsia="宋体"/>
          <w:sz w:val="24"/>
          <w:szCs w:val="24"/>
        </w:rPr>
        <w:t>人工智能学习</w:t>
      </w:r>
      <w:r>
        <w:rPr>
          <w:rFonts w:ascii="宋体" w:hAnsi="宋体" w:eastAsia="宋体"/>
          <w:sz w:val="24"/>
          <w:szCs w:val="24"/>
        </w:rPr>
        <w:t>素养发展产生更强的促进作用。</w:t>
      </w:r>
      <w:r>
        <w:rPr>
          <w:rFonts w:hint="eastAsia" w:ascii="宋体" w:hAnsi="宋体" w:eastAsia="宋体"/>
          <w:sz w:val="24"/>
          <w:szCs w:val="24"/>
        </w:rPr>
        <w:t>基于以上分析，本研究提出假设3，检测社会支持对人工智能学习素养的影响是否存在城乡差异：</w:t>
      </w:r>
    </w:p>
    <w:p w14:paraId="65B58937">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假设3：相比起城镇中小学生，感知的重要他人态度行为对乡村中小学生人工智能学习素养的促进作用更显著。</w:t>
      </w:r>
    </w:p>
    <w:p w14:paraId="005DE870">
      <w:pPr>
        <w:spacing w:line="360" w:lineRule="auto"/>
        <w:ind w:firstLine="480" w:firstLineChars="200"/>
        <w:rPr>
          <w:rFonts w:ascii="楷体" w:hAnsi="楷体" w:eastAsia="楷体"/>
          <w:sz w:val="24"/>
          <w:szCs w:val="24"/>
        </w:rPr>
      </w:pPr>
      <w:r>
        <w:rPr>
          <w:rFonts w:ascii="楷体" w:hAnsi="楷体" w:eastAsia="楷体"/>
          <w:sz w:val="24"/>
          <w:szCs w:val="24"/>
        </w:rPr>
        <w:t>（三）差异性分析：父母受教育水平差异</w:t>
      </w:r>
    </w:p>
    <w:p w14:paraId="2DAAC1EB">
      <w:pPr>
        <w:spacing w:line="276" w:lineRule="auto"/>
        <w:ind w:firstLine="480" w:firstLineChars="200"/>
        <w:rPr>
          <w:rFonts w:ascii="宋体" w:hAnsi="宋体" w:eastAsia="宋体"/>
          <w:sz w:val="24"/>
          <w:szCs w:val="24"/>
        </w:rPr>
      </w:pPr>
      <w:r>
        <w:rPr>
          <w:rFonts w:ascii="宋体" w:hAnsi="宋体" w:eastAsia="宋体"/>
          <w:sz w:val="24"/>
          <w:szCs w:val="24"/>
        </w:rPr>
        <w:t>父母</w:t>
      </w:r>
      <w:r>
        <w:rPr>
          <w:rFonts w:hint="eastAsia" w:ascii="宋体" w:hAnsi="宋体" w:eastAsia="宋体"/>
          <w:sz w:val="24"/>
          <w:szCs w:val="24"/>
        </w:rPr>
        <w:t>受</w:t>
      </w:r>
      <w:r>
        <w:rPr>
          <w:rFonts w:ascii="宋体" w:hAnsi="宋体" w:eastAsia="宋体"/>
          <w:sz w:val="24"/>
          <w:szCs w:val="24"/>
        </w:rPr>
        <w:t>教育</w:t>
      </w:r>
      <w:r>
        <w:rPr>
          <w:rFonts w:hint="eastAsia" w:ascii="宋体" w:hAnsi="宋体" w:eastAsia="宋体"/>
          <w:sz w:val="24"/>
          <w:szCs w:val="24"/>
        </w:rPr>
        <w:t>水平</w:t>
      </w:r>
      <w:r>
        <w:rPr>
          <w:rFonts w:ascii="宋体" w:hAnsi="宋体" w:eastAsia="宋体"/>
          <w:sz w:val="24"/>
          <w:szCs w:val="24"/>
        </w:rPr>
        <w:t>通常驱动其职业和收入，常被用作社会经济地位的代理变量。研究认为，父母受教育</w:t>
      </w:r>
      <w:r>
        <w:rPr>
          <w:rFonts w:hint="eastAsia" w:ascii="宋体" w:hAnsi="宋体" w:eastAsia="宋体"/>
          <w:sz w:val="24"/>
          <w:szCs w:val="24"/>
        </w:rPr>
        <w:t>水平</w:t>
      </w:r>
      <w:r>
        <w:rPr>
          <w:rFonts w:ascii="宋体" w:hAnsi="宋体" w:eastAsia="宋体"/>
          <w:sz w:val="24"/>
          <w:szCs w:val="24"/>
        </w:rPr>
        <w:t>为支持儿童学业成功</w:t>
      </w:r>
      <w:r>
        <w:rPr>
          <w:rFonts w:hint="eastAsia" w:ascii="宋体" w:hAnsi="宋体" w:eastAsia="宋体"/>
          <w:sz w:val="24"/>
          <w:szCs w:val="24"/>
        </w:rPr>
        <w:t>奠定了重要基础</w:t>
      </w:r>
      <w:r>
        <w:rPr>
          <w:rFonts w:ascii="宋体" w:hAnsi="宋体" w:eastAsia="宋体"/>
          <w:sz w:val="24"/>
          <w:szCs w:val="24"/>
        </w:rPr>
        <w:t>，这种支持通过父母对子女的信念和期望，以及父母在家庭内外提供的认知刺激间接实现。</w:t>
      </w:r>
      <w:r>
        <w:rPr>
          <w:rStyle w:val="21"/>
          <w:rFonts w:ascii="宋体" w:hAnsi="宋体" w:eastAsia="宋体"/>
          <w:sz w:val="24"/>
          <w:szCs w:val="24"/>
        </w:rPr>
        <w:t>[</w:t>
      </w:r>
      <w:r>
        <w:rPr>
          <w:rStyle w:val="21"/>
          <w:rFonts w:ascii="宋体" w:hAnsi="宋体" w:eastAsia="宋体"/>
          <w:sz w:val="24"/>
          <w:szCs w:val="24"/>
        </w:rPr>
        <w:endnoteReference w:id="38"/>
      </w:r>
      <w:r>
        <w:rPr>
          <w:rStyle w:val="21"/>
          <w:rFonts w:ascii="宋体" w:hAnsi="宋体" w:eastAsia="宋体"/>
          <w:sz w:val="24"/>
          <w:szCs w:val="24"/>
        </w:rPr>
        <w:t>]</w:t>
      </w:r>
      <w:r>
        <w:rPr>
          <w:rFonts w:ascii="宋体" w:hAnsi="宋体" w:eastAsia="宋体"/>
          <w:sz w:val="24"/>
          <w:szCs w:val="24"/>
        </w:rPr>
        <w:t>这种</w:t>
      </w:r>
      <w:r>
        <w:rPr>
          <w:rFonts w:hint="eastAsia" w:ascii="宋体" w:hAnsi="宋体" w:eastAsia="宋体"/>
          <w:sz w:val="24"/>
          <w:szCs w:val="24"/>
        </w:rPr>
        <w:t>影响</w:t>
      </w:r>
      <w:r>
        <w:rPr>
          <w:rFonts w:ascii="宋体" w:hAnsi="宋体" w:eastAsia="宋体"/>
          <w:sz w:val="24"/>
          <w:szCs w:val="24"/>
        </w:rPr>
        <w:t>呈现出显著的代际传递特征。纵向研究表明，父母</w:t>
      </w:r>
      <w:r>
        <w:rPr>
          <w:rFonts w:hint="eastAsia" w:ascii="宋体" w:hAnsi="宋体" w:eastAsia="宋体"/>
          <w:sz w:val="24"/>
          <w:szCs w:val="24"/>
        </w:rPr>
        <w:t>受</w:t>
      </w:r>
      <w:r>
        <w:rPr>
          <w:rFonts w:ascii="宋体" w:hAnsi="宋体" w:eastAsia="宋体"/>
          <w:sz w:val="24"/>
          <w:szCs w:val="24"/>
        </w:rPr>
        <w:t>教育</w:t>
      </w:r>
      <w:r>
        <w:rPr>
          <w:rFonts w:hint="eastAsia" w:ascii="宋体" w:hAnsi="宋体" w:eastAsia="宋体"/>
          <w:sz w:val="24"/>
          <w:szCs w:val="24"/>
        </w:rPr>
        <w:t>水平</w:t>
      </w:r>
      <w:r>
        <w:rPr>
          <w:rFonts w:ascii="宋体" w:hAnsi="宋体" w:eastAsia="宋体"/>
          <w:sz w:val="24"/>
          <w:szCs w:val="24"/>
        </w:rPr>
        <w:t>在儿童早期的有益影响不仅限于整个学年的学业成就，而且对中年期的积极成果(即更高的教育水平、更有声望的职业)具有长期影响。</w:t>
      </w:r>
      <w:r>
        <w:rPr>
          <w:rStyle w:val="21"/>
          <w:rFonts w:ascii="宋体" w:hAnsi="宋体" w:eastAsia="宋体"/>
          <w:sz w:val="24"/>
          <w:szCs w:val="24"/>
        </w:rPr>
        <w:t>[</w:t>
      </w:r>
      <w:r>
        <w:rPr>
          <w:rStyle w:val="21"/>
          <w:rFonts w:ascii="宋体" w:hAnsi="宋体" w:eastAsia="宋体"/>
          <w:sz w:val="24"/>
          <w:szCs w:val="24"/>
        </w:rPr>
        <w:endnoteReference w:id="39"/>
      </w:r>
      <w:r>
        <w:rPr>
          <w:rStyle w:val="21"/>
          <w:rFonts w:ascii="宋体" w:hAnsi="宋体" w:eastAsia="宋体"/>
          <w:sz w:val="24"/>
          <w:szCs w:val="24"/>
        </w:rPr>
        <w:t>]</w:t>
      </w:r>
      <w:r>
        <w:rPr>
          <w:rFonts w:ascii="宋体" w:hAnsi="宋体" w:eastAsia="宋体"/>
          <w:sz w:val="24"/>
          <w:szCs w:val="24"/>
        </w:rPr>
        <w:t>代际传递不仅体现在教育期望和学业支持上，还体现在认知和非认知技能的传递上。研究表明，父母教育较高的儿童在早期就表现出更强的执行功能和认知能力，这些早期优势会在整个教育轨迹中累积，形成累积优势 (cumulative advantage)。</w:t>
      </w:r>
      <w:r>
        <w:rPr>
          <w:rStyle w:val="21"/>
          <w:rFonts w:ascii="宋体" w:hAnsi="宋体" w:eastAsia="宋体"/>
          <w:sz w:val="24"/>
          <w:szCs w:val="24"/>
        </w:rPr>
        <w:t>[</w:t>
      </w:r>
      <w:r>
        <w:rPr>
          <w:rStyle w:val="21"/>
          <w:rFonts w:ascii="宋体" w:hAnsi="宋体" w:eastAsia="宋体"/>
          <w:sz w:val="24"/>
          <w:szCs w:val="24"/>
        </w:rPr>
        <w:endnoteReference w:id="40"/>
      </w:r>
      <w:r>
        <w:rPr>
          <w:rStyle w:val="21"/>
          <w:rFonts w:ascii="宋体" w:hAnsi="宋体" w:eastAsia="宋体"/>
          <w:sz w:val="24"/>
          <w:szCs w:val="24"/>
        </w:rPr>
        <w:t>]</w:t>
      </w:r>
    </w:p>
    <w:p w14:paraId="0ADE14D1">
      <w:pPr>
        <w:spacing w:line="276" w:lineRule="auto"/>
        <w:ind w:firstLine="480" w:firstLineChars="200"/>
        <w:rPr>
          <w:rFonts w:hint="eastAsia" w:ascii="宋体" w:hAnsi="宋体" w:eastAsia="宋体"/>
          <w:sz w:val="24"/>
          <w:szCs w:val="24"/>
        </w:rPr>
      </w:pPr>
      <w:r>
        <w:rPr>
          <w:rFonts w:ascii="宋体" w:hAnsi="宋体" w:eastAsia="宋体"/>
          <w:sz w:val="24"/>
          <w:szCs w:val="24"/>
        </w:rPr>
        <w:t>基于上述分析，父母受教育程度作为代际资本传递的关键载体，不仅通过认知刺激和教育期望塑造子女的常规学业发展，其影响很可能延伸至人工智能这一新兴学习领域。在技术赋能的教育环境中，父母受教育程度的差异可能导致子女在接触、理解和运用人工智能技术时处于不同的资源禀赋和认知起点，进而调节其对外界态度与行为影响的敏感度与响应模式。具体而言，高受教育程度父母往往更早形成对</w:t>
      </w:r>
      <w:r>
        <w:rPr>
          <w:rFonts w:hint="eastAsia" w:ascii="宋体" w:hAnsi="宋体" w:eastAsia="宋体"/>
          <w:sz w:val="24"/>
          <w:szCs w:val="24"/>
        </w:rPr>
        <w:t>人工智能</w:t>
      </w:r>
      <w:r>
        <w:rPr>
          <w:rFonts w:ascii="宋体" w:hAnsi="宋体" w:eastAsia="宋体"/>
          <w:sz w:val="24"/>
          <w:szCs w:val="24"/>
        </w:rPr>
        <w:t>技术的结构化认知与积极态度，其所提供的认知刺激、资源支持与技术引导，能够强化子女在</w:t>
      </w:r>
      <w:r>
        <w:rPr>
          <w:rFonts w:hint="eastAsia" w:ascii="宋体" w:hAnsi="宋体" w:eastAsia="宋体"/>
          <w:sz w:val="24"/>
          <w:szCs w:val="24"/>
        </w:rPr>
        <w:t>人工智能辅助</w:t>
      </w:r>
      <w:r>
        <w:rPr>
          <w:rFonts w:ascii="宋体" w:hAnsi="宋体" w:eastAsia="宋体"/>
          <w:sz w:val="24"/>
          <w:szCs w:val="24"/>
        </w:rPr>
        <w:t>学习</w:t>
      </w:r>
      <w:r>
        <w:rPr>
          <w:rFonts w:hint="eastAsia" w:ascii="宋体" w:hAnsi="宋体" w:eastAsia="宋体"/>
          <w:sz w:val="24"/>
          <w:szCs w:val="24"/>
        </w:rPr>
        <w:t>情景</w:t>
      </w:r>
      <w:r>
        <w:rPr>
          <w:rFonts w:ascii="宋体" w:hAnsi="宋体" w:eastAsia="宋体"/>
          <w:sz w:val="24"/>
          <w:szCs w:val="24"/>
        </w:rPr>
        <w:t>中对重要他人（如教师、同伴）态度与行为的感知与内化过程，从而形成更为显著的人工智能学习素养提升路径。相比之下，父母受教育程度较低的学生可能因家庭技术文化资本相对薄弱，而在感知和转化外部社会支持为自身</w:t>
      </w:r>
      <w:r>
        <w:rPr>
          <w:rFonts w:hint="eastAsia" w:ascii="宋体" w:hAnsi="宋体" w:eastAsia="宋体"/>
          <w:sz w:val="24"/>
          <w:szCs w:val="24"/>
        </w:rPr>
        <w:t>人工智能</w:t>
      </w:r>
      <w:r>
        <w:rPr>
          <w:rFonts w:ascii="宋体" w:hAnsi="宋体" w:eastAsia="宋体"/>
          <w:sz w:val="24"/>
          <w:szCs w:val="24"/>
        </w:rPr>
        <w:t>学习素养的过程中面临一定局限。</w:t>
      </w:r>
      <w:bookmarkStart w:id="2" w:name="OLE_LINK4"/>
      <w:r>
        <w:rPr>
          <w:rFonts w:hint="eastAsia" w:ascii="宋体" w:hAnsi="宋体" w:eastAsia="宋体"/>
          <w:sz w:val="24"/>
          <w:szCs w:val="24"/>
        </w:rPr>
        <w:t>基于以上分析，本研究提出假设4，检测重要他人影响是否存在父母受教育程度差异：</w:t>
      </w:r>
    </w:p>
    <w:p w14:paraId="3CCB5519">
      <w:pPr>
        <w:spacing w:line="276" w:lineRule="auto"/>
        <w:ind w:firstLine="480" w:firstLineChars="200"/>
        <w:rPr>
          <w:rFonts w:hint="eastAsia" w:ascii="宋体" w:hAnsi="宋体" w:eastAsia="宋体"/>
          <w:sz w:val="24"/>
          <w:szCs w:val="24"/>
          <w:lang w:eastAsia="zh-CN"/>
        </w:rPr>
      </w:pPr>
      <w:r>
        <w:rPr>
          <w:rFonts w:hint="eastAsia" w:ascii="宋体" w:hAnsi="宋体" w:eastAsia="宋体"/>
          <w:sz w:val="24"/>
          <w:szCs w:val="24"/>
        </w:rPr>
        <w:t>假设4：感知的重要他人态度行为对父母受教育程度不同的中小学生的人工智能学习素养具有不同的影响，其中对父母受教育水平较高的中小学生的影响更为强烈</w:t>
      </w:r>
      <w:bookmarkEnd w:id="2"/>
      <w:r>
        <w:rPr>
          <w:rFonts w:hint="eastAsia" w:ascii="宋体" w:hAnsi="宋体" w:eastAsia="宋体"/>
          <w:sz w:val="24"/>
          <w:szCs w:val="24"/>
          <w:lang w:eastAsia="zh-CN"/>
        </w:rPr>
        <w:t>。</w:t>
      </w:r>
    </w:p>
    <w:p w14:paraId="490C6D04">
      <w:pPr>
        <w:pStyle w:val="2"/>
        <w:jc w:val="center"/>
        <w:rPr>
          <w:rFonts w:hint="eastAsia" w:ascii="黑体" w:hAnsi="黑体" w:eastAsia="黑体"/>
          <w:color w:val="auto"/>
          <w:sz w:val="28"/>
          <w:szCs w:val="28"/>
        </w:rPr>
      </w:pPr>
      <w:r>
        <w:rPr>
          <w:rFonts w:hint="eastAsia" w:ascii="黑体" w:hAnsi="黑体" w:eastAsia="黑体"/>
          <w:color w:val="auto"/>
          <w:sz w:val="28"/>
          <w:szCs w:val="28"/>
        </w:rPr>
        <w:t>四、数据、变量与方法</w:t>
      </w:r>
    </w:p>
    <w:p w14:paraId="7CBF0EB0">
      <w:pPr>
        <w:spacing w:line="360" w:lineRule="auto"/>
        <w:ind w:firstLine="480" w:firstLineChars="200"/>
        <w:rPr>
          <w:rFonts w:hint="eastAsia" w:ascii="楷体" w:hAnsi="楷体" w:eastAsia="楷体"/>
          <w:sz w:val="24"/>
          <w:szCs w:val="24"/>
        </w:rPr>
      </w:pPr>
      <w:r>
        <w:rPr>
          <w:rFonts w:hint="eastAsia" w:ascii="楷体" w:hAnsi="楷体" w:eastAsia="楷体"/>
          <w:sz w:val="24"/>
          <w:szCs w:val="24"/>
        </w:rPr>
        <w:t>（一）数据来源</w:t>
      </w:r>
    </w:p>
    <w:p w14:paraId="48A366C8">
      <w:pPr>
        <w:spacing w:line="276" w:lineRule="auto"/>
        <w:ind w:firstLine="480" w:firstLineChars="200"/>
        <w:rPr>
          <w:rFonts w:hint="eastAsia" w:ascii="宋体" w:hAnsi="宋体" w:eastAsia="宋体"/>
          <w:sz w:val="24"/>
          <w:szCs w:val="24"/>
        </w:rPr>
      </w:pPr>
      <w:r>
        <w:rPr>
          <w:rFonts w:ascii="宋体" w:hAnsi="宋体" w:eastAsia="宋体"/>
          <w:sz w:val="24"/>
          <w:szCs w:val="24"/>
        </w:rPr>
        <w:t>在我国，中小学阶段是人工智能</w:t>
      </w:r>
      <w:r>
        <w:rPr>
          <w:rFonts w:hint="eastAsia" w:ascii="宋体" w:hAnsi="宋体" w:eastAsia="宋体"/>
          <w:sz w:val="24"/>
          <w:szCs w:val="24"/>
        </w:rPr>
        <w:t>学习</w:t>
      </w:r>
      <w:r>
        <w:rPr>
          <w:rFonts w:ascii="宋体" w:hAnsi="宋体" w:eastAsia="宋体"/>
          <w:sz w:val="24"/>
          <w:szCs w:val="24"/>
        </w:rPr>
        <w:t>素养培养的关键期，其教育成效直接关系到未来人才竞争力的塑造。然而，人工智能教育资源的区域、校际分布不均衡现象依然存在，经济发达地区与县乡之间、不同办学水平的学校之间，在课程开设、师资配置与实践条件上存在较大差异。这种结构性差异可能深刻影响学生对于人工智能学习的态度、信心与能力发展，也使得来自家长、教师与朋辈的</w:t>
      </w:r>
      <w:r>
        <w:rPr>
          <w:rFonts w:hint="eastAsia" w:ascii="宋体" w:hAnsi="宋体" w:eastAsia="宋体"/>
          <w:sz w:val="24"/>
          <w:szCs w:val="24"/>
        </w:rPr>
        <w:t>社会网络影响</w:t>
      </w:r>
      <w:r>
        <w:rPr>
          <w:rFonts w:ascii="宋体" w:hAnsi="宋体" w:eastAsia="宋体"/>
          <w:sz w:val="24"/>
          <w:szCs w:val="24"/>
        </w:rPr>
        <w:t>在其中的作用机制变得尤为复杂。</w:t>
      </w:r>
    </w:p>
    <w:p w14:paraId="7ECF09D1">
      <w:pPr>
        <w:spacing w:line="276" w:lineRule="auto"/>
        <w:ind w:firstLine="480" w:firstLineChars="200"/>
        <w:rPr>
          <w:rFonts w:hint="eastAsia" w:ascii="宋体" w:hAnsi="宋体" w:eastAsia="宋体"/>
          <w:sz w:val="24"/>
          <w:szCs w:val="24"/>
        </w:rPr>
      </w:pPr>
      <w:r>
        <w:rPr>
          <w:rFonts w:ascii="宋体" w:hAnsi="宋体" w:eastAsia="宋体"/>
          <w:sz w:val="24"/>
          <w:szCs w:val="24"/>
        </w:rPr>
        <w:t>本研究于2025年9月至10月在江苏省开展了一项专项问卷调查。调查依据</w:t>
      </w:r>
      <w:r>
        <w:rPr>
          <w:rFonts w:hint="eastAsia" w:ascii="宋体" w:hAnsi="宋体" w:eastAsia="宋体"/>
          <w:sz w:val="24"/>
          <w:szCs w:val="24"/>
        </w:rPr>
        <w:t>省内各县市</w:t>
      </w:r>
      <w:r>
        <w:rPr>
          <w:rFonts w:ascii="宋体" w:hAnsi="宋体" w:eastAsia="宋体"/>
          <w:sz w:val="24"/>
          <w:szCs w:val="24"/>
        </w:rPr>
        <w:t>经济发展水平与教育信息化配置程度，</w:t>
      </w:r>
      <w:r>
        <w:rPr>
          <w:rFonts w:hint="eastAsia" w:ascii="宋体" w:hAnsi="宋体" w:eastAsia="宋体"/>
          <w:sz w:val="24"/>
          <w:szCs w:val="24"/>
        </w:rPr>
        <w:t>综合调查的可行性，</w:t>
      </w:r>
      <w:r>
        <w:rPr>
          <w:rFonts w:ascii="宋体" w:hAnsi="宋体" w:eastAsia="宋体"/>
          <w:sz w:val="24"/>
          <w:szCs w:val="24"/>
        </w:rPr>
        <w:t>最终</w:t>
      </w:r>
      <w:r>
        <w:rPr>
          <w:rFonts w:hint="eastAsia" w:ascii="宋体" w:hAnsi="宋体" w:eastAsia="宋体"/>
          <w:sz w:val="24"/>
          <w:szCs w:val="24"/>
        </w:rPr>
        <w:t>在</w:t>
      </w:r>
      <w:r>
        <w:rPr>
          <w:rFonts w:ascii="宋体" w:hAnsi="宋体" w:eastAsia="宋体"/>
          <w:sz w:val="24"/>
          <w:szCs w:val="24"/>
        </w:rPr>
        <w:t>南京市秦淮区、鼓楼区，苏州市姑苏区，镇江市丹阳市，盐城市东台县与响水县等7个县级单位</w:t>
      </w:r>
      <w:r>
        <w:rPr>
          <w:rFonts w:hint="eastAsia" w:ascii="宋体" w:hAnsi="宋体" w:eastAsia="宋体"/>
          <w:sz w:val="24"/>
          <w:szCs w:val="24"/>
        </w:rPr>
        <w:t>中</w:t>
      </w:r>
      <w:r>
        <w:rPr>
          <w:rFonts w:ascii="宋体" w:hAnsi="宋体" w:eastAsia="宋体"/>
          <w:sz w:val="24"/>
          <w:szCs w:val="24"/>
        </w:rPr>
        <w:t>确定了8所学校的57个班级作为调查样本，调查对象覆盖小学四至六年级与初中一至三年级学生。本研究共发放问卷2283份，在剔除填写不完整、规律性作答及存在明显矛盾的无效问卷后，最终回收有效问卷1798份，有效回收率为78.8%。</w:t>
      </w:r>
    </w:p>
    <w:p w14:paraId="3DC74485">
      <w:pPr>
        <w:spacing w:line="360" w:lineRule="auto"/>
        <w:ind w:firstLine="480" w:firstLineChars="200"/>
        <w:rPr>
          <w:rFonts w:hint="eastAsia" w:ascii="楷体" w:hAnsi="楷体" w:eastAsia="楷体"/>
          <w:sz w:val="24"/>
          <w:szCs w:val="24"/>
        </w:rPr>
      </w:pPr>
      <w:r>
        <w:rPr>
          <w:rFonts w:hint="eastAsia" w:ascii="楷体" w:hAnsi="楷体" w:eastAsia="楷体"/>
          <w:sz w:val="24"/>
          <w:szCs w:val="24"/>
        </w:rPr>
        <w:t>（二）变量与测量</w:t>
      </w:r>
    </w:p>
    <w:p w14:paraId="209C67DA">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1.因变量：人工智能学习素养</w:t>
      </w:r>
    </w:p>
    <w:p w14:paraId="6BA53C92">
      <w:pPr>
        <w:spacing w:line="276" w:lineRule="auto"/>
        <w:ind w:firstLine="480" w:firstLineChars="200"/>
        <w:rPr>
          <w:rFonts w:hint="eastAsia" w:ascii="宋体" w:hAnsi="宋体" w:eastAsia="宋体"/>
          <w:sz w:val="24"/>
          <w:szCs w:val="24"/>
        </w:rPr>
      </w:pPr>
      <w:bookmarkStart w:id="3" w:name="OLE_LINK2"/>
      <w:bookmarkStart w:id="4" w:name="OLE_LINK3"/>
      <w:r>
        <w:rPr>
          <w:rFonts w:hint="eastAsia" w:ascii="宋体" w:hAnsi="宋体" w:eastAsia="宋体"/>
          <w:sz w:val="24"/>
          <w:szCs w:val="24"/>
        </w:rPr>
        <w:t>研究者提出，人工智能素养不仅包含对人工智能基础理论与技术原理的认知，还涉及与之相关的应用技能、伦理态度与价值判断。联合国教科文组织（UNESCO）在2024年发布的《学生人工智能能力框架》首次将人工智能素养定义为学生理解和有效、负责任地使用人工智能所需的知识、技能和价值观，涉及对人工智能技术的基本理解、对人工智能伦理的批判性理解以及在实际应用中安全和负责任地使用人工智能的能力。</w:t>
      </w:r>
      <w:r>
        <w:rPr>
          <w:rStyle w:val="21"/>
          <w:rFonts w:hint="eastAsia" w:ascii="宋体" w:hAnsi="宋体" w:eastAsia="宋体"/>
          <w:sz w:val="24"/>
          <w:szCs w:val="24"/>
        </w:rPr>
        <w:endnoteReference w:id="41"/>
      </w:r>
      <w:r>
        <w:rPr>
          <w:rFonts w:hint="eastAsia" w:ascii="宋体" w:hAnsi="宋体" w:eastAsia="宋体"/>
          <w:sz w:val="24"/>
          <w:szCs w:val="24"/>
        </w:rPr>
        <w:t>根据联合国教科文组织的定义，乔雪峰等研究者</w:t>
      </w:r>
      <w:r>
        <w:rPr>
          <w:rFonts w:ascii="宋体" w:hAnsi="宋体" w:eastAsia="宋体"/>
          <w:sz w:val="24"/>
          <w:szCs w:val="24"/>
        </w:rPr>
        <w:t>结合中国基础教育实际，构建了面向中小学生的人工智能素养框架</w:t>
      </w:r>
      <w:r>
        <w:rPr>
          <w:rFonts w:hint="eastAsia" w:ascii="宋体" w:hAnsi="宋体" w:eastAsia="宋体"/>
          <w:sz w:val="24"/>
          <w:szCs w:val="24"/>
        </w:rPr>
        <w:t>，包括：1)智能认知，包含基础理论认知和伦理意识培养两个二级维度；2)融合应用，包含安全应用和智能学习两个二级维度；3)智能创新，包含协同创新和场景智慧两个二级维度。</w:t>
      </w:r>
      <w:r>
        <w:rPr>
          <w:rStyle w:val="21"/>
          <w:rFonts w:hint="eastAsia" w:ascii="宋体" w:hAnsi="宋体" w:eastAsia="宋体"/>
          <w:sz w:val="24"/>
          <w:szCs w:val="24"/>
        </w:rPr>
        <w:endnoteReference w:id="42"/>
      </w:r>
      <w:r>
        <w:rPr>
          <w:rFonts w:ascii="宋体" w:hAnsi="宋体" w:eastAsia="宋体"/>
          <w:sz w:val="24"/>
          <w:szCs w:val="24"/>
        </w:rPr>
        <w:t>尽管人工智能素养具备广泛的外延，在教育实证研究中，有必要依据研究目标对其范畴加以合理聚焦。</w:t>
      </w:r>
      <w:r>
        <w:rPr>
          <w:rFonts w:hint="eastAsia" w:ascii="宋体" w:hAnsi="宋体" w:eastAsia="宋体"/>
          <w:sz w:val="24"/>
          <w:szCs w:val="24"/>
        </w:rPr>
        <w:t>本研究从人工智能素养内涵中抽离出与“学习”密切相关的核心维度，从而更精准地刻画人工智能作为认知工具与学习伙伴在教育场域中所发挥的作用。本研究测量的人工智能学习素养（AI Learning Literacy）是一个多维度的构念，指的是个体在学习和教育环境中使用人工智能技术时所具备的知识、技能、态度和伦理意识的总和。</w:t>
      </w:r>
      <w:bookmarkEnd w:id="3"/>
    </w:p>
    <w:p w14:paraId="716A016E">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基于上述定义，本研究参考乔雪峰等人的人工智能素养框架，</w:t>
      </w:r>
      <w:r>
        <w:rPr>
          <w:rFonts w:ascii="宋体" w:hAnsi="宋体" w:eastAsia="宋体"/>
          <w:sz w:val="24"/>
          <w:szCs w:val="24"/>
        </w:rPr>
        <w:t>着重从“融合应用”维度中提取与学习行为高度相关的内容，并整合“智能认知”中基础理论与伦理要求，</w:t>
      </w:r>
      <w:r>
        <w:rPr>
          <w:rFonts w:hint="eastAsia" w:ascii="宋体" w:hAnsi="宋体" w:eastAsia="宋体"/>
          <w:sz w:val="24"/>
          <w:szCs w:val="24"/>
        </w:rPr>
        <w:t>设计了包括18道提问的中小学生人工智能学习素养量表</w:t>
      </w:r>
      <w:r>
        <w:rPr>
          <w:rStyle w:val="22"/>
          <w:rFonts w:hint="eastAsia" w:ascii="宋体" w:hAnsi="宋体" w:eastAsia="宋体"/>
          <w:sz w:val="24"/>
          <w:szCs w:val="24"/>
        </w:rPr>
        <w:footnoteReference w:id="0"/>
      </w:r>
      <w:r>
        <w:rPr>
          <w:rFonts w:hint="eastAsia" w:ascii="宋体" w:hAnsi="宋体" w:eastAsia="宋体"/>
          <w:sz w:val="24"/>
          <w:szCs w:val="24"/>
        </w:rPr>
        <w:t>。该量表采用李克特量表，每道题有5个答案选项——“非常不同意”“不同意”“一般”“同意”“非常同意”,依次赋值为1—5分，</w:t>
      </w:r>
      <w:r>
        <w:rPr>
          <w:rFonts w:ascii="宋体" w:hAnsi="宋体" w:eastAsia="宋体"/>
          <w:sz w:val="24"/>
          <w:szCs w:val="24"/>
        </w:rPr>
        <w:t>通过因子分析提取出基础理论认知、伦理意识培养、智能学习、协同创新与场景智慧五个公共因子，既保持了原理论框架的主体结构，又突出了学习过程中人机协同、问题解决与伦理反思等关键能力。</w:t>
      </w:r>
      <w:r>
        <w:rPr>
          <w:rFonts w:hint="eastAsia" w:ascii="宋体" w:hAnsi="宋体" w:eastAsia="宋体"/>
          <w:sz w:val="24"/>
          <w:szCs w:val="24"/>
        </w:rPr>
        <w:t>基于 18道题的得分计算出每位受访者的人工智能学习素养总体水平，作为数据分析的主要因变量。</w:t>
      </w:r>
    </w:p>
    <w:bookmarkEnd w:id="4"/>
    <w:p w14:paraId="0AC5C65C">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2.自变量：感知的重要他人影响</w:t>
      </w:r>
    </w:p>
    <w:p w14:paraId="15CC3E4C">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班杜拉(Bandura)提出的</w:t>
      </w:r>
      <w:r>
        <w:rPr>
          <w:rFonts w:ascii="宋体" w:hAnsi="宋体" w:eastAsia="宋体"/>
          <w:sz w:val="24"/>
          <w:szCs w:val="24"/>
        </w:rPr>
        <w:t>社会认知理论</w:t>
      </w:r>
      <w:r>
        <w:rPr>
          <w:rFonts w:hint="eastAsia" w:ascii="宋体" w:hAnsi="宋体" w:eastAsia="宋体"/>
          <w:sz w:val="24"/>
          <w:szCs w:val="24"/>
        </w:rPr>
        <w:t>认为，个体通过观察生活中重要他人（即“榜样”）的行为与态度来习得新行为。</w:t>
      </w:r>
      <w:r>
        <w:rPr>
          <w:rStyle w:val="21"/>
          <w:rFonts w:hint="eastAsia" w:ascii="宋体" w:hAnsi="宋体" w:eastAsia="宋体"/>
          <w:sz w:val="24"/>
          <w:szCs w:val="24"/>
        </w:rPr>
        <w:endnoteReference w:id="43"/>
      </w:r>
      <w:r>
        <w:rPr>
          <w:rFonts w:hint="eastAsia" w:ascii="宋体" w:hAnsi="宋体" w:eastAsia="宋体"/>
          <w:sz w:val="24"/>
          <w:szCs w:val="24"/>
        </w:rPr>
        <w:t>在这一理论框架下，重要他人主要包括父母、教师、同伴等与个体有密切互动关系的人。本研究将感知的重要他人影响定义为：学生对重要他人（包括家长、教师与同辈）在人工智能学习方面所展现出的行为模式、支持态度与价值判断的主观觉察与评价。</w:t>
      </w:r>
      <w:r>
        <w:rPr>
          <w:rFonts w:ascii="宋体" w:hAnsi="宋体" w:eastAsia="宋体"/>
          <w:sz w:val="24"/>
          <w:szCs w:val="24"/>
        </w:rPr>
        <w:t>在此基础上，本研究</w:t>
      </w:r>
      <w:r>
        <w:rPr>
          <w:rFonts w:hint="eastAsia" w:ascii="宋体" w:hAnsi="宋体" w:eastAsia="宋体"/>
          <w:sz w:val="24"/>
          <w:szCs w:val="24"/>
        </w:rPr>
        <w:t>根据中小学生的核心社交网络，</w:t>
      </w:r>
      <w:r>
        <w:rPr>
          <w:rFonts w:ascii="宋体" w:hAnsi="宋体" w:eastAsia="宋体"/>
          <w:sz w:val="24"/>
          <w:szCs w:val="24"/>
        </w:rPr>
        <w:t>将该变量操作化为</w:t>
      </w:r>
      <w:r>
        <w:rPr>
          <w:rFonts w:hint="eastAsia" w:ascii="宋体" w:hAnsi="宋体" w:eastAsia="宋体"/>
          <w:sz w:val="24"/>
          <w:szCs w:val="24"/>
        </w:rPr>
        <w:t>3</w:t>
      </w:r>
      <w:r>
        <w:rPr>
          <w:rFonts w:ascii="宋体" w:hAnsi="宋体" w:eastAsia="宋体"/>
          <w:sz w:val="24"/>
          <w:szCs w:val="24"/>
        </w:rPr>
        <w:t>个维度</w:t>
      </w:r>
      <w:r>
        <w:rPr>
          <w:rFonts w:hint="eastAsia" w:ascii="宋体" w:hAnsi="宋体" w:eastAsia="宋体"/>
          <w:sz w:val="24"/>
          <w:szCs w:val="24"/>
        </w:rPr>
        <w:t>，分别为感知的家长态度行为、感知的教师态度行为、感知的同辈态度行为，并进一步分为行为建模、教学引导与态度支持3个二级维度，设计了包括15道提问的人工智能学习社会支持量表</w:t>
      </w:r>
      <w:r>
        <w:rPr>
          <w:rStyle w:val="22"/>
          <w:rFonts w:hint="eastAsia" w:ascii="宋体" w:hAnsi="宋体" w:eastAsia="宋体"/>
          <w:sz w:val="24"/>
          <w:szCs w:val="24"/>
        </w:rPr>
        <w:footnoteReference w:id="1"/>
      </w:r>
      <w:r>
        <w:rPr>
          <w:rFonts w:hint="eastAsia" w:ascii="宋体" w:hAnsi="宋体" w:eastAsia="宋体"/>
          <w:sz w:val="24"/>
          <w:szCs w:val="24"/>
        </w:rPr>
        <w:t>。</w:t>
      </w:r>
      <w:r>
        <w:rPr>
          <w:rFonts w:ascii="宋体" w:hAnsi="宋体" w:eastAsia="宋体"/>
          <w:sz w:val="24"/>
          <w:szCs w:val="24"/>
        </w:rPr>
        <w:t>所有题项均采用</w:t>
      </w:r>
      <w:r>
        <w:rPr>
          <w:rFonts w:hint="eastAsia" w:ascii="宋体" w:hAnsi="宋体" w:eastAsia="宋体"/>
          <w:sz w:val="24"/>
          <w:szCs w:val="24"/>
        </w:rPr>
        <w:t>李克特</w:t>
      </w:r>
      <w:r>
        <w:rPr>
          <w:rFonts w:ascii="宋体" w:hAnsi="宋体" w:eastAsia="宋体"/>
          <w:sz w:val="24"/>
          <w:szCs w:val="24"/>
        </w:rPr>
        <w:t>量表进行测量，</w:t>
      </w:r>
      <w:r>
        <w:rPr>
          <w:rFonts w:hint="eastAsia" w:ascii="宋体" w:hAnsi="宋体" w:eastAsia="宋体"/>
          <w:sz w:val="24"/>
          <w:szCs w:val="24"/>
        </w:rPr>
        <w:t>每道题有5个答案选项—— “非常不同意”“不同意”“一般”“同意”“非常同意”,依次赋值为1—5。基于 15道题的得分计算出每位受访者的人工智能学习社会支持，作为数据分析的主要自变量。</w:t>
      </w:r>
    </w:p>
    <w:p w14:paraId="577EA686">
      <w:pPr>
        <w:spacing w:line="276" w:lineRule="auto"/>
        <w:ind w:firstLine="420"/>
        <w:rPr>
          <w:rFonts w:hint="eastAsia" w:ascii="宋体" w:hAnsi="宋体" w:eastAsia="宋体"/>
          <w:sz w:val="24"/>
          <w:szCs w:val="24"/>
        </w:rPr>
      </w:pPr>
      <w:r>
        <w:rPr>
          <w:rFonts w:hint="eastAsia" w:ascii="宋体" w:hAnsi="宋体" w:eastAsia="宋体"/>
          <w:sz w:val="24"/>
          <w:szCs w:val="24"/>
        </w:rPr>
        <w:t>3.中介变量：学习自我效能感</w:t>
      </w:r>
    </w:p>
    <w:p w14:paraId="6A493F5E">
      <w:pPr>
        <w:spacing w:line="276" w:lineRule="auto"/>
        <w:ind w:firstLine="480" w:firstLineChars="200"/>
        <w:rPr>
          <w:rFonts w:hint="eastAsia" w:ascii="宋体" w:hAnsi="宋体" w:eastAsia="宋体"/>
          <w:sz w:val="24"/>
          <w:szCs w:val="24"/>
        </w:rPr>
      </w:pPr>
      <w:r>
        <w:rPr>
          <w:rFonts w:hint="eastAsia" w:ascii="宋体" w:hAnsi="宋体" w:eastAsia="宋体"/>
          <w:sz w:val="24"/>
          <w:szCs w:val="24"/>
        </w:rPr>
        <w:t>学业自我效能感是指个体对自己能否完成某种学习目标的一种信念与判断，是自我效能感在学习领域的具体化。根据班杜拉(Bandura)的自我效能感理论，个体在进行学业活动时会对自己的能力有一定的预期和判断，这种预期和判断会直接影响个体的学习效果。</w:t>
      </w:r>
      <w:r>
        <w:rPr>
          <w:rStyle w:val="21"/>
          <w:rFonts w:hint="eastAsia" w:ascii="宋体" w:hAnsi="宋体" w:eastAsia="宋体"/>
          <w:sz w:val="24"/>
          <w:szCs w:val="24"/>
        </w:rPr>
        <w:endnoteReference w:id="44"/>
      </w:r>
      <w:r>
        <w:rPr>
          <w:rFonts w:hint="eastAsia" w:ascii="宋体" w:hAnsi="宋体" w:eastAsia="宋体"/>
          <w:sz w:val="24"/>
          <w:szCs w:val="24"/>
        </w:rPr>
        <w:t>本研究主要采用梁宇颂参考Pintrich &amp; DeGroot编制的学业自我效能问卷编制的中文版学业自我效能感量表测量中小学生的学业自我效能感水平。</w:t>
      </w:r>
      <w:r>
        <w:rPr>
          <w:rStyle w:val="21"/>
          <w:rFonts w:hint="eastAsia" w:ascii="宋体" w:hAnsi="宋体" w:eastAsia="宋体"/>
          <w:sz w:val="24"/>
          <w:szCs w:val="24"/>
        </w:rPr>
        <w:endnoteReference w:id="45"/>
      </w:r>
      <w:r>
        <w:rPr>
          <w:rStyle w:val="21"/>
          <w:rFonts w:hint="eastAsia" w:ascii="宋体" w:hAnsi="宋体" w:eastAsia="宋体"/>
          <w:sz w:val="24"/>
          <w:szCs w:val="24"/>
        </w:rPr>
        <w:endnoteReference w:id="46"/>
      </w:r>
      <w:r>
        <w:rPr>
          <w:rFonts w:hint="eastAsia" w:ascii="宋体" w:hAnsi="宋体" w:eastAsia="宋体"/>
          <w:sz w:val="24"/>
          <w:szCs w:val="24"/>
        </w:rPr>
        <w:t>该量表将学业自我效能分为学习能力自我效能感和学习行为自我效能感2个维度，每个维度设置11道测题，共22道测题，均采用李克特量表。考虑到问卷总体题量，本研究对该量表进行了删减，学习能力自我效能感维度和学习行为自我效能感维度各选择选择5道测题，共10道测题。</w:t>
      </w:r>
    </w:p>
    <w:p w14:paraId="1710F695">
      <w:pPr>
        <w:spacing w:line="276" w:lineRule="auto"/>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t>4.控制变量</w:t>
      </w:r>
    </w:p>
    <w:p w14:paraId="00D06828">
      <w:pPr>
        <w:spacing w:line="276" w:lineRule="auto"/>
        <w:rPr>
          <w:rFonts w:hint="eastAsia" w:ascii="宋体" w:hAnsi="宋体" w:eastAsia="宋体"/>
          <w:sz w:val="24"/>
          <w:szCs w:val="24"/>
        </w:rPr>
      </w:pPr>
      <w:r>
        <w:rPr>
          <w:rFonts w:ascii="宋体" w:hAnsi="宋体" w:eastAsia="宋体"/>
          <w:sz w:val="24"/>
          <w:szCs w:val="24"/>
        </w:rPr>
        <w:tab/>
      </w:r>
      <w:r>
        <w:rPr>
          <w:rFonts w:hint="eastAsia" w:ascii="宋体" w:hAnsi="宋体" w:eastAsia="宋体"/>
          <w:sz w:val="24"/>
          <w:szCs w:val="24"/>
        </w:rPr>
        <w:t>为精准估计人工智能学习社会支持对中小学生人工智能学习素养的作用机制，并有效剥离其他潜在混淆因素的影响，本研究在实证模型中系统纳入了多维度控制变量。首先，对性别（</w:t>
      </w:r>
      <w:r>
        <w:rPr>
          <w:rFonts w:ascii="宋体" w:hAnsi="宋体" w:eastAsia="宋体"/>
          <w:sz w:val="24"/>
          <w:szCs w:val="24"/>
        </w:rPr>
        <w:t>男生=1</w:t>
      </w:r>
      <w:r>
        <w:rPr>
          <w:rFonts w:hint="eastAsia" w:ascii="宋体" w:hAnsi="宋体" w:eastAsia="宋体"/>
          <w:sz w:val="24"/>
          <w:szCs w:val="24"/>
        </w:rPr>
        <w:t>，</w:t>
      </w:r>
      <w:r>
        <w:rPr>
          <w:rFonts w:ascii="宋体" w:hAnsi="宋体" w:eastAsia="宋体"/>
          <w:sz w:val="24"/>
          <w:szCs w:val="24"/>
        </w:rPr>
        <w:t>女生=0）</w:t>
      </w:r>
      <w:r>
        <w:rPr>
          <w:rFonts w:hint="eastAsia" w:ascii="宋体" w:hAnsi="宋体" w:eastAsia="宋体"/>
          <w:sz w:val="24"/>
          <w:szCs w:val="24"/>
        </w:rPr>
        <w:t>、户口（城镇=1，农村=0）、年级（代替年龄变量）等人口统计特征变量进行控制。其次，考虑到家庭的社会经济地位是影响</w:t>
      </w:r>
      <w:r>
        <w:rPr>
          <w:rFonts w:ascii="宋体" w:hAnsi="宋体" w:eastAsia="宋体"/>
          <w:sz w:val="24"/>
          <w:szCs w:val="24"/>
        </w:rPr>
        <w:t>学生学业成就与技术接触机会的关键因素</w:t>
      </w:r>
      <w:r>
        <w:rPr>
          <w:rStyle w:val="21"/>
          <w:rFonts w:hint="eastAsia" w:ascii="宋体" w:hAnsi="宋体" w:eastAsia="宋体"/>
          <w:sz w:val="24"/>
          <w:szCs w:val="24"/>
        </w:rPr>
        <w:endnoteReference w:id="47"/>
      </w:r>
      <w:r>
        <w:rPr>
          <w:rFonts w:hint="eastAsia" w:ascii="宋体" w:hAnsi="宋体" w:eastAsia="宋体"/>
          <w:sz w:val="24"/>
          <w:szCs w:val="24"/>
        </w:rPr>
        <w:t>，因此将父亲与母亲中较高的受教育水平（初中及以下=1，高中、中专或技校=2，大学及以上=3）、家庭年收入（5万以下=1，5万-20万=2，20万以上=3）也作为控制变量加入分析。此外，进一步控制个体学业能力因素，</w:t>
      </w:r>
      <w:r>
        <w:rPr>
          <w:rFonts w:hint="eastAsia" w:ascii="宋体" w:hAnsi="宋体" w:eastAsia="宋体"/>
          <w:sz w:val="24"/>
          <w:szCs w:val="24"/>
          <w:lang w:val="en-US" w:eastAsia="zh-CN"/>
        </w:rPr>
        <w:t>即</w:t>
      </w:r>
      <w:r>
        <w:rPr>
          <w:rFonts w:hint="eastAsia" w:ascii="宋体" w:hAnsi="宋体" w:eastAsia="宋体"/>
          <w:sz w:val="24"/>
          <w:szCs w:val="24"/>
        </w:rPr>
        <w:t>客观成绩排名（上一学期的期末考试成绩在班级中的排名：前25%=1，25%-50%=2，50%-75%=3，后25%=4）。然而，由于问卷的发放对象是处在基础教育阶段的中小学生，对于家庭收入的认知能力有限，家庭年收入</w:t>
      </w:r>
      <w:r>
        <w:rPr>
          <w:rFonts w:hint="eastAsia" w:ascii="宋体" w:hAnsi="宋体" w:eastAsia="宋体"/>
          <w:sz w:val="24"/>
          <w:szCs w:val="24"/>
          <w:lang w:val="en-US" w:eastAsia="zh-CN"/>
        </w:rPr>
        <w:t>变量</w:t>
      </w:r>
      <w:r>
        <w:rPr>
          <w:rFonts w:hint="eastAsia" w:ascii="宋体" w:hAnsi="宋体" w:eastAsia="宋体"/>
          <w:sz w:val="24"/>
          <w:szCs w:val="24"/>
        </w:rPr>
        <w:t>在问卷中存在较高比例的缺失值（缺失率介于30%至50%），为优先保证估计的稳定性与可靠性，基准模型选择舍弃</w:t>
      </w:r>
      <w:r>
        <w:rPr>
          <w:rFonts w:hint="eastAsia" w:ascii="宋体" w:hAnsi="宋体" w:eastAsia="宋体"/>
          <w:sz w:val="24"/>
          <w:szCs w:val="24"/>
          <w:lang w:val="en-US" w:eastAsia="zh-CN"/>
        </w:rPr>
        <w:t>该</w:t>
      </w:r>
      <w:bookmarkStart w:id="5" w:name="_GoBack"/>
      <w:bookmarkEnd w:id="5"/>
      <w:r>
        <w:rPr>
          <w:rFonts w:hint="eastAsia" w:ascii="宋体" w:hAnsi="宋体" w:eastAsia="宋体"/>
          <w:sz w:val="24"/>
          <w:szCs w:val="24"/>
        </w:rPr>
        <w:t>变量。</w:t>
      </w:r>
    </w:p>
    <w:p w14:paraId="56387895">
      <w:pPr>
        <w:spacing w:line="276" w:lineRule="auto"/>
        <w:rPr>
          <w:rFonts w:hint="eastAsia" w:ascii="宋体" w:hAnsi="宋体" w:eastAsia="宋体"/>
          <w:sz w:val="24"/>
          <w:szCs w:val="24"/>
        </w:rPr>
      </w:pPr>
      <w:r>
        <w:rPr>
          <w:rFonts w:hint="eastAsia" w:ascii="宋体" w:hAnsi="宋体" w:eastAsia="宋体"/>
          <w:sz w:val="24"/>
          <w:szCs w:val="24"/>
        </w:rPr>
        <w:t xml:space="preserve">    变量的描述性统计如下：</w:t>
      </w:r>
    </w:p>
    <w:p w14:paraId="4F76D2DB">
      <w:pPr>
        <w:spacing w:line="276" w:lineRule="auto"/>
        <w:ind w:firstLine="480" w:firstLineChars="200"/>
        <w:jc w:val="center"/>
        <w:rPr>
          <w:rFonts w:hint="eastAsia" w:ascii="宋体" w:hAnsi="宋体" w:eastAsia="宋体"/>
          <w:sz w:val="24"/>
          <w:szCs w:val="24"/>
        </w:rPr>
      </w:pPr>
      <w:r>
        <w:rPr>
          <w:rFonts w:hint="eastAsia" w:ascii="宋体" w:hAnsi="宋体" w:eastAsia="宋体"/>
          <w:sz w:val="24"/>
          <w:szCs w:val="24"/>
        </w:rPr>
        <w:t>表1   描述性统计</w:t>
      </w:r>
    </w:p>
    <w:tbl>
      <w:tblPr>
        <w:tblStyle w:val="19"/>
        <w:tblW w:w="0" w:type="auto"/>
        <w:jc w:val="center"/>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Layout w:type="autofit"/>
        <w:tblCellMar>
          <w:top w:w="0" w:type="dxa"/>
          <w:left w:w="108" w:type="dxa"/>
          <w:bottom w:w="0" w:type="dxa"/>
          <w:right w:w="108" w:type="dxa"/>
        </w:tblCellMar>
      </w:tblPr>
      <w:tblGrid>
        <w:gridCol w:w="2769"/>
        <w:gridCol w:w="1483"/>
        <w:gridCol w:w="1242"/>
        <w:gridCol w:w="1283"/>
        <w:gridCol w:w="1018"/>
      </w:tblGrid>
      <w:tr w14:paraId="602CF4B7">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tcBorders>
              <w:bottom w:val="single" w:color="000000" w:sz="0" w:space="0"/>
            </w:tcBorders>
            <w:vAlign w:val="center"/>
          </w:tcPr>
          <w:p w14:paraId="1C8401FD">
            <w:pPr>
              <w:widowControl/>
              <w:spacing w:line="276" w:lineRule="auto"/>
              <w:jc w:val="left"/>
              <w:rPr>
                <w:rFonts w:ascii="宋体" w:hAnsi="宋体" w:eastAsia="宋体" w:cs="Times New Roman"/>
                <w:kern w:val="0"/>
                <w:sz w:val="24"/>
                <w:szCs w:val="24"/>
                <w14:ligatures w14:val="none"/>
              </w:rPr>
            </w:pPr>
            <w:r>
              <w:rPr>
                <w:rFonts w:hint="eastAsia" w:ascii="宋体" w:hAnsi="宋体" w:eastAsia="宋体" w:cs="Times New Roman"/>
                <w:kern w:val="0"/>
                <w:sz w:val="24"/>
                <w:szCs w:val="24"/>
                <w14:ligatures w14:val="none"/>
              </w:rPr>
              <w:t>变量名称</w:t>
            </w:r>
          </w:p>
        </w:tc>
        <w:tc>
          <w:tcPr>
            <w:tcW w:w="1483" w:type="dxa"/>
            <w:tcBorders>
              <w:bottom w:val="single" w:color="000000" w:sz="0" w:space="0"/>
            </w:tcBorders>
            <w:vAlign w:val="center"/>
          </w:tcPr>
          <w:p w14:paraId="0F4D0601">
            <w:pPr>
              <w:widowControl/>
              <w:spacing w:line="276" w:lineRule="auto"/>
              <w:jc w:val="right"/>
              <w:rPr>
                <w:rFonts w:ascii="宋体" w:hAnsi="宋体" w:eastAsia="宋体" w:cs="Times New Roman"/>
                <w:kern w:val="0"/>
                <w:sz w:val="24"/>
                <w:szCs w:val="24"/>
                <w14:ligatures w14:val="none"/>
              </w:rPr>
            </w:pPr>
            <w:r>
              <w:rPr>
                <w:rFonts w:hint="eastAsia" w:ascii="宋体" w:hAnsi="宋体" w:eastAsia="宋体" w:cs="Times New Roman"/>
                <w:kern w:val="0"/>
                <w:sz w:val="24"/>
                <w:szCs w:val="24"/>
                <w14:ligatures w14:val="none"/>
              </w:rPr>
              <w:t>平均值</w:t>
            </w:r>
          </w:p>
        </w:tc>
        <w:tc>
          <w:tcPr>
            <w:tcW w:w="1242" w:type="dxa"/>
            <w:tcBorders>
              <w:bottom w:val="single" w:color="000000" w:sz="0" w:space="0"/>
            </w:tcBorders>
            <w:vAlign w:val="center"/>
          </w:tcPr>
          <w:p w14:paraId="18EC0598">
            <w:pPr>
              <w:widowControl/>
              <w:spacing w:line="276" w:lineRule="auto"/>
              <w:jc w:val="right"/>
              <w:rPr>
                <w:rFonts w:ascii="宋体" w:hAnsi="宋体" w:eastAsia="宋体" w:cs="Times New Roman"/>
                <w:kern w:val="0"/>
                <w:sz w:val="24"/>
                <w:szCs w:val="24"/>
                <w14:ligatures w14:val="none"/>
              </w:rPr>
            </w:pPr>
            <w:r>
              <w:rPr>
                <w:rFonts w:hint="eastAsia" w:ascii="宋体" w:hAnsi="宋体" w:eastAsia="宋体" w:cs="Times New Roman"/>
                <w:kern w:val="0"/>
                <w:sz w:val="24"/>
                <w:szCs w:val="24"/>
                <w14:ligatures w14:val="none"/>
              </w:rPr>
              <w:t>标准差</w:t>
            </w:r>
          </w:p>
        </w:tc>
        <w:tc>
          <w:tcPr>
            <w:tcW w:w="1283" w:type="dxa"/>
            <w:tcBorders>
              <w:bottom w:val="single" w:color="000000" w:sz="0" w:space="0"/>
            </w:tcBorders>
            <w:vAlign w:val="center"/>
          </w:tcPr>
          <w:p w14:paraId="319F58A9">
            <w:pPr>
              <w:widowControl/>
              <w:spacing w:line="276" w:lineRule="auto"/>
              <w:jc w:val="right"/>
              <w:rPr>
                <w:rFonts w:ascii="宋体" w:hAnsi="宋体" w:eastAsia="宋体" w:cs="Times New Roman"/>
                <w:kern w:val="0"/>
                <w:sz w:val="24"/>
                <w:szCs w:val="24"/>
                <w14:ligatures w14:val="none"/>
              </w:rPr>
            </w:pPr>
            <w:r>
              <w:rPr>
                <w:rFonts w:hint="eastAsia" w:ascii="宋体" w:hAnsi="宋体" w:eastAsia="宋体" w:cs="Times New Roman"/>
                <w:kern w:val="0"/>
                <w:sz w:val="24"/>
                <w:szCs w:val="24"/>
                <w14:ligatures w14:val="none"/>
              </w:rPr>
              <w:t>最小值</w:t>
            </w:r>
          </w:p>
        </w:tc>
        <w:tc>
          <w:tcPr>
            <w:tcW w:w="1018" w:type="dxa"/>
            <w:tcBorders>
              <w:bottom w:val="single" w:color="000000" w:sz="0" w:space="0"/>
            </w:tcBorders>
            <w:vAlign w:val="center"/>
          </w:tcPr>
          <w:p w14:paraId="491906F6">
            <w:pPr>
              <w:widowControl/>
              <w:spacing w:line="276" w:lineRule="auto"/>
              <w:jc w:val="right"/>
              <w:rPr>
                <w:rFonts w:ascii="宋体" w:hAnsi="宋体" w:eastAsia="宋体" w:cs="Times New Roman"/>
                <w:kern w:val="0"/>
                <w:sz w:val="24"/>
                <w:szCs w:val="24"/>
                <w14:ligatures w14:val="none"/>
              </w:rPr>
            </w:pPr>
            <w:r>
              <w:rPr>
                <w:rFonts w:hint="eastAsia" w:ascii="宋体" w:hAnsi="宋体" w:eastAsia="宋体" w:cs="Times New Roman"/>
                <w:kern w:val="0"/>
                <w:sz w:val="24"/>
                <w:szCs w:val="24"/>
                <w14:ligatures w14:val="none"/>
              </w:rPr>
              <w:t>最大值</w:t>
            </w:r>
          </w:p>
        </w:tc>
      </w:tr>
      <w:tr w14:paraId="60C0DA64">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tcBorders>
              <w:top w:val="single" w:color="000000" w:sz="0" w:space="0"/>
            </w:tcBorders>
            <w:vAlign w:val="center"/>
          </w:tcPr>
          <w:p w14:paraId="37B4F928">
            <w:pPr>
              <w:widowControl/>
              <w:spacing w:line="276" w:lineRule="auto"/>
              <w:jc w:val="lef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基础理论认知</w:t>
            </w:r>
          </w:p>
        </w:tc>
        <w:tc>
          <w:tcPr>
            <w:tcW w:w="1483" w:type="dxa"/>
            <w:tcBorders>
              <w:top w:val="single" w:color="000000" w:sz="0" w:space="0"/>
            </w:tcBorders>
            <w:vAlign w:val="center"/>
          </w:tcPr>
          <w:p w14:paraId="34C743D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3.848</w:t>
            </w:r>
          </w:p>
        </w:tc>
        <w:tc>
          <w:tcPr>
            <w:tcW w:w="1242" w:type="dxa"/>
            <w:tcBorders>
              <w:top w:val="single" w:color="000000" w:sz="0" w:space="0"/>
            </w:tcBorders>
            <w:vAlign w:val="center"/>
          </w:tcPr>
          <w:p w14:paraId="5B82F79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0.738</w:t>
            </w:r>
          </w:p>
        </w:tc>
        <w:tc>
          <w:tcPr>
            <w:tcW w:w="1283" w:type="dxa"/>
            <w:tcBorders>
              <w:top w:val="single" w:color="000000" w:sz="0" w:space="0"/>
            </w:tcBorders>
            <w:vAlign w:val="center"/>
          </w:tcPr>
          <w:p w14:paraId="4A61E75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tcBorders>
              <w:top w:val="single" w:color="000000" w:sz="0" w:space="0"/>
            </w:tcBorders>
            <w:vAlign w:val="center"/>
          </w:tcPr>
          <w:p w14:paraId="28F52CB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17C20C06">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618728D6">
            <w:pPr>
              <w:widowControl/>
              <w:spacing w:line="276" w:lineRule="auto"/>
              <w:jc w:val="lef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场景智慧</w:t>
            </w:r>
          </w:p>
        </w:tc>
        <w:tc>
          <w:tcPr>
            <w:tcW w:w="1483" w:type="dxa"/>
            <w:vAlign w:val="center"/>
          </w:tcPr>
          <w:p w14:paraId="193672E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3.999</w:t>
            </w:r>
          </w:p>
        </w:tc>
        <w:tc>
          <w:tcPr>
            <w:tcW w:w="1242" w:type="dxa"/>
            <w:vAlign w:val="center"/>
          </w:tcPr>
          <w:p w14:paraId="58E30DF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0.736</w:t>
            </w:r>
          </w:p>
        </w:tc>
        <w:tc>
          <w:tcPr>
            <w:tcW w:w="1283" w:type="dxa"/>
            <w:vAlign w:val="center"/>
          </w:tcPr>
          <w:p w14:paraId="199B94D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00AA13B1">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56ED58FB">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0A5407CB">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宋体"/>
                <w:kern w:val="0"/>
                <w:sz w:val="24"/>
                <w:szCs w:val="24"/>
                <w:lang w:eastAsia="en-US"/>
                <w14:ligatures w14:val="none"/>
              </w:rPr>
              <w:t>智能学习</w:t>
            </w:r>
          </w:p>
        </w:tc>
        <w:tc>
          <w:tcPr>
            <w:tcW w:w="1483" w:type="dxa"/>
            <w:vAlign w:val="center"/>
          </w:tcPr>
          <w:p w14:paraId="54BBABE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3.142</w:t>
            </w:r>
          </w:p>
        </w:tc>
        <w:tc>
          <w:tcPr>
            <w:tcW w:w="1242" w:type="dxa"/>
            <w:vAlign w:val="center"/>
          </w:tcPr>
          <w:p w14:paraId="3EBECB7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0.871</w:t>
            </w:r>
          </w:p>
        </w:tc>
        <w:tc>
          <w:tcPr>
            <w:tcW w:w="1283" w:type="dxa"/>
            <w:vAlign w:val="center"/>
          </w:tcPr>
          <w:p w14:paraId="3890973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1E05933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0F3FBC7F">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6A7B7145">
            <w:pPr>
              <w:widowControl/>
              <w:spacing w:line="276" w:lineRule="auto"/>
              <w:jc w:val="left"/>
              <w:rPr>
                <w:rFonts w:ascii="宋体" w:hAnsi="宋体" w:eastAsia="宋体" w:cs="Times New Roman"/>
                <w:kern w:val="0"/>
                <w:sz w:val="24"/>
                <w:szCs w:val="24"/>
                <w14:ligatures w14:val="none"/>
              </w:rPr>
            </w:pPr>
            <w:r>
              <w:rPr>
                <w:rFonts w:hint="eastAsia" w:ascii="宋体" w:hAnsi="宋体" w:eastAsia="宋体" w:cs="宋体"/>
                <w:kern w:val="0"/>
                <w:sz w:val="24"/>
                <w:szCs w:val="24"/>
                <w:lang w:eastAsia="en-US"/>
                <w14:ligatures w14:val="none"/>
              </w:rPr>
              <w:t>协同创新</w:t>
            </w:r>
          </w:p>
        </w:tc>
        <w:tc>
          <w:tcPr>
            <w:tcW w:w="1483" w:type="dxa"/>
            <w:vAlign w:val="center"/>
          </w:tcPr>
          <w:p w14:paraId="1CB546F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3.627</w:t>
            </w:r>
          </w:p>
        </w:tc>
        <w:tc>
          <w:tcPr>
            <w:tcW w:w="1242" w:type="dxa"/>
            <w:vAlign w:val="center"/>
          </w:tcPr>
          <w:p w14:paraId="71708F4D">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0.883</w:t>
            </w:r>
          </w:p>
        </w:tc>
        <w:tc>
          <w:tcPr>
            <w:tcW w:w="1283" w:type="dxa"/>
            <w:vAlign w:val="center"/>
          </w:tcPr>
          <w:p w14:paraId="06367CC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735E99D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62F44249">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1B2F1866">
            <w:pPr>
              <w:widowControl/>
              <w:spacing w:line="276" w:lineRule="auto"/>
              <w:jc w:val="left"/>
              <w:rPr>
                <w:rFonts w:hint="eastAsia" w:ascii="宋体" w:hAnsi="宋体" w:eastAsia="宋体" w:cs="宋体"/>
                <w:kern w:val="0"/>
                <w:sz w:val="24"/>
                <w:szCs w:val="24"/>
                <w14:ligatures w14:val="none"/>
              </w:rPr>
            </w:pPr>
            <w:r>
              <w:rPr>
                <w:rFonts w:ascii="宋体" w:hAnsi="宋体" w:eastAsia="宋体" w:cs="宋体"/>
                <w:kern w:val="0"/>
                <w:sz w:val="24"/>
                <w:szCs w:val="24"/>
                <w14:ligatures w14:val="none"/>
              </w:rPr>
              <w:t>伦理意识</w:t>
            </w:r>
            <w:r>
              <w:rPr>
                <w:rFonts w:hint="eastAsia" w:ascii="宋体" w:hAnsi="宋体" w:eastAsia="宋体" w:cs="宋体"/>
                <w:kern w:val="0"/>
                <w:sz w:val="24"/>
                <w:szCs w:val="24"/>
                <w14:ligatures w14:val="none"/>
              </w:rPr>
              <w:t>培养</w:t>
            </w:r>
          </w:p>
        </w:tc>
        <w:tc>
          <w:tcPr>
            <w:tcW w:w="1483" w:type="dxa"/>
            <w:vAlign w:val="center"/>
          </w:tcPr>
          <w:p w14:paraId="78C7C6BC">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4.293</w:t>
            </w:r>
          </w:p>
        </w:tc>
        <w:tc>
          <w:tcPr>
            <w:tcW w:w="1242" w:type="dxa"/>
            <w:vAlign w:val="center"/>
          </w:tcPr>
          <w:p w14:paraId="232017A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0.761</w:t>
            </w:r>
          </w:p>
        </w:tc>
        <w:tc>
          <w:tcPr>
            <w:tcW w:w="1283" w:type="dxa"/>
            <w:vAlign w:val="center"/>
          </w:tcPr>
          <w:p w14:paraId="2138372A">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04A9036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2DC6B0C8">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4F9FC961">
            <w:pPr>
              <w:widowControl/>
              <w:spacing w:line="276" w:lineRule="auto"/>
              <w:jc w:val="left"/>
              <w:rPr>
                <w:rFonts w:hint="eastAsia" w:ascii="宋体" w:hAnsi="宋体" w:eastAsia="宋体" w:cs="宋体"/>
                <w:kern w:val="0"/>
                <w:sz w:val="24"/>
                <w:szCs w:val="24"/>
                <w14:ligatures w14:val="none"/>
              </w:rPr>
            </w:pPr>
            <w:r>
              <w:rPr>
                <w:rFonts w:hint="eastAsia" w:ascii="宋体" w:hAnsi="宋体" w:eastAsia="宋体" w:cs="宋体"/>
                <w:kern w:val="0"/>
                <w:sz w:val="24"/>
                <w:szCs w:val="24"/>
                <w14:ligatures w14:val="none"/>
              </w:rPr>
              <w:t>人工智能</w:t>
            </w:r>
            <w:r>
              <w:rPr>
                <w:rFonts w:ascii="宋体" w:hAnsi="宋体" w:eastAsia="宋体" w:cs="宋体"/>
                <w:kern w:val="0"/>
                <w:sz w:val="24"/>
                <w:szCs w:val="24"/>
                <w14:ligatures w14:val="none"/>
              </w:rPr>
              <w:t>学习素养</w:t>
            </w:r>
          </w:p>
        </w:tc>
        <w:tc>
          <w:tcPr>
            <w:tcW w:w="1483" w:type="dxa"/>
            <w:vAlign w:val="center"/>
          </w:tcPr>
          <w:p w14:paraId="3FFD666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3.677</w:t>
            </w:r>
          </w:p>
        </w:tc>
        <w:tc>
          <w:tcPr>
            <w:tcW w:w="1242" w:type="dxa"/>
            <w:vAlign w:val="center"/>
          </w:tcPr>
          <w:p w14:paraId="774F5BC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0.547</w:t>
            </w:r>
          </w:p>
        </w:tc>
        <w:tc>
          <w:tcPr>
            <w:tcW w:w="1283" w:type="dxa"/>
            <w:vAlign w:val="center"/>
          </w:tcPr>
          <w:p w14:paraId="3A80EEFC">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7F5CFF9A">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3AB083A4">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3A78A99F">
            <w:pPr>
              <w:widowControl/>
              <w:spacing w:line="276" w:lineRule="auto"/>
              <w:jc w:val="left"/>
              <w:rPr>
                <w:rFonts w:hint="eastAsia" w:ascii="宋体" w:hAnsi="宋体" w:eastAsia="宋体" w:cs="宋体"/>
                <w:kern w:val="0"/>
                <w:sz w:val="24"/>
                <w:szCs w:val="24"/>
                <w:highlight w:val="yellow"/>
                <w14:ligatures w14:val="none"/>
              </w:rPr>
            </w:pPr>
            <w:r>
              <w:rPr>
                <w:rFonts w:hint="eastAsia" w:ascii="宋体" w:hAnsi="宋体" w:eastAsia="宋体" w:cs="宋体"/>
                <w:kern w:val="0"/>
                <w:sz w:val="24"/>
                <w:szCs w:val="24"/>
                <w14:ligatures w14:val="none"/>
              </w:rPr>
              <w:t>感知的家长态度行为</w:t>
            </w:r>
          </w:p>
        </w:tc>
        <w:tc>
          <w:tcPr>
            <w:tcW w:w="1483" w:type="dxa"/>
            <w:vAlign w:val="center"/>
          </w:tcPr>
          <w:p w14:paraId="420FFEB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2.984</w:t>
            </w:r>
          </w:p>
        </w:tc>
        <w:tc>
          <w:tcPr>
            <w:tcW w:w="1242" w:type="dxa"/>
            <w:vAlign w:val="center"/>
          </w:tcPr>
          <w:p w14:paraId="7AACB1E3">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0.789</w:t>
            </w:r>
          </w:p>
        </w:tc>
        <w:tc>
          <w:tcPr>
            <w:tcW w:w="1283" w:type="dxa"/>
            <w:vAlign w:val="center"/>
          </w:tcPr>
          <w:p w14:paraId="4E313CC3">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51F4E2E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4431B73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20B7035F">
            <w:pPr>
              <w:widowControl/>
              <w:spacing w:line="276" w:lineRule="auto"/>
              <w:jc w:val="left"/>
              <w:rPr>
                <w:rFonts w:hint="eastAsia" w:ascii="宋体" w:hAnsi="宋体" w:eastAsia="宋体" w:cs="宋体"/>
                <w:kern w:val="0"/>
                <w:sz w:val="24"/>
                <w:szCs w:val="24"/>
                <w14:ligatures w14:val="none"/>
              </w:rPr>
            </w:pPr>
            <w:r>
              <w:rPr>
                <w:rFonts w:hint="eastAsia" w:ascii="宋体" w:hAnsi="宋体" w:eastAsia="宋体" w:cs="宋体"/>
                <w:kern w:val="0"/>
                <w:sz w:val="24"/>
                <w:szCs w:val="24"/>
                <w14:ligatures w14:val="none"/>
              </w:rPr>
              <w:t>感知的教师态度行为</w:t>
            </w:r>
          </w:p>
        </w:tc>
        <w:tc>
          <w:tcPr>
            <w:tcW w:w="1483" w:type="dxa"/>
            <w:vAlign w:val="center"/>
          </w:tcPr>
          <w:p w14:paraId="2809105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3.102</w:t>
            </w:r>
          </w:p>
        </w:tc>
        <w:tc>
          <w:tcPr>
            <w:tcW w:w="1242" w:type="dxa"/>
            <w:vAlign w:val="center"/>
          </w:tcPr>
          <w:p w14:paraId="7EC5396A">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0.713</w:t>
            </w:r>
          </w:p>
        </w:tc>
        <w:tc>
          <w:tcPr>
            <w:tcW w:w="1283" w:type="dxa"/>
            <w:vAlign w:val="center"/>
          </w:tcPr>
          <w:p w14:paraId="6F3886D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669A300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1077DF61">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424D982F">
            <w:pPr>
              <w:widowControl/>
              <w:spacing w:line="276" w:lineRule="auto"/>
              <w:jc w:val="left"/>
              <w:rPr>
                <w:rFonts w:hint="eastAsia" w:ascii="宋体" w:hAnsi="宋体" w:eastAsia="宋体" w:cs="宋体"/>
                <w:kern w:val="0"/>
                <w:sz w:val="24"/>
                <w:szCs w:val="24"/>
                <w14:ligatures w14:val="none"/>
              </w:rPr>
            </w:pPr>
            <w:r>
              <w:rPr>
                <w:rFonts w:hint="eastAsia" w:ascii="宋体" w:hAnsi="宋体" w:eastAsia="宋体" w:cs="宋体"/>
                <w:kern w:val="0"/>
                <w:sz w:val="24"/>
                <w:szCs w:val="24"/>
                <w14:ligatures w14:val="none"/>
              </w:rPr>
              <w:t>感知的同辈态度行为</w:t>
            </w:r>
          </w:p>
        </w:tc>
        <w:tc>
          <w:tcPr>
            <w:tcW w:w="1483" w:type="dxa"/>
            <w:vAlign w:val="center"/>
          </w:tcPr>
          <w:p w14:paraId="35D4248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3.343</w:t>
            </w:r>
          </w:p>
        </w:tc>
        <w:tc>
          <w:tcPr>
            <w:tcW w:w="1242" w:type="dxa"/>
            <w:vAlign w:val="center"/>
          </w:tcPr>
          <w:p w14:paraId="268B417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0.746</w:t>
            </w:r>
          </w:p>
        </w:tc>
        <w:tc>
          <w:tcPr>
            <w:tcW w:w="1283" w:type="dxa"/>
            <w:vAlign w:val="center"/>
          </w:tcPr>
          <w:p w14:paraId="475C3373">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372E90DA">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577ABB7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61C13A18">
            <w:pPr>
              <w:widowControl/>
              <w:spacing w:line="276" w:lineRule="auto"/>
              <w:jc w:val="left"/>
              <w:rPr>
                <w:rFonts w:hint="eastAsia" w:ascii="宋体" w:hAnsi="宋体" w:eastAsia="宋体" w:cs="宋体"/>
                <w:kern w:val="0"/>
                <w:sz w:val="24"/>
                <w:szCs w:val="24"/>
                <w14:ligatures w14:val="none"/>
              </w:rPr>
            </w:pPr>
            <w:r>
              <w:rPr>
                <w:rFonts w:hint="eastAsia" w:ascii="宋体" w:hAnsi="宋体" w:eastAsia="宋体" w:cs="宋体"/>
                <w:kern w:val="0"/>
                <w:sz w:val="24"/>
                <w:szCs w:val="24"/>
                <w14:ligatures w14:val="none"/>
              </w:rPr>
              <w:t>感知的重要他人影响</w:t>
            </w:r>
          </w:p>
        </w:tc>
        <w:tc>
          <w:tcPr>
            <w:tcW w:w="1483" w:type="dxa"/>
            <w:vAlign w:val="center"/>
          </w:tcPr>
          <w:p w14:paraId="4CDE8ADA">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3.111</w:t>
            </w:r>
          </w:p>
        </w:tc>
        <w:tc>
          <w:tcPr>
            <w:tcW w:w="1242" w:type="dxa"/>
            <w:vAlign w:val="center"/>
          </w:tcPr>
          <w:p w14:paraId="1081A8C3">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0.600</w:t>
            </w:r>
          </w:p>
        </w:tc>
        <w:tc>
          <w:tcPr>
            <w:tcW w:w="1283" w:type="dxa"/>
            <w:vAlign w:val="center"/>
          </w:tcPr>
          <w:p w14:paraId="5933F2F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38FCDB6D">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667C9B27">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1A75A589">
            <w:pPr>
              <w:widowControl/>
              <w:spacing w:line="276" w:lineRule="auto"/>
              <w:jc w:val="left"/>
              <w:rPr>
                <w:rFonts w:hint="eastAsia" w:ascii="宋体" w:hAnsi="宋体" w:eastAsia="宋体" w:cs="宋体"/>
                <w:kern w:val="0"/>
                <w:sz w:val="24"/>
                <w:szCs w:val="24"/>
                <w14:ligatures w14:val="none"/>
              </w:rPr>
            </w:pPr>
            <w:r>
              <w:rPr>
                <w:rFonts w:ascii="宋体" w:hAnsi="宋体" w:eastAsia="宋体" w:cs="宋体"/>
                <w:kern w:val="0"/>
                <w:sz w:val="24"/>
                <w:szCs w:val="24"/>
                <w14:ligatures w14:val="none"/>
              </w:rPr>
              <w:t>学习能力</w:t>
            </w:r>
            <w:r>
              <w:rPr>
                <w:rFonts w:hint="eastAsia" w:ascii="宋体" w:hAnsi="宋体" w:eastAsia="宋体" w:cs="宋体"/>
                <w:kern w:val="0"/>
                <w:sz w:val="24"/>
                <w:szCs w:val="24"/>
                <w14:ligatures w14:val="none"/>
              </w:rPr>
              <w:t>自我</w:t>
            </w:r>
            <w:r>
              <w:rPr>
                <w:rFonts w:ascii="宋体" w:hAnsi="宋体" w:eastAsia="宋体" w:cs="宋体"/>
                <w:kern w:val="0"/>
                <w:sz w:val="24"/>
                <w:szCs w:val="24"/>
                <w14:ligatures w14:val="none"/>
              </w:rPr>
              <w:t>效能感</w:t>
            </w:r>
          </w:p>
        </w:tc>
        <w:tc>
          <w:tcPr>
            <w:tcW w:w="1483" w:type="dxa"/>
            <w:vAlign w:val="center"/>
          </w:tcPr>
          <w:p w14:paraId="2E5C373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3.643</w:t>
            </w:r>
          </w:p>
        </w:tc>
        <w:tc>
          <w:tcPr>
            <w:tcW w:w="1242" w:type="dxa"/>
            <w:vAlign w:val="center"/>
          </w:tcPr>
          <w:p w14:paraId="22BDEBA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0.720</w:t>
            </w:r>
          </w:p>
        </w:tc>
        <w:tc>
          <w:tcPr>
            <w:tcW w:w="1283" w:type="dxa"/>
            <w:vAlign w:val="center"/>
          </w:tcPr>
          <w:p w14:paraId="6B07316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0DFE0E7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7E4B80E1">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55591769">
            <w:pPr>
              <w:widowControl/>
              <w:spacing w:line="276" w:lineRule="auto"/>
              <w:jc w:val="left"/>
              <w:rPr>
                <w:rFonts w:hint="eastAsia" w:ascii="宋体" w:hAnsi="宋体" w:eastAsia="宋体" w:cs="宋体"/>
                <w:kern w:val="0"/>
                <w:sz w:val="24"/>
                <w:szCs w:val="24"/>
                <w14:ligatures w14:val="none"/>
              </w:rPr>
            </w:pPr>
            <w:r>
              <w:rPr>
                <w:rFonts w:ascii="宋体" w:hAnsi="宋体" w:eastAsia="宋体" w:cs="宋体"/>
                <w:kern w:val="0"/>
                <w:sz w:val="24"/>
                <w:szCs w:val="24"/>
                <w14:ligatures w14:val="none"/>
              </w:rPr>
              <w:t>学习方法</w:t>
            </w:r>
            <w:r>
              <w:rPr>
                <w:rFonts w:hint="eastAsia" w:ascii="宋体" w:hAnsi="宋体" w:eastAsia="宋体" w:cs="宋体"/>
                <w:kern w:val="0"/>
                <w:sz w:val="24"/>
                <w:szCs w:val="24"/>
                <w14:ligatures w14:val="none"/>
              </w:rPr>
              <w:t>自我</w:t>
            </w:r>
            <w:r>
              <w:rPr>
                <w:rFonts w:ascii="宋体" w:hAnsi="宋体" w:eastAsia="宋体" w:cs="宋体"/>
                <w:kern w:val="0"/>
                <w:sz w:val="24"/>
                <w:szCs w:val="24"/>
                <w14:ligatures w14:val="none"/>
              </w:rPr>
              <w:t>效能感</w:t>
            </w:r>
          </w:p>
        </w:tc>
        <w:tc>
          <w:tcPr>
            <w:tcW w:w="1483" w:type="dxa"/>
            <w:vAlign w:val="center"/>
          </w:tcPr>
          <w:p w14:paraId="55E3F4B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3.363</w:t>
            </w:r>
          </w:p>
        </w:tc>
        <w:tc>
          <w:tcPr>
            <w:tcW w:w="1242" w:type="dxa"/>
            <w:vAlign w:val="center"/>
          </w:tcPr>
          <w:p w14:paraId="25307EC1">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0.568</w:t>
            </w:r>
          </w:p>
        </w:tc>
        <w:tc>
          <w:tcPr>
            <w:tcW w:w="1283" w:type="dxa"/>
            <w:vAlign w:val="center"/>
          </w:tcPr>
          <w:p w14:paraId="507B7D44">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2C817AA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5687B88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319C2FA0">
            <w:pPr>
              <w:widowControl/>
              <w:spacing w:line="276" w:lineRule="auto"/>
              <w:jc w:val="left"/>
              <w:rPr>
                <w:rFonts w:hint="eastAsia" w:ascii="宋体" w:hAnsi="宋体" w:eastAsia="宋体" w:cs="宋体"/>
                <w:kern w:val="0"/>
                <w:sz w:val="24"/>
                <w:szCs w:val="24"/>
                <w14:ligatures w14:val="none"/>
              </w:rPr>
            </w:pPr>
            <w:r>
              <w:rPr>
                <w:rFonts w:ascii="宋体" w:hAnsi="宋体" w:eastAsia="宋体" w:cs="宋体"/>
                <w:kern w:val="0"/>
                <w:sz w:val="24"/>
                <w:szCs w:val="24"/>
                <w14:ligatures w14:val="none"/>
              </w:rPr>
              <w:t>学</w:t>
            </w:r>
            <w:r>
              <w:rPr>
                <w:rFonts w:hint="eastAsia" w:ascii="宋体" w:hAnsi="宋体" w:eastAsia="宋体" w:cs="宋体"/>
                <w:kern w:val="0"/>
                <w:sz w:val="24"/>
                <w:szCs w:val="24"/>
                <w14:ligatures w14:val="none"/>
              </w:rPr>
              <w:t>业自我</w:t>
            </w:r>
            <w:r>
              <w:rPr>
                <w:rFonts w:ascii="宋体" w:hAnsi="宋体" w:eastAsia="宋体" w:cs="宋体"/>
                <w:kern w:val="0"/>
                <w:sz w:val="24"/>
                <w:szCs w:val="24"/>
                <w14:ligatures w14:val="none"/>
              </w:rPr>
              <w:t>效能感</w:t>
            </w:r>
          </w:p>
        </w:tc>
        <w:tc>
          <w:tcPr>
            <w:tcW w:w="1483" w:type="dxa"/>
            <w:vAlign w:val="center"/>
          </w:tcPr>
          <w:p w14:paraId="4FDBD894">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3.504</w:t>
            </w:r>
          </w:p>
        </w:tc>
        <w:tc>
          <w:tcPr>
            <w:tcW w:w="1242" w:type="dxa"/>
            <w:vAlign w:val="center"/>
          </w:tcPr>
          <w:p w14:paraId="40107C3C">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0.538</w:t>
            </w:r>
          </w:p>
        </w:tc>
        <w:tc>
          <w:tcPr>
            <w:tcW w:w="1283" w:type="dxa"/>
            <w:vAlign w:val="center"/>
          </w:tcPr>
          <w:p w14:paraId="537AD4CD">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c>
          <w:tcPr>
            <w:tcW w:w="1018" w:type="dxa"/>
            <w:vAlign w:val="center"/>
          </w:tcPr>
          <w:p w14:paraId="2A428F7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5.000</w:t>
            </w:r>
          </w:p>
        </w:tc>
      </w:tr>
      <w:tr w14:paraId="2736D0F9">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2FBDFDA3">
            <w:pPr>
              <w:widowControl/>
              <w:spacing w:line="276" w:lineRule="auto"/>
              <w:jc w:val="left"/>
              <w:rPr>
                <w:rFonts w:hint="eastAsia" w:ascii="宋体" w:hAnsi="宋体" w:eastAsia="宋体" w:cs="宋体"/>
                <w:kern w:val="0"/>
                <w:sz w:val="24"/>
                <w:szCs w:val="24"/>
                <w14:ligatures w14:val="none"/>
              </w:rPr>
            </w:pPr>
            <w:r>
              <w:rPr>
                <w:rFonts w:ascii="宋体" w:hAnsi="宋体" w:eastAsia="宋体" w:cs="宋体"/>
                <w:kern w:val="0"/>
                <w:sz w:val="24"/>
                <w:szCs w:val="24"/>
                <w14:ligatures w14:val="none"/>
              </w:rPr>
              <w:t>性别</w:t>
            </w:r>
          </w:p>
        </w:tc>
        <w:tc>
          <w:tcPr>
            <w:tcW w:w="1483" w:type="dxa"/>
            <w:vAlign w:val="center"/>
          </w:tcPr>
          <w:p w14:paraId="26B828B6">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0.519</w:t>
            </w:r>
          </w:p>
        </w:tc>
        <w:tc>
          <w:tcPr>
            <w:tcW w:w="1242" w:type="dxa"/>
            <w:vAlign w:val="center"/>
          </w:tcPr>
          <w:p w14:paraId="01FEA77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0.500</w:t>
            </w:r>
          </w:p>
        </w:tc>
        <w:tc>
          <w:tcPr>
            <w:tcW w:w="1283" w:type="dxa"/>
            <w:vAlign w:val="center"/>
          </w:tcPr>
          <w:p w14:paraId="216A149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7DA4680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3CEF47CD">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7CFB956E">
            <w:pPr>
              <w:widowControl/>
              <w:spacing w:line="276" w:lineRule="auto"/>
              <w:jc w:val="lef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户口</w:t>
            </w:r>
          </w:p>
        </w:tc>
        <w:tc>
          <w:tcPr>
            <w:tcW w:w="1483" w:type="dxa"/>
            <w:vAlign w:val="center"/>
          </w:tcPr>
          <w:p w14:paraId="5AA086E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0.675</w:t>
            </w:r>
          </w:p>
        </w:tc>
        <w:tc>
          <w:tcPr>
            <w:tcW w:w="1242" w:type="dxa"/>
            <w:vAlign w:val="center"/>
          </w:tcPr>
          <w:p w14:paraId="5B646C7D">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0.469</w:t>
            </w:r>
          </w:p>
        </w:tc>
        <w:tc>
          <w:tcPr>
            <w:tcW w:w="1283" w:type="dxa"/>
            <w:vAlign w:val="center"/>
          </w:tcPr>
          <w:p w14:paraId="36A2DB11">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20BAE4F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21C7F544">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42A25C6A">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父母最高受教育水平</w:t>
            </w:r>
            <w:r>
              <w:rPr>
                <w:rFonts w:ascii="宋体" w:hAnsi="宋体" w:eastAsia="宋体" w:cs="Times New Roman"/>
                <w:kern w:val="0"/>
                <w:sz w:val="24"/>
                <w:szCs w:val="24"/>
                <w:lang w:eastAsia="en-US"/>
                <w14:ligatures w14:val="none"/>
              </w:rPr>
              <w:t>==初中及以下</w:t>
            </w:r>
          </w:p>
        </w:tc>
        <w:tc>
          <w:tcPr>
            <w:tcW w:w="1483" w:type="dxa"/>
            <w:vAlign w:val="center"/>
          </w:tcPr>
          <w:p w14:paraId="69C0194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0.235</w:t>
            </w:r>
          </w:p>
        </w:tc>
        <w:tc>
          <w:tcPr>
            <w:tcW w:w="1242" w:type="dxa"/>
            <w:vAlign w:val="center"/>
          </w:tcPr>
          <w:p w14:paraId="0996EA01">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0.424</w:t>
            </w:r>
          </w:p>
        </w:tc>
        <w:tc>
          <w:tcPr>
            <w:tcW w:w="1283" w:type="dxa"/>
            <w:vAlign w:val="center"/>
          </w:tcPr>
          <w:p w14:paraId="7D9BCBBA">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5CE3949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6A5C3042">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0F190314">
            <w:pPr>
              <w:widowControl/>
              <w:spacing w:line="276" w:lineRule="auto"/>
              <w:jc w:val="left"/>
              <w:rPr>
                <w:rFonts w:ascii="宋体" w:hAnsi="宋体" w:eastAsia="宋体" w:cs="Times New Roman"/>
                <w:kern w:val="0"/>
                <w:sz w:val="24"/>
                <w:szCs w:val="24"/>
                <w14:ligatures w14:val="none"/>
              </w:rPr>
            </w:pPr>
            <w:r>
              <w:rPr>
                <w:rFonts w:hint="eastAsia" w:ascii="宋体" w:hAnsi="宋体" w:eastAsia="宋体" w:cs="Times New Roman"/>
                <w:kern w:val="0"/>
                <w:sz w:val="24"/>
                <w:szCs w:val="24"/>
                <w14:ligatures w14:val="none"/>
              </w:rPr>
              <w:t>父母最高受教育水平</w:t>
            </w:r>
            <w:r>
              <w:rPr>
                <w:rFonts w:ascii="宋体" w:hAnsi="宋体" w:eastAsia="宋体" w:cs="Times New Roman"/>
                <w:kern w:val="0"/>
                <w:sz w:val="24"/>
                <w:szCs w:val="24"/>
                <w14:ligatures w14:val="none"/>
              </w:rPr>
              <w:t>==高中、中专或技校</w:t>
            </w:r>
          </w:p>
        </w:tc>
        <w:tc>
          <w:tcPr>
            <w:tcW w:w="1483" w:type="dxa"/>
            <w:vAlign w:val="center"/>
          </w:tcPr>
          <w:p w14:paraId="4D97D3C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0.403</w:t>
            </w:r>
          </w:p>
        </w:tc>
        <w:tc>
          <w:tcPr>
            <w:tcW w:w="1242" w:type="dxa"/>
            <w:vAlign w:val="center"/>
          </w:tcPr>
          <w:p w14:paraId="54A47E5D">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0.491</w:t>
            </w:r>
          </w:p>
        </w:tc>
        <w:tc>
          <w:tcPr>
            <w:tcW w:w="1283" w:type="dxa"/>
            <w:vAlign w:val="center"/>
          </w:tcPr>
          <w:p w14:paraId="4590A66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594C977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67614ACA">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6DB4475D">
            <w:pPr>
              <w:widowControl/>
              <w:spacing w:line="276" w:lineRule="auto"/>
              <w:jc w:val="left"/>
              <w:rPr>
                <w:rFonts w:ascii="宋体" w:hAnsi="宋体" w:eastAsia="宋体" w:cs="Times New Roman"/>
                <w:kern w:val="0"/>
                <w:sz w:val="24"/>
                <w:szCs w:val="24"/>
                <w14:ligatures w14:val="none"/>
              </w:rPr>
            </w:pPr>
            <w:r>
              <w:rPr>
                <w:rFonts w:hint="eastAsia" w:ascii="宋体" w:hAnsi="宋体" w:eastAsia="宋体" w:cs="Times New Roman"/>
                <w:kern w:val="0"/>
                <w:sz w:val="24"/>
                <w:szCs w:val="24"/>
                <w14:ligatures w14:val="none"/>
              </w:rPr>
              <w:t>父母最高受教育水平</w:t>
            </w:r>
            <w:r>
              <w:rPr>
                <w:rFonts w:ascii="宋体" w:hAnsi="宋体" w:eastAsia="宋体" w:cs="Times New Roman"/>
                <w:kern w:val="0"/>
                <w:sz w:val="24"/>
                <w:szCs w:val="24"/>
                <w14:ligatures w14:val="none"/>
              </w:rPr>
              <w:t>==大学及以上</w:t>
            </w:r>
          </w:p>
        </w:tc>
        <w:tc>
          <w:tcPr>
            <w:tcW w:w="1483" w:type="dxa"/>
            <w:vAlign w:val="center"/>
          </w:tcPr>
          <w:p w14:paraId="3822B08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0.362</w:t>
            </w:r>
          </w:p>
        </w:tc>
        <w:tc>
          <w:tcPr>
            <w:tcW w:w="1242" w:type="dxa"/>
            <w:vAlign w:val="center"/>
          </w:tcPr>
          <w:p w14:paraId="25D9DFC4">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0.481</w:t>
            </w:r>
          </w:p>
        </w:tc>
        <w:tc>
          <w:tcPr>
            <w:tcW w:w="1283" w:type="dxa"/>
            <w:vAlign w:val="center"/>
          </w:tcPr>
          <w:p w14:paraId="326A1DB3">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2C02180C">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6F5F4338">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1A7F1DB2">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年级</w:t>
            </w:r>
            <w:r>
              <w:rPr>
                <w:rFonts w:ascii="宋体" w:hAnsi="宋体" w:eastAsia="宋体" w:cs="Times New Roman"/>
                <w:kern w:val="0"/>
                <w:sz w:val="24"/>
                <w:szCs w:val="24"/>
                <w:lang w:eastAsia="en-US"/>
                <w14:ligatures w14:val="none"/>
              </w:rPr>
              <w:t>==小学四年级</w:t>
            </w:r>
          </w:p>
        </w:tc>
        <w:tc>
          <w:tcPr>
            <w:tcW w:w="1483" w:type="dxa"/>
            <w:vAlign w:val="center"/>
          </w:tcPr>
          <w:p w14:paraId="19A3083D">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0.116</w:t>
            </w:r>
          </w:p>
        </w:tc>
        <w:tc>
          <w:tcPr>
            <w:tcW w:w="1242" w:type="dxa"/>
            <w:vAlign w:val="center"/>
          </w:tcPr>
          <w:p w14:paraId="1E7FC61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0.320</w:t>
            </w:r>
          </w:p>
        </w:tc>
        <w:tc>
          <w:tcPr>
            <w:tcW w:w="1283" w:type="dxa"/>
            <w:vAlign w:val="center"/>
          </w:tcPr>
          <w:p w14:paraId="26DED6C4">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4DE1ED73">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40003785">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34A2B182">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年级</w:t>
            </w:r>
            <w:r>
              <w:rPr>
                <w:rFonts w:ascii="宋体" w:hAnsi="宋体" w:eastAsia="宋体" w:cs="Times New Roman"/>
                <w:kern w:val="0"/>
                <w:sz w:val="24"/>
                <w:szCs w:val="24"/>
                <w:lang w:eastAsia="en-US"/>
                <w14:ligatures w14:val="none"/>
              </w:rPr>
              <w:t>==小学五年级</w:t>
            </w:r>
          </w:p>
        </w:tc>
        <w:tc>
          <w:tcPr>
            <w:tcW w:w="1483" w:type="dxa"/>
            <w:vAlign w:val="center"/>
          </w:tcPr>
          <w:p w14:paraId="60808CE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0.140</w:t>
            </w:r>
          </w:p>
        </w:tc>
        <w:tc>
          <w:tcPr>
            <w:tcW w:w="1242" w:type="dxa"/>
            <w:vAlign w:val="center"/>
          </w:tcPr>
          <w:p w14:paraId="3EAB9C51">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0.347</w:t>
            </w:r>
          </w:p>
        </w:tc>
        <w:tc>
          <w:tcPr>
            <w:tcW w:w="1283" w:type="dxa"/>
            <w:vAlign w:val="center"/>
          </w:tcPr>
          <w:p w14:paraId="5898B40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754054C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062FDDBB">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635EC733">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年级</w:t>
            </w:r>
            <w:r>
              <w:rPr>
                <w:rFonts w:ascii="宋体" w:hAnsi="宋体" w:eastAsia="宋体" w:cs="Times New Roman"/>
                <w:kern w:val="0"/>
                <w:sz w:val="24"/>
                <w:szCs w:val="24"/>
                <w:lang w:eastAsia="en-US"/>
                <w14:ligatures w14:val="none"/>
              </w:rPr>
              <w:t>==小学六年级</w:t>
            </w:r>
          </w:p>
        </w:tc>
        <w:tc>
          <w:tcPr>
            <w:tcW w:w="1483" w:type="dxa"/>
            <w:vAlign w:val="center"/>
          </w:tcPr>
          <w:p w14:paraId="460CE03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0.131</w:t>
            </w:r>
          </w:p>
        </w:tc>
        <w:tc>
          <w:tcPr>
            <w:tcW w:w="1242" w:type="dxa"/>
            <w:vAlign w:val="center"/>
          </w:tcPr>
          <w:p w14:paraId="7702A55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0.338</w:t>
            </w:r>
          </w:p>
        </w:tc>
        <w:tc>
          <w:tcPr>
            <w:tcW w:w="1283" w:type="dxa"/>
            <w:vAlign w:val="center"/>
          </w:tcPr>
          <w:p w14:paraId="3B8F365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0024286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0B4392DF">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7559F346">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年级</w:t>
            </w:r>
            <w:r>
              <w:rPr>
                <w:rFonts w:ascii="宋体" w:hAnsi="宋体" w:eastAsia="宋体" w:cs="Times New Roman"/>
                <w:kern w:val="0"/>
                <w:sz w:val="24"/>
                <w:szCs w:val="24"/>
                <w:lang w:eastAsia="en-US"/>
                <w14:ligatures w14:val="none"/>
              </w:rPr>
              <w:t>==初中一年级</w:t>
            </w:r>
          </w:p>
        </w:tc>
        <w:tc>
          <w:tcPr>
            <w:tcW w:w="1483" w:type="dxa"/>
            <w:vAlign w:val="center"/>
          </w:tcPr>
          <w:p w14:paraId="16D6B051">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0.132</w:t>
            </w:r>
          </w:p>
        </w:tc>
        <w:tc>
          <w:tcPr>
            <w:tcW w:w="1242" w:type="dxa"/>
            <w:vAlign w:val="center"/>
          </w:tcPr>
          <w:p w14:paraId="4536C5B4">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0.339</w:t>
            </w:r>
          </w:p>
        </w:tc>
        <w:tc>
          <w:tcPr>
            <w:tcW w:w="1283" w:type="dxa"/>
            <w:vAlign w:val="center"/>
          </w:tcPr>
          <w:p w14:paraId="614B5FA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23A1A4F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58AD3DC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3A662C62">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年级</w:t>
            </w:r>
            <w:r>
              <w:rPr>
                <w:rFonts w:ascii="宋体" w:hAnsi="宋体" w:eastAsia="宋体" w:cs="Times New Roman"/>
                <w:kern w:val="0"/>
                <w:sz w:val="24"/>
                <w:szCs w:val="24"/>
                <w:lang w:eastAsia="en-US"/>
                <w14:ligatures w14:val="none"/>
              </w:rPr>
              <w:t>==初中二年级</w:t>
            </w:r>
          </w:p>
        </w:tc>
        <w:tc>
          <w:tcPr>
            <w:tcW w:w="1483" w:type="dxa"/>
            <w:vAlign w:val="center"/>
          </w:tcPr>
          <w:p w14:paraId="7CC18E5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0.288</w:t>
            </w:r>
          </w:p>
        </w:tc>
        <w:tc>
          <w:tcPr>
            <w:tcW w:w="1242" w:type="dxa"/>
            <w:vAlign w:val="center"/>
          </w:tcPr>
          <w:p w14:paraId="287F2256">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0.453</w:t>
            </w:r>
          </w:p>
        </w:tc>
        <w:tc>
          <w:tcPr>
            <w:tcW w:w="1283" w:type="dxa"/>
            <w:vAlign w:val="center"/>
          </w:tcPr>
          <w:p w14:paraId="3054F8A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46D446CF">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0D008EB7">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0926E4B1">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年级</w:t>
            </w:r>
            <w:r>
              <w:rPr>
                <w:rFonts w:ascii="宋体" w:hAnsi="宋体" w:eastAsia="宋体" w:cs="Times New Roman"/>
                <w:kern w:val="0"/>
                <w:sz w:val="24"/>
                <w:szCs w:val="24"/>
                <w:lang w:eastAsia="en-US"/>
                <w14:ligatures w14:val="none"/>
              </w:rPr>
              <w:t>==初中三年级</w:t>
            </w:r>
          </w:p>
        </w:tc>
        <w:tc>
          <w:tcPr>
            <w:tcW w:w="1483" w:type="dxa"/>
            <w:vAlign w:val="center"/>
          </w:tcPr>
          <w:p w14:paraId="34200A0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0.192</w:t>
            </w:r>
          </w:p>
        </w:tc>
        <w:tc>
          <w:tcPr>
            <w:tcW w:w="1242" w:type="dxa"/>
            <w:vAlign w:val="center"/>
          </w:tcPr>
          <w:p w14:paraId="4C2DA36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0.394</w:t>
            </w:r>
          </w:p>
        </w:tc>
        <w:tc>
          <w:tcPr>
            <w:tcW w:w="1283" w:type="dxa"/>
            <w:vAlign w:val="center"/>
          </w:tcPr>
          <w:p w14:paraId="0DE39A9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6FAE4E5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3C1CF33E">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696FC8FC">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班级排名</w:t>
            </w:r>
            <w:r>
              <w:rPr>
                <w:rFonts w:ascii="宋体" w:hAnsi="宋体" w:eastAsia="宋体" w:cs="Times New Roman"/>
                <w:kern w:val="0"/>
                <w:sz w:val="24"/>
                <w:szCs w:val="24"/>
                <w:lang w:eastAsia="en-US"/>
                <w14:ligatures w14:val="none"/>
              </w:rPr>
              <w:t>==后25％</w:t>
            </w:r>
          </w:p>
        </w:tc>
        <w:tc>
          <w:tcPr>
            <w:tcW w:w="1483" w:type="dxa"/>
            <w:vAlign w:val="center"/>
          </w:tcPr>
          <w:p w14:paraId="007E68D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0.076</w:t>
            </w:r>
          </w:p>
        </w:tc>
        <w:tc>
          <w:tcPr>
            <w:tcW w:w="1242" w:type="dxa"/>
            <w:vAlign w:val="center"/>
          </w:tcPr>
          <w:p w14:paraId="0C885B78">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0.266</w:t>
            </w:r>
          </w:p>
        </w:tc>
        <w:tc>
          <w:tcPr>
            <w:tcW w:w="1283" w:type="dxa"/>
            <w:vAlign w:val="center"/>
          </w:tcPr>
          <w:p w14:paraId="6629C4E3">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6B7329F1">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5162BD1F">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3DAC728E">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班级排名</w:t>
            </w:r>
            <w:r>
              <w:rPr>
                <w:rFonts w:ascii="宋体" w:hAnsi="宋体" w:eastAsia="宋体" w:cs="Times New Roman"/>
                <w:kern w:val="0"/>
                <w:sz w:val="24"/>
                <w:szCs w:val="24"/>
                <w:lang w:eastAsia="en-US"/>
                <w14:ligatures w14:val="none"/>
              </w:rPr>
              <w:t>==50-75％</w:t>
            </w:r>
          </w:p>
        </w:tc>
        <w:tc>
          <w:tcPr>
            <w:tcW w:w="1483" w:type="dxa"/>
            <w:vAlign w:val="center"/>
          </w:tcPr>
          <w:p w14:paraId="1BB3940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0.239</w:t>
            </w:r>
          </w:p>
        </w:tc>
        <w:tc>
          <w:tcPr>
            <w:tcW w:w="1242" w:type="dxa"/>
            <w:vAlign w:val="center"/>
          </w:tcPr>
          <w:p w14:paraId="53433765">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0.427</w:t>
            </w:r>
          </w:p>
        </w:tc>
        <w:tc>
          <w:tcPr>
            <w:tcW w:w="1283" w:type="dxa"/>
            <w:vAlign w:val="center"/>
          </w:tcPr>
          <w:p w14:paraId="54B10FE2">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27BB240D">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766EAD1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53FE2328">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班级排名</w:t>
            </w:r>
            <w:r>
              <w:rPr>
                <w:rFonts w:ascii="宋体" w:hAnsi="宋体" w:eastAsia="宋体" w:cs="Times New Roman"/>
                <w:kern w:val="0"/>
                <w:sz w:val="24"/>
                <w:szCs w:val="24"/>
                <w:lang w:eastAsia="en-US"/>
                <w14:ligatures w14:val="none"/>
              </w:rPr>
              <w:t>==25-50％</w:t>
            </w:r>
          </w:p>
        </w:tc>
        <w:tc>
          <w:tcPr>
            <w:tcW w:w="1483" w:type="dxa"/>
            <w:vAlign w:val="center"/>
          </w:tcPr>
          <w:p w14:paraId="579787A7">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0.310</w:t>
            </w:r>
          </w:p>
        </w:tc>
        <w:tc>
          <w:tcPr>
            <w:tcW w:w="1242" w:type="dxa"/>
            <w:vAlign w:val="center"/>
          </w:tcPr>
          <w:p w14:paraId="6B3BEE80">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0.462</w:t>
            </w:r>
          </w:p>
        </w:tc>
        <w:tc>
          <w:tcPr>
            <w:tcW w:w="1283" w:type="dxa"/>
            <w:vAlign w:val="center"/>
          </w:tcPr>
          <w:p w14:paraId="7539A6B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3FBDFBB9">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r w14:paraId="65A612B0">
        <w:tblPrEx>
          <w:tblBorders>
            <w:top w:val="single" w:color="000000" w:sz="0" w:space="0"/>
            <w:left w:val="none" w:color="000000" w:sz="0" w:space="0"/>
            <w:bottom w:val="singl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jc w:val="center"/>
        </w:trPr>
        <w:tc>
          <w:tcPr>
            <w:tcW w:w="2769" w:type="dxa"/>
            <w:vAlign w:val="center"/>
          </w:tcPr>
          <w:p w14:paraId="0EF23C3F">
            <w:pPr>
              <w:widowControl/>
              <w:spacing w:line="276" w:lineRule="auto"/>
              <w:jc w:val="left"/>
              <w:rPr>
                <w:rFonts w:ascii="宋体" w:hAnsi="宋体" w:eastAsia="宋体" w:cs="Times New Roman"/>
                <w:kern w:val="0"/>
                <w:sz w:val="24"/>
                <w:szCs w:val="24"/>
                <w:lang w:eastAsia="en-US"/>
                <w14:ligatures w14:val="none"/>
              </w:rPr>
            </w:pPr>
            <w:r>
              <w:rPr>
                <w:rFonts w:hint="eastAsia" w:ascii="宋体" w:hAnsi="宋体" w:eastAsia="宋体" w:cs="Times New Roman"/>
                <w:kern w:val="0"/>
                <w:sz w:val="24"/>
                <w:szCs w:val="24"/>
                <w14:ligatures w14:val="none"/>
              </w:rPr>
              <w:t>班级排名</w:t>
            </w:r>
            <w:r>
              <w:rPr>
                <w:rFonts w:ascii="宋体" w:hAnsi="宋体" w:eastAsia="宋体" w:cs="Times New Roman"/>
                <w:kern w:val="0"/>
                <w:sz w:val="24"/>
                <w:szCs w:val="24"/>
                <w:lang w:eastAsia="en-US"/>
                <w14:ligatures w14:val="none"/>
              </w:rPr>
              <w:t>==前25％</w:t>
            </w:r>
          </w:p>
        </w:tc>
        <w:tc>
          <w:tcPr>
            <w:tcW w:w="1483" w:type="dxa"/>
            <w:vAlign w:val="center"/>
          </w:tcPr>
          <w:p w14:paraId="7DFDF30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0.375</w:t>
            </w:r>
          </w:p>
        </w:tc>
        <w:tc>
          <w:tcPr>
            <w:tcW w:w="1242" w:type="dxa"/>
            <w:vAlign w:val="center"/>
          </w:tcPr>
          <w:p w14:paraId="12626CCE">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0.484</w:t>
            </w:r>
          </w:p>
        </w:tc>
        <w:tc>
          <w:tcPr>
            <w:tcW w:w="1283" w:type="dxa"/>
            <w:vAlign w:val="center"/>
          </w:tcPr>
          <w:p w14:paraId="64F4D31B">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0.000</w:t>
            </w:r>
          </w:p>
        </w:tc>
        <w:tc>
          <w:tcPr>
            <w:tcW w:w="1018" w:type="dxa"/>
            <w:vAlign w:val="center"/>
          </w:tcPr>
          <w:p w14:paraId="1F539C76">
            <w:pPr>
              <w:widowControl/>
              <w:spacing w:line="276" w:lineRule="auto"/>
              <w:jc w:val="right"/>
              <w:rPr>
                <w:rFonts w:ascii="宋体" w:hAnsi="宋体" w:eastAsia="宋体" w:cs="Times New Roman"/>
                <w:kern w:val="0"/>
                <w:sz w:val="24"/>
                <w:szCs w:val="24"/>
                <w:lang w:eastAsia="en-US"/>
                <w14:ligatures w14:val="none"/>
              </w:rPr>
            </w:pPr>
            <w:r>
              <w:rPr>
                <w:rFonts w:ascii="宋体" w:hAnsi="宋体" w:eastAsia="宋体" w:cs="Times New Roman"/>
                <w:kern w:val="0"/>
                <w:sz w:val="24"/>
                <w:szCs w:val="24"/>
                <w:lang w:eastAsia="en-US"/>
                <w14:ligatures w14:val="none"/>
              </w:rPr>
              <w:t>1.000</w:t>
            </w:r>
          </w:p>
        </w:tc>
      </w:tr>
    </w:tbl>
    <w:p w14:paraId="2F27D024">
      <w:pPr>
        <w:spacing w:line="276" w:lineRule="auto"/>
        <w:rPr>
          <w:rFonts w:hint="eastAsia" w:ascii="宋体" w:hAnsi="宋体" w:eastAsia="宋体"/>
          <w:sz w:val="24"/>
          <w:szCs w:val="24"/>
        </w:rPr>
      </w:pPr>
    </w:p>
    <w:p w14:paraId="2568C5A1">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sz w:val="24"/>
          <w:szCs w:val="24"/>
        </w:rPr>
      </w:pPr>
      <w:r>
        <w:rPr>
          <w:rFonts w:hint="eastAsia" w:ascii="楷体" w:hAnsi="楷体" w:eastAsia="楷体"/>
          <w:sz w:val="24"/>
          <w:szCs w:val="24"/>
        </w:rPr>
        <w:t>（三）问卷信效度检验</w:t>
      </w:r>
    </w:p>
    <w:p w14:paraId="3F726F14">
      <w:pPr>
        <w:keepNext w:val="0"/>
        <w:keepLines w:val="0"/>
        <w:pageBreakBefore w:val="0"/>
        <w:widowControl w:val="0"/>
        <w:kinsoku/>
        <w:wordWrap/>
        <w:overflowPunct/>
        <w:topLinePunct w:val="0"/>
        <w:autoSpaceDE/>
        <w:autoSpaceDN/>
        <w:bidi w:val="0"/>
        <w:adjustRightInd/>
        <w:snapToGrid/>
        <w:spacing w:line="276" w:lineRule="auto"/>
        <w:ind w:firstLine="480"/>
        <w:textAlignment w:val="auto"/>
        <w:rPr>
          <w:rFonts w:hint="eastAsia" w:ascii="宋体" w:hAnsi="宋体" w:eastAsia="宋体"/>
          <w:sz w:val="24"/>
          <w:szCs w:val="24"/>
        </w:rPr>
      </w:pPr>
      <w:r>
        <w:rPr>
          <w:rFonts w:hint="eastAsia" w:ascii="宋体" w:hAnsi="宋体" w:eastAsia="宋体"/>
          <w:sz w:val="24"/>
          <w:szCs w:val="24"/>
        </w:rPr>
        <w:t>为确保本研究采用量表的科学性与适用性，为后续实证分析提供可靠测量工具，研究团队首先对初始编制的量表进行信度与效度检验，依据检验结果针对性优化量表题项后，开展二次样本测试以验证修订效果，具体过程与结果如下。</w:t>
      </w:r>
    </w:p>
    <w:p w14:paraId="241C37F2">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sz w:val="24"/>
          <w:szCs w:val="24"/>
        </w:rPr>
      </w:pPr>
      <w:r>
        <w:rPr>
          <w:rFonts w:ascii="宋体" w:hAnsi="宋体" w:eastAsia="宋体"/>
          <w:sz w:val="24"/>
          <w:szCs w:val="24"/>
        </w:rPr>
        <w:t>在正式施测前，本研究于 2025 年 9 月2日在南京市钟英中学选取初二年级 2 个班级（共83人）进行小样本预测试。预测试数据经整理后，采用StataNow 19对问卷的信度与效度进行检验</w:t>
      </w:r>
      <w:r>
        <w:rPr>
          <w:rFonts w:hint="eastAsia" w:ascii="宋体" w:hAnsi="宋体" w:eastAsia="宋体"/>
          <w:sz w:val="24"/>
          <w:szCs w:val="24"/>
        </w:rPr>
        <w:t>，信度方面，采用Cronbach’s α系数检验问卷的内部一致性，效度方面，重点通过Bartlett球形度检验和KMO取样适切性检验判断数据是否适合进行因子分析，进而验证量表的结构效度。</w:t>
      </w:r>
    </w:p>
    <w:p w14:paraId="699B050B">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sz w:val="24"/>
          <w:szCs w:val="24"/>
        </w:rPr>
      </w:pPr>
      <w:r>
        <w:rPr>
          <w:rFonts w:ascii="宋体" w:hAnsi="宋体" w:eastAsia="宋体"/>
          <w:sz w:val="24"/>
          <w:szCs w:val="24"/>
        </w:rPr>
        <w:t>结果显示，整体量表的α系数为 0.757（&gt;0.7），表明问卷整体具有较好的一致性与稳定性，题目设计和结构基本科学合理，可用于进一步的大样本分析。Bartlett 球形检验结果显著（p &lt; 0.001），说明各题项间存在共同因素，数据适合进行因子分析。KMO 取样适切性检验结果为 0.528（&lt;0.7），提示样本数据对因子分析的适应性偏低，效度尚不理想。进一步观察题项—总相关矩阵与共同度发现，人工智能素养量表中的部分题项以及</w:t>
      </w:r>
      <w:r>
        <w:rPr>
          <w:rFonts w:hint="eastAsia" w:ascii="宋体" w:hAnsi="宋体" w:eastAsia="宋体"/>
          <w:sz w:val="24"/>
          <w:szCs w:val="24"/>
        </w:rPr>
        <w:t>人工智能学习社会支持</w:t>
      </w:r>
      <w:r>
        <w:rPr>
          <w:rFonts w:ascii="宋体" w:hAnsi="宋体" w:eastAsia="宋体"/>
          <w:sz w:val="24"/>
          <w:szCs w:val="24"/>
        </w:rPr>
        <w:t>量表中学校维度中的部分题项存在因子载荷不足（&lt;0.45）或交叉载荷过高（&gt;0.40）的现象，可能是导致 KMO 值偏低的主要原因。</w:t>
      </w:r>
    </w:p>
    <w:p w14:paraId="7B1D77CB">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sz w:val="24"/>
          <w:szCs w:val="24"/>
        </w:rPr>
      </w:pPr>
      <w:r>
        <w:rPr>
          <w:rFonts w:hint="eastAsia" w:ascii="宋体" w:hAnsi="宋体" w:eastAsia="宋体"/>
          <w:sz w:val="24"/>
          <w:szCs w:val="24"/>
        </w:rPr>
        <w:t>根据上述结果，研究团队对照理论维度，根据提取出的五个公因子（基础理论认知，智能学习，场景智慧，伦理意识，创新能力）进一步调整因变量人工智能学习素养的量表，并对部分题目进行语义澄清与情境细化，最终选择18道题目纳入人工智能学习素养量表，并增补两道题目以更好测量学校维度的人工智能学习社会支持。</w:t>
      </w:r>
    </w:p>
    <w:p w14:paraId="3489B02A">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sz w:val="24"/>
          <w:szCs w:val="24"/>
        </w:rPr>
      </w:pPr>
      <w:r>
        <w:rPr>
          <w:rFonts w:ascii="宋体" w:hAnsi="宋体" w:eastAsia="宋体"/>
          <w:sz w:val="24"/>
          <w:szCs w:val="24"/>
        </w:rPr>
        <w:t>修订后的量表在盐城东台红军小学和东台实验中学（城东分校）进行第二次样本测试。二次检验结果显示：</w:t>
      </w:r>
    </w:p>
    <w:p w14:paraId="19692C66">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宋体" w:hAnsi="宋体" w:eastAsia="宋体"/>
          <w:sz w:val="24"/>
          <w:szCs w:val="24"/>
        </w:rPr>
      </w:pPr>
      <w:r>
        <w:rPr>
          <w:rFonts w:ascii="宋体" w:hAnsi="宋体" w:eastAsia="宋体"/>
          <w:sz w:val="24"/>
          <w:szCs w:val="24"/>
        </w:rPr>
        <w:t>总量表 Cronbach’s α 系数为0.8573；人工智能素养、学业效能感、学校氛围、家庭氛围四个变量的 α 系数分别为0.7901，0.7204，0.7945，0.7085，均高于 0.7 的接受标准。Bartlett 检验依旧显著（p &lt; 0.001），KMO 值提升至0.7748（&gt;0.7）；各变量探索性因子分析各题项因子载荷无严重交叉载荷，结构效度良好。</w:t>
      </w:r>
    </w:p>
    <w:p w14:paraId="57CBB311">
      <w:pPr>
        <w:keepNext w:val="0"/>
        <w:keepLines w:val="0"/>
        <w:pageBreakBefore w:val="0"/>
        <w:widowControl w:val="0"/>
        <w:kinsoku/>
        <w:wordWrap/>
        <w:overflowPunct/>
        <w:topLinePunct w:val="0"/>
        <w:autoSpaceDE/>
        <w:autoSpaceDN/>
        <w:bidi w:val="0"/>
        <w:adjustRightInd/>
        <w:snapToGrid/>
        <w:spacing w:line="276" w:lineRule="auto"/>
        <w:ind w:firstLine="480" w:firstLineChars="200"/>
        <w:textAlignment w:val="auto"/>
        <w:rPr>
          <w:rFonts w:hint="eastAsia" w:ascii="楷体" w:hAnsi="楷体" w:eastAsia="楷体"/>
          <w:sz w:val="24"/>
          <w:szCs w:val="24"/>
        </w:rPr>
      </w:pPr>
      <w:r>
        <w:rPr>
          <w:rFonts w:hint="eastAsia" w:ascii="楷体" w:hAnsi="楷体" w:eastAsia="楷体"/>
          <w:sz w:val="24"/>
          <w:szCs w:val="24"/>
        </w:rPr>
        <w:t>（四）分析方法</w:t>
      </w:r>
    </w:p>
    <w:p w14:paraId="3CA17AE1">
      <w:pPr>
        <w:keepNext w:val="0"/>
        <w:keepLines w:val="0"/>
        <w:pageBreakBefore w:val="0"/>
        <w:widowControl w:val="0"/>
        <w:kinsoku/>
        <w:wordWrap/>
        <w:overflowPunct/>
        <w:topLinePunct w:val="0"/>
        <w:autoSpaceDE/>
        <w:autoSpaceDN/>
        <w:bidi w:val="0"/>
        <w:adjustRightInd/>
        <w:snapToGrid/>
        <w:spacing w:line="276" w:lineRule="auto"/>
        <w:textAlignment w:val="auto"/>
        <w:rPr>
          <w:rFonts w:hint="eastAsia" w:ascii="宋体" w:hAnsi="宋体" w:eastAsia="宋体"/>
          <w:sz w:val="24"/>
          <w:szCs w:val="24"/>
        </w:rPr>
      </w:pPr>
      <w:r>
        <w:rPr>
          <w:rFonts w:hint="eastAsia" w:ascii="宋体" w:hAnsi="宋体" w:eastAsia="宋体"/>
          <w:sz w:val="24"/>
          <w:szCs w:val="24"/>
        </w:rPr>
        <w:t xml:space="preserve">    本研究采用普通最小二乘法（Ordinary Least Squares, OLS）进行回归分析，该方法通过最小化残差平方和估计模型参数，以实现对观测数据的最优拟合。结合研究变量特征，因变量 “AI 学习素养” ，自变量（学习效能感、学校 AI 使用氛围等）多为连续型量表得分，符合 OLS 回归的应用前提。具体模型如下：</w:t>
      </w:r>
    </w:p>
    <w:p w14:paraId="0477391F">
      <w:pPr>
        <w:spacing w:line="276" w:lineRule="auto"/>
        <w:ind w:firstLine="480" w:firstLineChars="200"/>
        <m:rPr/>
        <w:rPr>
          <w:rFonts w:hint="eastAsia" w:hAnsi="Cambria Math" w:eastAsia="宋体" w:cs="方正楷体_GB2312"/>
          <w:b w:val="0"/>
          <w:i w:val="0"/>
          <w:color w:val="231F20"/>
          <w:sz w:val="24"/>
          <w:szCs w:val="24"/>
        </w:rPr>
      </w:pPr>
      <m:oMathPara>
        <m:oMath>
          <m:r>
            <m:rPr/>
            <w:rPr>
              <w:rFonts w:ascii="Cambria Math" w:hAnsi="Cambria Math" w:eastAsia="宋体"/>
              <w:sz w:val="24"/>
              <w:szCs w:val="24"/>
            </w:rPr>
            <m:t>AI</m:t>
          </m:r>
          <m:r>
            <m:rPr>
              <m:sty m:val="p"/>
            </m:rPr>
            <w:rPr>
              <w:rFonts w:ascii="Cambria Math" w:hAnsi="Cambria Math" w:eastAsia="宋体"/>
              <w:sz w:val="24"/>
              <w:szCs w:val="24"/>
            </w:rPr>
            <m:t>学习素养</m:t>
          </m:r>
          <m:r>
            <m:rPr/>
            <w:rPr>
              <w:rFonts w:ascii="Cambria Math" w:hAnsi="Cambria Math" w:eastAsia="宋体"/>
              <w:sz w:val="24"/>
              <w:szCs w:val="24"/>
            </w:rPr>
            <m:t>=β</m:t>
          </m:r>
          <m:r>
            <m:rPr>
              <m:sty m:val="p"/>
            </m:rPr>
            <w:rPr>
              <w:rFonts w:ascii="Cambria Math" w:hAnsi="Cambria Math" w:eastAsia="宋体"/>
              <w:sz w:val="24"/>
              <w:szCs w:val="24"/>
            </w:rPr>
            <m:t>₀</m:t>
          </m:r>
          <m:r>
            <m:rPr/>
            <w:rPr>
              <w:rFonts w:ascii="Cambria Math" w:hAnsi="Cambria Math" w:eastAsia="宋体"/>
              <w:sz w:val="24"/>
              <w:szCs w:val="24"/>
            </w:rPr>
            <m:t>+β</m:t>
          </m:r>
          <m:r>
            <m:rPr>
              <m:sty m:val="p"/>
            </m:rPr>
            <w:rPr>
              <w:rFonts w:ascii="Cambria Math" w:hAnsi="Cambria Math" w:eastAsia="宋体"/>
              <w:sz w:val="24"/>
              <w:szCs w:val="24"/>
            </w:rPr>
            <m:t>₁</m:t>
          </m:r>
          <m:r>
            <m:rPr/>
            <w:rPr>
              <w:rFonts w:ascii="Cambria Math" w:hAnsi="Cambria Math" w:eastAsia="宋体"/>
              <w:sz w:val="24"/>
              <w:szCs w:val="24"/>
            </w:rPr>
            <m:t>×</m:t>
          </m:r>
          <m:r>
            <m:rPr>
              <m:sty m:val="p"/>
            </m:rPr>
            <w:rPr>
              <w:rFonts w:ascii="Cambria Math" w:hAnsi="Cambria Math" w:eastAsia="宋体"/>
              <w:sz w:val="24"/>
              <w:szCs w:val="24"/>
            </w:rPr>
            <m:t>人工智能学习社会支持</m:t>
          </m:r>
          <m:r>
            <m:rPr>
              <m:sty m:val="p"/>
            </m:rPr>
            <w:rPr>
              <w:rFonts w:hint="eastAsia" w:ascii="Cambria Math" w:hAnsi="Cambria Math" w:eastAsia="宋体" w:cs="方正楷体_GB2312"/>
              <w:color w:val="231F20"/>
              <w:sz w:val="24"/>
              <w:szCs w:val="24"/>
              <w:lang w:val="de-DE"/>
            </w:rPr>
            <m:t xml:space="preserve"> + </m:t>
          </m:r>
          <m:r>
            <m:rPr>
              <m:sty m:val="p"/>
            </m:rPr>
            <w:rPr>
              <w:rFonts w:hint="eastAsia" w:ascii="Cambria Math" w:hAnsi="Cambria Math" w:eastAsia="宋体" w:cs="方正楷体_GB2312"/>
              <w:color w:val="231F20"/>
              <w:sz w:val="24"/>
              <w:szCs w:val="24"/>
            </w:rPr>
            <m:t>Σ</m:t>
          </m:r>
          <m:r>
            <m:rPr>
              <m:sty m:val="p"/>
            </m:rPr>
            <w:rPr>
              <w:rFonts w:hint="eastAsia" w:ascii="Cambria Math" w:hAnsi="Cambria Math" w:eastAsia="宋体" w:cs="方正楷体_GB2312"/>
              <w:color w:val="231F20"/>
              <w:sz w:val="24"/>
              <w:szCs w:val="24"/>
              <w:lang w:val="de-DE"/>
            </w:rPr>
            <m:t>(</m:t>
          </m:r>
          <m:r>
            <m:rPr>
              <m:sty m:val="p"/>
            </m:rPr>
            <w:rPr>
              <w:rFonts w:hint="eastAsia" w:ascii="Cambria Math" w:hAnsi="Cambria Math" w:eastAsia="宋体" w:cs="方正楷体_GB2312"/>
              <w:color w:val="231F20"/>
              <w:sz w:val="24"/>
              <w:szCs w:val="24"/>
            </w:rPr>
            <m:t>βᵢ</m:t>
          </m:r>
          <m:r>
            <m:rPr>
              <m:sty m:val="p"/>
            </m:rPr>
            <w:rPr>
              <w:rFonts w:hint="eastAsia" w:ascii="Cambria Math" w:hAnsi="Cambria Math" w:eastAsia="宋体" w:cs="方正楷体_GB2312"/>
              <w:color w:val="231F20"/>
              <w:sz w:val="24"/>
              <w:szCs w:val="24"/>
              <w:lang w:val="de-DE"/>
            </w:rPr>
            <m:t xml:space="preserve">× </m:t>
          </m:r>
          <m:r>
            <m:rPr>
              <m:sty m:val="p"/>
            </m:rPr>
            <w:rPr>
              <w:rFonts w:hint="eastAsia" w:ascii="Cambria Math" w:hAnsi="Cambria Math" w:eastAsia="宋体" w:cs="方正楷体_GB2312"/>
              <w:color w:val="231F20"/>
              <w:sz w:val="24"/>
              <w:szCs w:val="24"/>
            </w:rPr>
            <m:t>控制变量ᵢ</m:t>
          </m:r>
          <m:r>
            <m:rPr>
              <m:sty m:val="p"/>
            </m:rPr>
            <w:rPr>
              <w:rFonts w:hint="eastAsia" w:ascii="Cambria Math" w:hAnsi="Cambria Math" w:eastAsia="宋体" w:cs="方正楷体_GB2312"/>
              <w:color w:val="231F20"/>
              <w:sz w:val="24"/>
              <w:szCs w:val="24"/>
              <w:lang w:val="de-DE"/>
            </w:rPr>
            <m:t xml:space="preserve">) + </m:t>
          </m:r>
          <m:r>
            <m:rPr>
              <m:sty m:val="p"/>
            </m:rPr>
            <w:rPr>
              <w:rFonts w:hint="eastAsia" w:ascii="Cambria Math" w:hAnsi="Cambria Math" w:eastAsia="宋体" w:cs="方正楷体_GB2312"/>
              <w:color w:val="231F20"/>
              <w:sz w:val="24"/>
              <w:szCs w:val="24"/>
            </w:rPr>
            <m:t>ε</m:t>
          </m:r>
        </m:oMath>
      </m:oMathPara>
    </w:p>
    <w:p w14:paraId="0713B3A3">
      <w:pPr>
        <w:keepNext w:val="0"/>
        <w:keepLines w:val="0"/>
        <w:widowControl w:val="0"/>
        <w:numPr>
          <w:ilvl w:val="0"/>
          <w:numId w:val="2"/>
        </w:numPr>
        <w:suppressLineNumbers w:val="0"/>
        <w:spacing w:before="0" w:beforeAutospacing="0" w:after="0" w:afterAutospacing="0"/>
        <w:ind w:left="0" w:right="0"/>
        <w:jc w:val="center"/>
        <w:rPr>
          <w:rFonts w:hint="eastAsia" w:ascii="黑体" w:hAnsi="黑体" w:eastAsia="黑体" w:cs="黑体"/>
          <w:kern w:val="2"/>
          <w:sz w:val="28"/>
          <w:szCs w:val="28"/>
        </w:rPr>
      </w:pPr>
      <w:r>
        <w:rPr>
          <w:rFonts w:hint="eastAsia" w:ascii="黑体" w:hAnsi="黑体" w:eastAsia="黑体" w:cs="黑体"/>
          <w:kern w:val="2"/>
          <w:sz w:val="28"/>
          <w:szCs w:val="28"/>
          <w:lang w:val="en-US" w:eastAsia="zh-CN" w:bidi="ar"/>
          <w14:ligatures w14:val="standardContextual"/>
        </w:rPr>
        <w:t>实证结果分析</w:t>
      </w:r>
    </w:p>
    <w:p w14:paraId="709465DF">
      <w:pPr>
        <w:keepNext w:val="0"/>
        <w:keepLines w:val="0"/>
        <w:widowControl w:val="0"/>
        <w:numPr>
          <w:ilvl w:val="0"/>
          <w:numId w:val="3"/>
        </w:numPr>
        <w:suppressLineNumbers w:val="0"/>
        <w:spacing w:before="0" w:beforeAutospacing="0" w:after="0" w:afterAutospacing="0"/>
        <w:ind w:left="420" w:leftChars="0" w:right="0" w:firstLine="0" w:firstLineChars="0"/>
        <w:jc w:val="both"/>
        <w:rPr>
          <w:rFonts w:hint="eastAsia" w:ascii="华文楷体" w:hAnsi="华文楷体" w:eastAsia="华文楷体" w:cs="华文楷体"/>
          <w:kern w:val="2"/>
          <w:sz w:val="24"/>
          <w:szCs w:val="24"/>
        </w:rPr>
      </w:pPr>
      <w:r>
        <w:rPr>
          <w:rFonts w:hint="eastAsia" w:ascii="华文楷体" w:hAnsi="华文楷体" w:eastAsia="华文楷体" w:cs="华文楷体"/>
          <w:kern w:val="2"/>
          <w:sz w:val="24"/>
          <w:szCs w:val="24"/>
          <w:lang w:val="en-US" w:eastAsia="zh-CN" w:bidi="ar"/>
          <w14:ligatures w14:val="standardContextual"/>
        </w:rPr>
        <w:t>基准回归结果分析</w:t>
      </w:r>
    </w:p>
    <w:p w14:paraId="28078503">
      <w:pPr>
        <w:keepNext w:val="0"/>
        <w:keepLines w:val="0"/>
        <w:widowControl w:val="0"/>
        <w:suppressLineNumbers w:val="0"/>
        <w:autoSpaceDE w:val="0"/>
        <w:autoSpaceDN/>
        <w:spacing w:before="0" w:beforeAutospacing="0" w:after="0" w:afterAutospacing="0"/>
        <w:ind w:left="0" w:leftChars="0" w:right="0" w:firstLine="480" w:firstLineChars="20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为了科学验证性别角色观念对生育意愿的影响，本研究利用软件Stata16.0对全样本进行OLS回归分析，结果见表2。</w:t>
      </w:r>
    </w:p>
    <w:p w14:paraId="46D2B34C">
      <w:pPr>
        <w:keepNext/>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表2 基准回归</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136"/>
        <w:gridCol w:w="1656"/>
        <w:gridCol w:w="1656"/>
        <w:gridCol w:w="1656"/>
        <w:gridCol w:w="1656"/>
      </w:tblGrid>
      <w:tr w14:paraId="205B1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4" w:space="0"/>
              <w:left w:val="nil"/>
              <w:bottom w:val="nil"/>
              <w:right w:val="nil"/>
            </w:tcBorders>
            <w:shd w:val="clear"/>
            <w:vAlign w:val="top"/>
          </w:tcPr>
          <w:p w14:paraId="4D607D82">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656" w:type="dxa"/>
            <w:tcBorders>
              <w:top w:val="single" w:color="auto" w:sz="4" w:space="0"/>
              <w:left w:val="nil"/>
              <w:bottom w:val="nil"/>
              <w:right w:val="nil"/>
            </w:tcBorders>
            <w:shd w:val="clear"/>
            <w:vAlign w:val="top"/>
          </w:tcPr>
          <w:p w14:paraId="7000BAE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w:t>
            </w:r>
          </w:p>
        </w:tc>
        <w:tc>
          <w:tcPr>
            <w:tcW w:w="1656" w:type="dxa"/>
            <w:tcBorders>
              <w:top w:val="single" w:color="auto" w:sz="4" w:space="0"/>
              <w:left w:val="nil"/>
              <w:bottom w:val="nil"/>
              <w:right w:val="nil"/>
            </w:tcBorders>
            <w:shd w:val="clear"/>
            <w:vAlign w:val="top"/>
          </w:tcPr>
          <w:p w14:paraId="186FB1BD">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w:t>
            </w:r>
          </w:p>
        </w:tc>
        <w:tc>
          <w:tcPr>
            <w:tcW w:w="1656" w:type="dxa"/>
            <w:tcBorders>
              <w:top w:val="single" w:color="auto" w:sz="4" w:space="0"/>
              <w:left w:val="nil"/>
              <w:bottom w:val="nil"/>
              <w:right w:val="nil"/>
            </w:tcBorders>
            <w:shd w:val="clear"/>
            <w:vAlign w:val="top"/>
          </w:tcPr>
          <w:p w14:paraId="1E27AE2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(3)</w:t>
            </w:r>
          </w:p>
        </w:tc>
        <w:tc>
          <w:tcPr>
            <w:tcW w:w="1656" w:type="dxa"/>
            <w:tcBorders>
              <w:top w:val="single" w:color="auto" w:sz="4" w:space="0"/>
              <w:left w:val="nil"/>
              <w:bottom w:val="nil"/>
              <w:right w:val="nil"/>
            </w:tcBorders>
            <w:shd w:val="clear"/>
            <w:vAlign w:val="top"/>
          </w:tcPr>
          <w:p w14:paraId="4FC03409">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(4)</w:t>
            </w:r>
          </w:p>
        </w:tc>
      </w:tr>
      <w:tr w14:paraId="09A24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7C667090">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74C26C7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人工智能学习素养</w:t>
            </w:r>
          </w:p>
        </w:tc>
        <w:tc>
          <w:tcPr>
            <w:tcW w:w="1656" w:type="dxa"/>
            <w:tcBorders>
              <w:top w:val="nil"/>
              <w:left w:val="nil"/>
              <w:bottom w:val="nil"/>
              <w:right w:val="nil"/>
            </w:tcBorders>
            <w:shd w:val="clear"/>
            <w:vAlign w:val="top"/>
          </w:tcPr>
          <w:p w14:paraId="78BE505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人工智能学习素养</w:t>
            </w:r>
          </w:p>
        </w:tc>
        <w:tc>
          <w:tcPr>
            <w:tcW w:w="1656" w:type="dxa"/>
            <w:tcBorders>
              <w:top w:val="nil"/>
              <w:left w:val="nil"/>
              <w:bottom w:val="nil"/>
              <w:right w:val="nil"/>
            </w:tcBorders>
            <w:shd w:val="clear"/>
            <w:vAlign w:val="top"/>
          </w:tcPr>
          <w:p w14:paraId="6D2EFD4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人工智能学习素养</w:t>
            </w:r>
          </w:p>
        </w:tc>
        <w:tc>
          <w:tcPr>
            <w:tcW w:w="1656" w:type="dxa"/>
            <w:tcBorders>
              <w:top w:val="nil"/>
              <w:left w:val="nil"/>
              <w:bottom w:val="nil"/>
              <w:right w:val="nil"/>
            </w:tcBorders>
            <w:shd w:val="clear"/>
            <w:vAlign w:val="top"/>
          </w:tcPr>
          <w:p w14:paraId="7E144B7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人工智能学习素养</w:t>
            </w:r>
          </w:p>
        </w:tc>
      </w:tr>
      <w:tr w14:paraId="26EB02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single" w:color="auto" w:sz="4" w:space="0"/>
              <w:left w:val="nil"/>
              <w:bottom w:val="nil"/>
              <w:right w:val="nil"/>
            </w:tcBorders>
            <w:shd w:val="clear"/>
            <w:vAlign w:val="top"/>
          </w:tcPr>
          <w:p w14:paraId="229B5FEF">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感知的重要他人影响</w:t>
            </w:r>
          </w:p>
        </w:tc>
        <w:tc>
          <w:tcPr>
            <w:tcW w:w="1656" w:type="dxa"/>
            <w:tcBorders>
              <w:top w:val="single" w:color="auto" w:sz="4" w:space="0"/>
              <w:left w:val="nil"/>
              <w:bottom w:val="nil"/>
              <w:right w:val="nil"/>
            </w:tcBorders>
            <w:shd w:val="clear"/>
            <w:vAlign w:val="top"/>
          </w:tcPr>
          <w:p w14:paraId="19F3950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0.437</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656" w:type="dxa"/>
            <w:tcBorders>
              <w:top w:val="single" w:color="auto" w:sz="4" w:space="0"/>
              <w:left w:val="nil"/>
              <w:bottom w:val="nil"/>
              <w:right w:val="nil"/>
            </w:tcBorders>
            <w:shd w:val="clear"/>
            <w:vAlign w:val="top"/>
          </w:tcPr>
          <w:p w14:paraId="785DDA3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0.437</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656" w:type="dxa"/>
            <w:tcBorders>
              <w:top w:val="single" w:color="auto" w:sz="4" w:space="0"/>
              <w:left w:val="nil"/>
              <w:bottom w:val="nil"/>
              <w:right w:val="nil"/>
            </w:tcBorders>
            <w:shd w:val="clear"/>
            <w:vAlign w:val="top"/>
          </w:tcPr>
          <w:p w14:paraId="2E4A7E8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0.437</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656" w:type="dxa"/>
            <w:tcBorders>
              <w:top w:val="single" w:color="auto" w:sz="4" w:space="0"/>
              <w:left w:val="nil"/>
              <w:bottom w:val="nil"/>
              <w:right w:val="nil"/>
            </w:tcBorders>
            <w:shd w:val="clear"/>
            <w:vAlign w:val="top"/>
          </w:tcPr>
          <w:p w14:paraId="62BAC25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r>
      <w:tr w14:paraId="147309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30BDBC87">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3102FB7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(0.038)</w:t>
            </w:r>
          </w:p>
        </w:tc>
        <w:tc>
          <w:tcPr>
            <w:tcW w:w="1656" w:type="dxa"/>
            <w:tcBorders>
              <w:top w:val="nil"/>
              <w:left w:val="nil"/>
              <w:bottom w:val="nil"/>
              <w:right w:val="nil"/>
            </w:tcBorders>
            <w:shd w:val="clear"/>
            <w:vAlign w:val="top"/>
          </w:tcPr>
          <w:p w14:paraId="3D80BDC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(0.041)</w:t>
            </w:r>
          </w:p>
        </w:tc>
        <w:tc>
          <w:tcPr>
            <w:tcW w:w="1656" w:type="dxa"/>
            <w:tcBorders>
              <w:top w:val="nil"/>
              <w:left w:val="nil"/>
              <w:bottom w:val="nil"/>
              <w:right w:val="nil"/>
            </w:tcBorders>
            <w:shd w:val="clear"/>
            <w:vAlign w:val="top"/>
          </w:tcPr>
          <w:p w14:paraId="3897BDF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(0.044)</w:t>
            </w:r>
          </w:p>
        </w:tc>
        <w:tc>
          <w:tcPr>
            <w:tcW w:w="1656" w:type="dxa"/>
            <w:tcBorders>
              <w:top w:val="nil"/>
              <w:left w:val="nil"/>
              <w:bottom w:val="nil"/>
              <w:right w:val="nil"/>
            </w:tcBorders>
            <w:shd w:val="clear"/>
            <w:vAlign w:val="top"/>
          </w:tcPr>
          <w:p w14:paraId="2514835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r>
      <w:tr w14:paraId="0136D0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5DA7D50A">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感知的家长态度行为</w:t>
            </w:r>
          </w:p>
        </w:tc>
        <w:tc>
          <w:tcPr>
            <w:tcW w:w="1656" w:type="dxa"/>
            <w:tcBorders>
              <w:top w:val="nil"/>
              <w:left w:val="nil"/>
              <w:bottom w:val="nil"/>
              <w:right w:val="nil"/>
            </w:tcBorders>
            <w:shd w:val="clear"/>
            <w:vAlign w:val="top"/>
          </w:tcPr>
          <w:p w14:paraId="0221D42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42581D0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20D3AA2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1E5E811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0.158</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7E805D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23B05388">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2137F939">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5A41806D">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7AA729B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44303DA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(0.028)</w:t>
            </w:r>
          </w:p>
        </w:tc>
      </w:tr>
      <w:tr w14:paraId="00586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shd w:val="clear"/>
            <w:vAlign w:val="top"/>
          </w:tcPr>
          <w:p w14:paraId="042C97B1">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感知的教师态度行为</w:t>
            </w:r>
          </w:p>
        </w:tc>
        <w:tc>
          <w:tcPr>
            <w:tcW w:w="1656" w:type="dxa"/>
            <w:tcBorders>
              <w:top w:val="nil"/>
              <w:left w:val="nil"/>
              <w:bottom w:val="nil"/>
              <w:right w:val="nil"/>
            </w:tcBorders>
            <w:shd w:val="clear"/>
            <w:vAlign w:val="top"/>
          </w:tcPr>
          <w:p w14:paraId="2B87EEB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2300FB9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42AEAADD">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5037790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0.128</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64A7D7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7F3F1693">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6DFF86C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71A7D97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065C5780">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7E3282D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(0.023)</w:t>
            </w:r>
          </w:p>
        </w:tc>
      </w:tr>
      <w:tr w14:paraId="5541EA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nil"/>
              <w:left w:val="nil"/>
              <w:bottom w:val="nil"/>
              <w:right w:val="nil"/>
            </w:tcBorders>
            <w:shd w:val="clear"/>
            <w:vAlign w:val="top"/>
          </w:tcPr>
          <w:p w14:paraId="0FBA16B0">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感知的同辈态度行为</w:t>
            </w:r>
          </w:p>
        </w:tc>
        <w:tc>
          <w:tcPr>
            <w:tcW w:w="1656" w:type="dxa"/>
            <w:tcBorders>
              <w:top w:val="nil"/>
              <w:left w:val="nil"/>
              <w:bottom w:val="nil"/>
              <w:right w:val="nil"/>
            </w:tcBorders>
            <w:shd w:val="clear"/>
            <w:vAlign w:val="top"/>
          </w:tcPr>
          <w:p w14:paraId="70469D70">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6356644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099143D9">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65CC910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0.160</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757C1E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2352BDC8">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064749F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5C50EFC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3BB7D750">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5505264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(0.034)</w:t>
            </w:r>
          </w:p>
        </w:tc>
      </w:tr>
      <w:tr w14:paraId="0514F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15BCC676">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常数项</w:t>
            </w:r>
          </w:p>
        </w:tc>
        <w:tc>
          <w:tcPr>
            <w:tcW w:w="1656" w:type="dxa"/>
            <w:tcBorders>
              <w:top w:val="nil"/>
              <w:left w:val="nil"/>
              <w:bottom w:val="nil"/>
              <w:right w:val="nil"/>
            </w:tcBorders>
            <w:shd w:val="clear"/>
            <w:vAlign w:val="top"/>
          </w:tcPr>
          <w:p w14:paraId="659199C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2.318</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656" w:type="dxa"/>
            <w:tcBorders>
              <w:top w:val="nil"/>
              <w:left w:val="nil"/>
              <w:bottom w:val="nil"/>
              <w:right w:val="nil"/>
            </w:tcBorders>
            <w:shd w:val="clear"/>
            <w:vAlign w:val="top"/>
          </w:tcPr>
          <w:p w14:paraId="22CECB5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2.334</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656" w:type="dxa"/>
            <w:tcBorders>
              <w:top w:val="nil"/>
              <w:left w:val="nil"/>
              <w:bottom w:val="nil"/>
              <w:right w:val="nil"/>
            </w:tcBorders>
            <w:shd w:val="clear"/>
            <w:vAlign w:val="top"/>
          </w:tcPr>
          <w:p w14:paraId="47B3AA2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2.193</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656" w:type="dxa"/>
            <w:tcBorders>
              <w:top w:val="nil"/>
              <w:left w:val="nil"/>
              <w:bottom w:val="nil"/>
              <w:right w:val="nil"/>
            </w:tcBorders>
            <w:shd w:val="clear"/>
            <w:vAlign w:val="top"/>
          </w:tcPr>
          <w:p w14:paraId="501BC50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2.161</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52A18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43A4A92F">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656" w:type="dxa"/>
            <w:tcBorders>
              <w:top w:val="nil"/>
              <w:left w:val="nil"/>
              <w:bottom w:val="nil"/>
              <w:right w:val="nil"/>
            </w:tcBorders>
            <w:shd w:val="clear"/>
            <w:vAlign w:val="top"/>
          </w:tcPr>
          <w:p w14:paraId="0763C8F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(0.121)</w:t>
            </w:r>
          </w:p>
        </w:tc>
        <w:tc>
          <w:tcPr>
            <w:tcW w:w="1656" w:type="dxa"/>
            <w:tcBorders>
              <w:top w:val="nil"/>
              <w:left w:val="nil"/>
              <w:bottom w:val="nil"/>
              <w:right w:val="nil"/>
            </w:tcBorders>
            <w:shd w:val="clear"/>
            <w:vAlign w:val="top"/>
          </w:tcPr>
          <w:p w14:paraId="3F54D0B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(0.127)</w:t>
            </w:r>
          </w:p>
        </w:tc>
        <w:tc>
          <w:tcPr>
            <w:tcW w:w="1656" w:type="dxa"/>
            <w:tcBorders>
              <w:top w:val="nil"/>
              <w:left w:val="nil"/>
              <w:bottom w:val="nil"/>
              <w:right w:val="nil"/>
            </w:tcBorders>
            <w:shd w:val="clear"/>
            <w:vAlign w:val="top"/>
          </w:tcPr>
          <w:p w14:paraId="2D5BB45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(0.148)</w:t>
            </w:r>
          </w:p>
        </w:tc>
        <w:tc>
          <w:tcPr>
            <w:tcW w:w="1656" w:type="dxa"/>
            <w:tcBorders>
              <w:top w:val="nil"/>
              <w:left w:val="nil"/>
              <w:bottom w:val="nil"/>
              <w:right w:val="nil"/>
            </w:tcBorders>
            <w:shd w:val="clear"/>
            <w:vAlign w:val="top"/>
          </w:tcPr>
          <w:p w14:paraId="0A53DC5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(0.161)</w:t>
            </w:r>
          </w:p>
        </w:tc>
      </w:tr>
      <w:tr w14:paraId="44428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0A5A040C">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个体层面控制变量</w:t>
            </w:r>
          </w:p>
        </w:tc>
        <w:tc>
          <w:tcPr>
            <w:tcW w:w="1656" w:type="dxa"/>
            <w:tcBorders>
              <w:top w:val="nil"/>
              <w:left w:val="nil"/>
              <w:bottom w:val="nil"/>
              <w:right w:val="nil"/>
            </w:tcBorders>
            <w:shd w:val="clear"/>
            <w:vAlign w:val="top"/>
          </w:tcPr>
          <w:p w14:paraId="288162AD">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No</w:t>
            </w:r>
          </w:p>
        </w:tc>
        <w:tc>
          <w:tcPr>
            <w:tcW w:w="1656" w:type="dxa"/>
            <w:tcBorders>
              <w:top w:val="nil"/>
              <w:left w:val="nil"/>
              <w:bottom w:val="nil"/>
              <w:right w:val="nil"/>
            </w:tcBorders>
            <w:shd w:val="clear"/>
            <w:vAlign w:val="top"/>
          </w:tcPr>
          <w:p w14:paraId="120B4BD0">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656" w:type="dxa"/>
            <w:tcBorders>
              <w:top w:val="nil"/>
              <w:left w:val="nil"/>
              <w:bottom w:val="nil"/>
              <w:right w:val="nil"/>
            </w:tcBorders>
            <w:shd w:val="clear"/>
            <w:vAlign w:val="top"/>
          </w:tcPr>
          <w:p w14:paraId="1A7720E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656" w:type="dxa"/>
            <w:tcBorders>
              <w:top w:val="nil"/>
              <w:left w:val="nil"/>
              <w:bottom w:val="nil"/>
              <w:right w:val="nil"/>
            </w:tcBorders>
            <w:shd w:val="clear"/>
            <w:vAlign w:val="top"/>
          </w:tcPr>
          <w:p w14:paraId="7B2DD2C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r>
      <w:tr w14:paraId="75B73F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single" w:color="auto" w:sz="4" w:space="0"/>
              <w:right w:val="nil"/>
            </w:tcBorders>
            <w:shd w:val="clear"/>
            <w:vAlign w:val="top"/>
          </w:tcPr>
          <w:p w14:paraId="5FA5D785">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学校层面控制变量</w:t>
            </w:r>
          </w:p>
        </w:tc>
        <w:tc>
          <w:tcPr>
            <w:tcW w:w="1656" w:type="dxa"/>
            <w:tcBorders>
              <w:top w:val="nil"/>
              <w:left w:val="nil"/>
              <w:bottom w:val="single" w:color="auto" w:sz="4" w:space="0"/>
              <w:right w:val="nil"/>
            </w:tcBorders>
            <w:shd w:val="clear"/>
            <w:vAlign w:val="top"/>
          </w:tcPr>
          <w:p w14:paraId="1F0B925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No</w:t>
            </w:r>
          </w:p>
        </w:tc>
        <w:tc>
          <w:tcPr>
            <w:tcW w:w="1656" w:type="dxa"/>
            <w:tcBorders>
              <w:top w:val="nil"/>
              <w:left w:val="nil"/>
              <w:bottom w:val="single" w:color="auto" w:sz="4" w:space="0"/>
              <w:right w:val="nil"/>
            </w:tcBorders>
            <w:shd w:val="clear"/>
            <w:vAlign w:val="top"/>
          </w:tcPr>
          <w:p w14:paraId="23A56A7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No</w:t>
            </w:r>
          </w:p>
        </w:tc>
        <w:tc>
          <w:tcPr>
            <w:tcW w:w="1656" w:type="dxa"/>
            <w:tcBorders>
              <w:top w:val="nil"/>
              <w:left w:val="nil"/>
              <w:bottom w:val="single" w:color="auto" w:sz="4" w:space="0"/>
              <w:right w:val="nil"/>
            </w:tcBorders>
            <w:shd w:val="clear"/>
            <w:vAlign w:val="top"/>
          </w:tcPr>
          <w:p w14:paraId="645BDEB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656" w:type="dxa"/>
            <w:tcBorders>
              <w:top w:val="nil"/>
              <w:left w:val="nil"/>
              <w:bottom w:val="single" w:color="auto" w:sz="4" w:space="0"/>
              <w:right w:val="nil"/>
            </w:tcBorders>
            <w:shd w:val="clear"/>
            <w:vAlign w:val="top"/>
          </w:tcPr>
          <w:p w14:paraId="0CFD0F5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r>
      <w:tr w14:paraId="0346CF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36" w:type="dxa"/>
            <w:tcBorders>
              <w:top w:val="single" w:color="auto" w:sz="4" w:space="0"/>
              <w:left w:val="nil"/>
              <w:bottom w:val="nil"/>
              <w:right w:val="nil"/>
            </w:tcBorders>
            <w:shd w:val="clear"/>
            <w:vAlign w:val="top"/>
          </w:tcPr>
          <w:p w14:paraId="7CC1E81F">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样本量</w:t>
            </w:r>
          </w:p>
        </w:tc>
        <w:tc>
          <w:tcPr>
            <w:tcW w:w="1656" w:type="dxa"/>
            <w:tcBorders>
              <w:top w:val="single" w:color="auto" w:sz="4" w:space="0"/>
              <w:left w:val="nil"/>
              <w:bottom w:val="nil"/>
              <w:right w:val="nil"/>
            </w:tcBorders>
            <w:shd w:val="clear"/>
            <w:vAlign w:val="top"/>
          </w:tcPr>
          <w:p w14:paraId="1B0BDE8A">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1798.000</w:t>
            </w:r>
          </w:p>
        </w:tc>
        <w:tc>
          <w:tcPr>
            <w:tcW w:w="1656" w:type="dxa"/>
            <w:tcBorders>
              <w:top w:val="single" w:color="auto" w:sz="4" w:space="0"/>
              <w:left w:val="nil"/>
              <w:bottom w:val="nil"/>
              <w:right w:val="nil"/>
            </w:tcBorders>
            <w:shd w:val="clear"/>
            <w:vAlign w:val="top"/>
          </w:tcPr>
          <w:p w14:paraId="04B6204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1278.000</w:t>
            </w:r>
          </w:p>
        </w:tc>
        <w:tc>
          <w:tcPr>
            <w:tcW w:w="1656" w:type="dxa"/>
            <w:tcBorders>
              <w:top w:val="single" w:color="auto" w:sz="4" w:space="0"/>
              <w:left w:val="nil"/>
              <w:bottom w:val="nil"/>
              <w:right w:val="nil"/>
            </w:tcBorders>
            <w:shd w:val="clear"/>
            <w:vAlign w:val="top"/>
          </w:tcPr>
          <w:p w14:paraId="21271B9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1276.000</w:t>
            </w:r>
          </w:p>
        </w:tc>
        <w:tc>
          <w:tcPr>
            <w:tcW w:w="1656" w:type="dxa"/>
            <w:tcBorders>
              <w:top w:val="single" w:color="auto" w:sz="4" w:space="0"/>
              <w:left w:val="nil"/>
              <w:bottom w:val="nil"/>
              <w:right w:val="nil"/>
            </w:tcBorders>
            <w:shd w:val="clear"/>
            <w:vAlign w:val="top"/>
          </w:tcPr>
          <w:p w14:paraId="5F36C17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1271.000</w:t>
            </w:r>
          </w:p>
        </w:tc>
      </w:tr>
      <w:tr w14:paraId="6F56AA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single" w:color="auto" w:sz="4" w:space="0"/>
              <w:right w:val="nil"/>
            </w:tcBorders>
            <w:shd w:val="clear"/>
            <w:vAlign w:val="top"/>
          </w:tcPr>
          <w:p w14:paraId="40FC897A">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拟合优度</w:t>
            </w:r>
          </w:p>
        </w:tc>
        <w:tc>
          <w:tcPr>
            <w:tcW w:w="1656" w:type="dxa"/>
            <w:tcBorders>
              <w:top w:val="nil"/>
              <w:left w:val="nil"/>
              <w:bottom w:val="single" w:color="auto" w:sz="4" w:space="0"/>
              <w:right w:val="nil"/>
            </w:tcBorders>
            <w:shd w:val="clear"/>
            <w:vAlign w:val="top"/>
          </w:tcPr>
          <w:p w14:paraId="6C020DA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0.230</w:t>
            </w:r>
          </w:p>
        </w:tc>
        <w:tc>
          <w:tcPr>
            <w:tcW w:w="1656" w:type="dxa"/>
            <w:tcBorders>
              <w:top w:val="nil"/>
              <w:left w:val="nil"/>
              <w:bottom w:val="single" w:color="auto" w:sz="4" w:space="0"/>
              <w:right w:val="nil"/>
            </w:tcBorders>
            <w:shd w:val="clear"/>
            <w:vAlign w:val="top"/>
          </w:tcPr>
          <w:p w14:paraId="74331AE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0.244</w:t>
            </w:r>
          </w:p>
        </w:tc>
        <w:tc>
          <w:tcPr>
            <w:tcW w:w="1656" w:type="dxa"/>
            <w:tcBorders>
              <w:top w:val="nil"/>
              <w:left w:val="nil"/>
              <w:bottom w:val="single" w:color="auto" w:sz="4" w:space="0"/>
              <w:right w:val="nil"/>
            </w:tcBorders>
            <w:shd w:val="clear"/>
            <w:vAlign w:val="top"/>
          </w:tcPr>
          <w:p w14:paraId="67DBDD5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0.270</w:t>
            </w:r>
          </w:p>
        </w:tc>
        <w:tc>
          <w:tcPr>
            <w:tcW w:w="1656" w:type="dxa"/>
            <w:tcBorders>
              <w:top w:val="nil"/>
              <w:left w:val="nil"/>
              <w:bottom w:val="single" w:color="auto" w:sz="4" w:space="0"/>
              <w:right w:val="nil"/>
            </w:tcBorders>
            <w:shd w:val="clear"/>
            <w:vAlign w:val="top"/>
          </w:tcPr>
          <w:p w14:paraId="2DA148C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0.278</w:t>
            </w:r>
          </w:p>
        </w:tc>
      </w:tr>
    </w:tbl>
    <w:p w14:paraId="34C3CC2A">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Standard errors in parentheses</w:t>
      </w:r>
    </w:p>
    <w:p w14:paraId="5F7FAEE2">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0.1, </w:t>
      </w: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0.05, </w:t>
      </w: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0.01</w:t>
      </w:r>
    </w:p>
    <w:p w14:paraId="27F672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0" w:leftChars="0" w:right="0" w:firstLine="480" w:firstLineChars="200"/>
        <w:jc w:val="both"/>
        <w:textAlignment w:val="auto"/>
        <w:rPr>
          <w:rFonts w:hint="eastAsia"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模型1为仅包含核心解释变量的基础回归模型，未纳入任何控制变量。结果显示，感知的重要他人影响对人工智能学习素养的回归系数为0.437，且在1%的统计水平上显著（p&lt;0.01），表明在未考虑其他干扰因素的情况下，感知的重要他人影响对人工智能学习素养具有显著的正向影响，初步验证了核心研究假设的合理性。此时模型的调整后R²为0.230，说明仅AI学习氛围这一变量就能解释人工智能学习素养23.0%的变异程度。</w:t>
      </w:r>
    </w:p>
    <w:p w14:paraId="2EF672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0" w:leftChars="0" w:right="0" w:firstLine="480" w:firstLineChars="200"/>
        <w:jc w:val="both"/>
        <w:textAlignment w:val="auto"/>
        <w:rPr>
          <w:rFonts w:hint="eastAsia"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模型2在模型1的基础上纳入了个体层面控制变量（性别、年级、户口、父母最高受教育水平、班级排名等），以排除个体特征差异对实证结果的干扰。从回归结果来看，核心解释变量AI学习氛围的系数为0.437，仍保持1%水平的统计显著性（p&lt;0.01），剔除该部分干扰后，正向影响的核心结论未发生改变。模型2的调整后R²提升至0.244，较模型1增加了0.014，说明个体层面控制变量的纳入显著提升了模型的解释力，个体特征是影响人工智能学习素养的重要变量。</w:t>
      </w:r>
    </w:p>
    <w:p w14:paraId="4C95D9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0" w:leftChars="0" w:right="0" w:firstLine="480" w:firstLineChars="200"/>
        <w:jc w:val="both"/>
        <w:textAlignment w:val="auto"/>
        <w:rPr>
          <w:rFonts w:hint="eastAsia"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模型3在模型2的基础上进一步纳入学校层面控制变量，以控制学校层面的结构性特征对回归结果的潜在影响。实证结果显示，感知的重要他人影响对人工智能学习素养的回归系数为0.437，依旧在1%的统计水平上显著（p&lt;0.01），正向影响关系持续稳健。模型3的调整后R²为0.270，较模型2提升0.026，表明学校层面控制变量同样对人工智能学习素养具有解释力，且个体与学校层面控制变量的共同纳入使模型解释力持续优化。</w:t>
      </w:r>
    </w:p>
    <w:p w14:paraId="022E7C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0" w:leftChars="0" w:right="0" w:firstLine="480" w:firstLineChars="200"/>
        <w:jc w:val="both"/>
        <w:textAlignment w:val="auto"/>
        <w:rPr>
          <w:rFonts w:hint="eastAsia"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模型4为细分维度回归模型，该模型在模型3的基础上，将核心解释变量从整体的“感知的重要他人影响”替换为其三个细分维度——感知的家长态度行为、感知的教师态度行为与感知的同辈态度行为，目的是检验不同类型的重要他人的态度对人工智能学习素养的差异化影响。结果显示，感知的家长态度行为（系数0.158）、感知的教师态度行为（系数0.128）与感知的同辈态度行为（系数0.160）的回归系数均为正值，且均通过1%水平的统计显著性检验（p&lt;0.01），表明三个细分维度均对人工智能学习素养具有显著正向影响。从系数大小来看，感知的同辈态度行为的影响效应相对最强，其次为感知的家长态度行为，感知的教师态度行为的效应相对较弱，这一结果揭示了同伴互动在学生人工智能素养培育中的重要作用，同时也凸显了家庭环境与学校教育的基础支撑价值。模型4的调整后R²达到0.278，较模型3提升0.007，说明将核心解释变量细分后，模型对人工智能学习素养变异的解释能力进一步增强，且各细分维度的影响机制具有独立的统计意义。</w:t>
      </w:r>
    </w:p>
    <w:p w14:paraId="4B0CF8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0" w:leftChars="0" w:right="0" w:firstLine="480" w:firstLineChars="200"/>
        <w:jc w:val="both"/>
        <w:textAlignment w:val="auto"/>
        <w:rPr>
          <w:rFonts w:hint="eastAsia"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综合四个模型的实证结果可见，无论是整体维度还是细分维度，感知的重要他人影响对人工智能学习素养的正向影响均在1%的统计水平上显著，且该影响关系在逐步纳入个体与学校层面控制变量后依然保持稳健；从模型拟合优度来看，随着控制变量的逐步加入以及核心解释变量的维度细分，调整后R²从0.230逐步提升至0.278，模型解释力持续优化，充分验证了回归模型设定的合理性与实证结果的可靠性。初步验证了假设 1，假设1.3，假设1.2，假设1.3，即感知到的重要他人态度行为显著提升中小学生人工智能学习素养。</w:t>
      </w:r>
    </w:p>
    <w:p w14:paraId="485B7D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0" w:leftChars="0" w:right="0" w:firstLine="480" w:firstLineChars="200"/>
        <w:jc w:val="both"/>
        <w:textAlignment w:val="auto"/>
        <w:rPr>
          <w:rFonts w:hint="default" w:ascii="宋体" w:hAnsi="宋体" w:eastAsia="宋体" w:cs="宋体"/>
          <w:kern w:val="2"/>
          <w:sz w:val="24"/>
          <w:szCs w:val="24"/>
          <w:lang w:val="en-US" w:eastAsia="zh-CN" w:bidi="ar"/>
          <w14:ligatures w14:val="standardContextual"/>
        </w:rPr>
      </w:pPr>
    </w:p>
    <w:p w14:paraId="101FBC16">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276" w:lineRule="auto"/>
        <w:ind w:left="420" w:leftChars="0" w:right="0" w:firstLine="0" w:firstLineChars="0"/>
        <w:jc w:val="both"/>
        <w:textAlignment w:val="auto"/>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影响机制分析</w:t>
      </w:r>
    </w:p>
    <w:p w14:paraId="1842BFD4">
      <w:pPr>
        <w:keepNext w:val="0"/>
        <w:keepLines w:val="0"/>
        <w:pageBreakBefore w:val="0"/>
        <w:widowControl w:val="0"/>
        <w:numPr>
          <w:numId w:val="0"/>
        </w:numPr>
        <w:suppressLineNumbers w:val="0"/>
        <w:kinsoku/>
        <w:wordWrap/>
        <w:overflowPunct/>
        <w:topLinePunct w:val="0"/>
        <w:autoSpaceDE/>
        <w:autoSpaceDN/>
        <w:bidi w:val="0"/>
        <w:adjustRightInd/>
        <w:snapToGrid/>
        <w:spacing w:before="0" w:beforeAutospacing="0" w:after="0" w:afterAutospacing="0" w:line="276" w:lineRule="auto"/>
        <w:ind w:left="0" w:leftChars="0" w:right="0" w:rightChars="0" w:firstLine="480" w:firstLineChars="200"/>
        <w:jc w:val="both"/>
        <w:textAlignment w:val="auto"/>
        <w:rPr>
          <w:rFonts w:hint="eastAsia" w:ascii="宋体" w:hAnsi="宋体" w:eastAsia="宋体" w:cs="宋体"/>
          <w:kern w:val="2"/>
          <w:sz w:val="24"/>
          <w:szCs w:val="24"/>
          <w:lang w:val="en-US" w:eastAsia="zh-CN"/>
        </w:rPr>
      </w:pPr>
      <w:r>
        <w:rPr>
          <w:rFonts w:hint="eastAsia" w:ascii="宋体" w:hAnsi="宋体" w:eastAsia="宋体" w:cs="宋体"/>
          <w:kern w:val="2"/>
          <w:sz w:val="24"/>
          <w:szCs w:val="24"/>
          <w:lang w:val="en-US" w:eastAsia="zh-CN"/>
        </w:rPr>
        <w:t>为明确感知的重要他人影响对人工智能学习素养的作用机制，本研究引入学习效能感作为中介变量进行检验，结果如下：</w:t>
      </w:r>
    </w:p>
    <w:p w14:paraId="72742AC5">
      <w:pPr>
        <w:keepNext w:val="0"/>
        <w:keepLines w:val="0"/>
        <w:pageBreakBefore w:val="0"/>
        <w:widowControl w:val="0"/>
        <w:numPr>
          <w:numId w:val="0"/>
        </w:numPr>
        <w:suppressLineNumbers w:val="0"/>
        <w:kinsoku/>
        <w:wordWrap/>
        <w:overflowPunct/>
        <w:topLinePunct w:val="0"/>
        <w:autoSpaceDE/>
        <w:autoSpaceDN/>
        <w:bidi w:val="0"/>
        <w:adjustRightInd/>
        <w:snapToGrid/>
        <w:spacing w:before="0" w:beforeAutospacing="0" w:after="0" w:afterAutospacing="0"/>
        <w:ind w:left="0" w:leftChars="0" w:right="0" w:rightChars="0" w:firstLine="480" w:firstLineChars="200"/>
        <w:jc w:val="both"/>
        <w:textAlignment w:val="auto"/>
        <w:rPr>
          <w:rFonts w:hint="default" w:ascii="宋体" w:hAnsi="宋体" w:eastAsia="宋体" w:cs="宋体"/>
          <w:kern w:val="2"/>
          <w:sz w:val="24"/>
          <w:szCs w:val="24"/>
          <w:lang w:val="en-US" w:eastAsia="zh-CN"/>
        </w:rPr>
      </w:pPr>
    </w:p>
    <w:p w14:paraId="3E7DE325">
      <w:pPr>
        <w:keepNext/>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表3:机制分析</w:t>
      </w:r>
    </w:p>
    <w:tbl>
      <w:tblPr>
        <w:tblStyle w:val="18"/>
        <w:tblW w:w="876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136"/>
        <w:gridCol w:w="2304"/>
        <w:gridCol w:w="2033"/>
        <w:gridCol w:w="2292"/>
      </w:tblGrid>
      <w:tr w14:paraId="34D515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single" w:color="auto" w:sz="4" w:space="0"/>
              <w:left w:val="nil"/>
              <w:bottom w:val="nil"/>
              <w:right w:val="nil"/>
            </w:tcBorders>
            <w:shd w:val="clear"/>
            <w:vAlign w:val="top"/>
          </w:tcPr>
          <w:p w14:paraId="382EC24A">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2304" w:type="dxa"/>
            <w:tcBorders>
              <w:top w:val="single" w:color="auto" w:sz="4" w:space="0"/>
              <w:left w:val="nil"/>
              <w:bottom w:val="nil"/>
              <w:right w:val="nil"/>
            </w:tcBorders>
            <w:shd w:val="clear"/>
            <w:vAlign w:val="top"/>
          </w:tcPr>
          <w:p w14:paraId="1A13324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w:t>
            </w:r>
          </w:p>
        </w:tc>
        <w:tc>
          <w:tcPr>
            <w:tcW w:w="2033" w:type="dxa"/>
            <w:tcBorders>
              <w:top w:val="single" w:color="auto" w:sz="4" w:space="0"/>
              <w:left w:val="nil"/>
              <w:bottom w:val="nil"/>
              <w:right w:val="nil"/>
            </w:tcBorders>
            <w:shd w:val="clear"/>
            <w:vAlign w:val="top"/>
          </w:tcPr>
          <w:p w14:paraId="3E88035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w:t>
            </w:r>
          </w:p>
        </w:tc>
        <w:tc>
          <w:tcPr>
            <w:tcW w:w="2292" w:type="dxa"/>
            <w:tcBorders>
              <w:top w:val="single" w:color="auto" w:sz="4" w:space="0"/>
              <w:left w:val="nil"/>
              <w:bottom w:val="nil"/>
              <w:right w:val="nil"/>
            </w:tcBorders>
            <w:shd w:val="clear"/>
            <w:vAlign w:val="top"/>
          </w:tcPr>
          <w:p w14:paraId="5FD2D92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(3)</w:t>
            </w:r>
          </w:p>
        </w:tc>
      </w:tr>
      <w:tr w14:paraId="5F968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05F1919F">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2304" w:type="dxa"/>
            <w:tcBorders>
              <w:top w:val="nil"/>
              <w:left w:val="nil"/>
              <w:bottom w:val="nil"/>
              <w:right w:val="nil"/>
            </w:tcBorders>
            <w:shd w:val="clear"/>
            <w:vAlign w:val="top"/>
          </w:tcPr>
          <w:p w14:paraId="5C9EF95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人工智能学习素养</w:t>
            </w:r>
          </w:p>
        </w:tc>
        <w:tc>
          <w:tcPr>
            <w:tcW w:w="2033" w:type="dxa"/>
            <w:tcBorders>
              <w:top w:val="nil"/>
              <w:left w:val="nil"/>
              <w:bottom w:val="nil"/>
              <w:right w:val="nil"/>
            </w:tcBorders>
            <w:shd w:val="clear"/>
            <w:vAlign w:val="top"/>
          </w:tcPr>
          <w:p w14:paraId="3B09680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学习效能感</w:t>
            </w:r>
          </w:p>
        </w:tc>
        <w:tc>
          <w:tcPr>
            <w:tcW w:w="2292" w:type="dxa"/>
            <w:tcBorders>
              <w:top w:val="nil"/>
              <w:left w:val="nil"/>
              <w:bottom w:val="nil"/>
              <w:right w:val="nil"/>
            </w:tcBorders>
            <w:shd w:val="clear"/>
            <w:vAlign w:val="top"/>
          </w:tcPr>
          <w:p w14:paraId="652BD4E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人工智能学习素养</w:t>
            </w:r>
          </w:p>
        </w:tc>
      </w:tr>
      <w:tr w14:paraId="2694C3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single" w:color="auto" w:sz="4" w:space="0"/>
              <w:left w:val="nil"/>
              <w:bottom w:val="nil"/>
              <w:right w:val="nil"/>
            </w:tcBorders>
            <w:shd w:val="clear"/>
            <w:vAlign w:val="top"/>
          </w:tcPr>
          <w:p w14:paraId="1DDC5A01">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感知的重要他人影响</w:t>
            </w:r>
          </w:p>
        </w:tc>
        <w:tc>
          <w:tcPr>
            <w:tcW w:w="2304" w:type="dxa"/>
            <w:tcBorders>
              <w:top w:val="single" w:color="auto" w:sz="4" w:space="0"/>
              <w:left w:val="nil"/>
              <w:bottom w:val="nil"/>
              <w:right w:val="nil"/>
            </w:tcBorders>
            <w:shd w:val="clear"/>
            <w:vAlign w:val="top"/>
          </w:tcPr>
          <w:p w14:paraId="35A7789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0.437</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2033" w:type="dxa"/>
            <w:tcBorders>
              <w:top w:val="single" w:color="auto" w:sz="4" w:space="0"/>
              <w:left w:val="nil"/>
              <w:bottom w:val="nil"/>
              <w:right w:val="nil"/>
            </w:tcBorders>
            <w:shd w:val="clear"/>
            <w:vAlign w:val="top"/>
          </w:tcPr>
          <w:p w14:paraId="32881EC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0.230</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2292" w:type="dxa"/>
            <w:tcBorders>
              <w:top w:val="single" w:color="auto" w:sz="4" w:space="0"/>
              <w:left w:val="nil"/>
              <w:bottom w:val="nil"/>
              <w:right w:val="nil"/>
            </w:tcBorders>
            <w:shd w:val="clear"/>
            <w:vAlign w:val="top"/>
          </w:tcPr>
          <w:p w14:paraId="7BDDCE1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0.373</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056121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12A7E3F9">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2304" w:type="dxa"/>
            <w:tcBorders>
              <w:top w:val="nil"/>
              <w:left w:val="nil"/>
              <w:bottom w:val="nil"/>
              <w:right w:val="nil"/>
            </w:tcBorders>
            <w:shd w:val="clear"/>
            <w:vAlign w:val="top"/>
          </w:tcPr>
          <w:p w14:paraId="4418FBD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(0.044)</w:t>
            </w:r>
          </w:p>
        </w:tc>
        <w:tc>
          <w:tcPr>
            <w:tcW w:w="2033" w:type="dxa"/>
            <w:tcBorders>
              <w:top w:val="nil"/>
              <w:left w:val="nil"/>
              <w:bottom w:val="nil"/>
              <w:right w:val="nil"/>
            </w:tcBorders>
            <w:shd w:val="clear"/>
            <w:vAlign w:val="top"/>
          </w:tcPr>
          <w:p w14:paraId="6CDE567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(0.038)</w:t>
            </w:r>
          </w:p>
        </w:tc>
        <w:tc>
          <w:tcPr>
            <w:tcW w:w="2292" w:type="dxa"/>
            <w:tcBorders>
              <w:top w:val="nil"/>
              <w:left w:val="nil"/>
              <w:bottom w:val="nil"/>
              <w:right w:val="nil"/>
            </w:tcBorders>
            <w:shd w:val="clear"/>
            <w:vAlign w:val="top"/>
          </w:tcPr>
          <w:p w14:paraId="46F783A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(0.038)</w:t>
            </w:r>
          </w:p>
        </w:tc>
      </w:tr>
      <w:tr w14:paraId="715688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09BC7DD9">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学习效能感</w:t>
            </w:r>
          </w:p>
        </w:tc>
        <w:tc>
          <w:tcPr>
            <w:tcW w:w="2304" w:type="dxa"/>
            <w:tcBorders>
              <w:top w:val="nil"/>
              <w:left w:val="nil"/>
              <w:bottom w:val="nil"/>
              <w:right w:val="nil"/>
            </w:tcBorders>
            <w:shd w:val="clear"/>
            <w:vAlign w:val="top"/>
          </w:tcPr>
          <w:p w14:paraId="49BA6ED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2033" w:type="dxa"/>
            <w:tcBorders>
              <w:top w:val="nil"/>
              <w:left w:val="nil"/>
              <w:bottom w:val="nil"/>
              <w:right w:val="nil"/>
            </w:tcBorders>
            <w:shd w:val="clear"/>
            <w:vAlign w:val="top"/>
          </w:tcPr>
          <w:p w14:paraId="5865D95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2292" w:type="dxa"/>
            <w:tcBorders>
              <w:top w:val="nil"/>
              <w:left w:val="nil"/>
              <w:bottom w:val="nil"/>
              <w:right w:val="nil"/>
            </w:tcBorders>
            <w:shd w:val="clear"/>
            <w:vAlign w:val="top"/>
          </w:tcPr>
          <w:p w14:paraId="332310FA">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0.281</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5E0831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1CA109FA">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2304" w:type="dxa"/>
            <w:tcBorders>
              <w:top w:val="nil"/>
              <w:left w:val="nil"/>
              <w:bottom w:val="nil"/>
              <w:right w:val="nil"/>
            </w:tcBorders>
            <w:shd w:val="clear"/>
            <w:vAlign w:val="top"/>
          </w:tcPr>
          <w:p w14:paraId="04A6374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2033" w:type="dxa"/>
            <w:tcBorders>
              <w:top w:val="nil"/>
              <w:left w:val="nil"/>
              <w:bottom w:val="nil"/>
              <w:right w:val="nil"/>
            </w:tcBorders>
            <w:shd w:val="clear"/>
            <w:vAlign w:val="top"/>
          </w:tcPr>
          <w:p w14:paraId="1FB6CAC9">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p>
        </w:tc>
        <w:tc>
          <w:tcPr>
            <w:tcW w:w="2292" w:type="dxa"/>
            <w:tcBorders>
              <w:top w:val="nil"/>
              <w:left w:val="nil"/>
              <w:bottom w:val="nil"/>
              <w:right w:val="nil"/>
            </w:tcBorders>
            <w:shd w:val="clear"/>
            <w:vAlign w:val="top"/>
          </w:tcPr>
          <w:p w14:paraId="285A8E9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(0.032)</w:t>
            </w:r>
          </w:p>
        </w:tc>
      </w:tr>
      <w:tr w14:paraId="14D45F6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36197A37">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常数项</w:t>
            </w:r>
          </w:p>
        </w:tc>
        <w:tc>
          <w:tcPr>
            <w:tcW w:w="2304" w:type="dxa"/>
            <w:tcBorders>
              <w:top w:val="nil"/>
              <w:left w:val="nil"/>
              <w:bottom w:val="nil"/>
              <w:right w:val="nil"/>
            </w:tcBorders>
            <w:shd w:val="clear"/>
            <w:vAlign w:val="top"/>
          </w:tcPr>
          <w:p w14:paraId="50F2040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2.193</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2033" w:type="dxa"/>
            <w:tcBorders>
              <w:top w:val="nil"/>
              <w:left w:val="nil"/>
              <w:bottom w:val="nil"/>
              <w:right w:val="nil"/>
            </w:tcBorders>
            <w:shd w:val="clear"/>
            <w:vAlign w:val="top"/>
          </w:tcPr>
          <w:p w14:paraId="52BE426A">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2.854</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2292" w:type="dxa"/>
            <w:tcBorders>
              <w:top w:val="nil"/>
              <w:left w:val="nil"/>
              <w:bottom w:val="nil"/>
              <w:right w:val="nil"/>
            </w:tcBorders>
            <w:shd w:val="clear"/>
            <w:vAlign w:val="top"/>
          </w:tcPr>
          <w:p w14:paraId="63A8363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1.390</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77B88D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7B54939E">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2304" w:type="dxa"/>
            <w:tcBorders>
              <w:top w:val="nil"/>
              <w:left w:val="nil"/>
              <w:bottom w:val="nil"/>
              <w:right w:val="nil"/>
            </w:tcBorders>
            <w:shd w:val="clear"/>
            <w:vAlign w:val="top"/>
          </w:tcPr>
          <w:p w14:paraId="13A5A99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(0.148)</w:t>
            </w:r>
          </w:p>
        </w:tc>
        <w:tc>
          <w:tcPr>
            <w:tcW w:w="2033" w:type="dxa"/>
            <w:tcBorders>
              <w:top w:val="nil"/>
              <w:left w:val="nil"/>
              <w:bottom w:val="nil"/>
              <w:right w:val="nil"/>
            </w:tcBorders>
            <w:shd w:val="clear"/>
            <w:vAlign w:val="top"/>
          </w:tcPr>
          <w:p w14:paraId="2334AFE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(0.095)</w:t>
            </w:r>
          </w:p>
        </w:tc>
        <w:tc>
          <w:tcPr>
            <w:tcW w:w="2292" w:type="dxa"/>
            <w:tcBorders>
              <w:top w:val="nil"/>
              <w:left w:val="nil"/>
              <w:bottom w:val="nil"/>
              <w:right w:val="nil"/>
            </w:tcBorders>
            <w:shd w:val="clear"/>
            <w:vAlign w:val="top"/>
          </w:tcPr>
          <w:p w14:paraId="4044D69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(0.157)</w:t>
            </w:r>
          </w:p>
        </w:tc>
      </w:tr>
      <w:tr w14:paraId="18679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nil"/>
              <w:right w:val="nil"/>
            </w:tcBorders>
            <w:shd w:val="clear"/>
            <w:vAlign w:val="top"/>
          </w:tcPr>
          <w:p w14:paraId="4BA2185E">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个体层面控制变量</w:t>
            </w:r>
          </w:p>
        </w:tc>
        <w:tc>
          <w:tcPr>
            <w:tcW w:w="2304" w:type="dxa"/>
            <w:tcBorders>
              <w:top w:val="nil"/>
              <w:left w:val="nil"/>
              <w:bottom w:val="nil"/>
              <w:right w:val="nil"/>
            </w:tcBorders>
            <w:shd w:val="clear"/>
            <w:vAlign w:val="top"/>
          </w:tcPr>
          <w:p w14:paraId="0B5AB11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2033" w:type="dxa"/>
            <w:tcBorders>
              <w:top w:val="nil"/>
              <w:left w:val="nil"/>
              <w:bottom w:val="nil"/>
              <w:right w:val="nil"/>
            </w:tcBorders>
            <w:shd w:val="clear"/>
            <w:vAlign w:val="top"/>
          </w:tcPr>
          <w:p w14:paraId="3090B54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2292" w:type="dxa"/>
            <w:tcBorders>
              <w:top w:val="nil"/>
              <w:left w:val="nil"/>
              <w:bottom w:val="nil"/>
              <w:right w:val="nil"/>
            </w:tcBorders>
            <w:shd w:val="clear"/>
            <w:vAlign w:val="top"/>
          </w:tcPr>
          <w:p w14:paraId="02F1DFC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r>
      <w:tr w14:paraId="7A6F2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single" w:color="auto" w:sz="4" w:space="0"/>
              <w:right w:val="nil"/>
            </w:tcBorders>
            <w:shd w:val="clear"/>
            <w:vAlign w:val="top"/>
          </w:tcPr>
          <w:p w14:paraId="459CA722">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学校层面控制变量</w:t>
            </w:r>
          </w:p>
        </w:tc>
        <w:tc>
          <w:tcPr>
            <w:tcW w:w="2304" w:type="dxa"/>
            <w:tcBorders>
              <w:top w:val="nil"/>
              <w:left w:val="nil"/>
              <w:bottom w:val="single" w:color="auto" w:sz="4" w:space="0"/>
              <w:right w:val="nil"/>
            </w:tcBorders>
            <w:shd w:val="clear"/>
            <w:vAlign w:val="top"/>
          </w:tcPr>
          <w:p w14:paraId="5196438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2033" w:type="dxa"/>
            <w:tcBorders>
              <w:top w:val="nil"/>
              <w:left w:val="nil"/>
              <w:bottom w:val="single" w:color="auto" w:sz="4" w:space="0"/>
              <w:right w:val="nil"/>
            </w:tcBorders>
            <w:shd w:val="clear"/>
            <w:vAlign w:val="top"/>
          </w:tcPr>
          <w:p w14:paraId="41F76D2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2292" w:type="dxa"/>
            <w:tcBorders>
              <w:top w:val="nil"/>
              <w:left w:val="nil"/>
              <w:bottom w:val="single" w:color="auto" w:sz="4" w:space="0"/>
              <w:right w:val="nil"/>
            </w:tcBorders>
            <w:shd w:val="clear"/>
            <w:vAlign w:val="top"/>
          </w:tcPr>
          <w:p w14:paraId="5B34CE6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r>
      <w:tr w14:paraId="26E5A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single" w:color="auto" w:sz="4" w:space="0"/>
              <w:left w:val="nil"/>
              <w:bottom w:val="nil"/>
              <w:right w:val="nil"/>
            </w:tcBorders>
            <w:shd w:val="clear"/>
            <w:vAlign w:val="top"/>
          </w:tcPr>
          <w:p w14:paraId="2E780B44">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样本量</w:t>
            </w:r>
          </w:p>
        </w:tc>
        <w:tc>
          <w:tcPr>
            <w:tcW w:w="2304" w:type="dxa"/>
            <w:tcBorders>
              <w:top w:val="single" w:color="auto" w:sz="4" w:space="0"/>
              <w:left w:val="nil"/>
              <w:bottom w:val="nil"/>
              <w:right w:val="nil"/>
            </w:tcBorders>
            <w:shd w:val="clear"/>
            <w:vAlign w:val="top"/>
          </w:tcPr>
          <w:p w14:paraId="461CA9D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1276.000</w:t>
            </w:r>
          </w:p>
        </w:tc>
        <w:tc>
          <w:tcPr>
            <w:tcW w:w="2033" w:type="dxa"/>
            <w:tcBorders>
              <w:top w:val="single" w:color="auto" w:sz="4" w:space="0"/>
              <w:left w:val="nil"/>
              <w:bottom w:val="nil"/>
              <w:right w:val="nil"/>
            </w:tcBorders>
            <w:shd w:val="clear"/>
            <w:vAlign w:val="top"/>
          </w:tcPr>
          <w:p w14:paraId="27CE645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1276.000</w:t>
            </w:r>
          </w:p>
        </w:tc>
        <w:tc>
          <w:tcPr>
            <w:tcW w:w="2292" w:type="dxa"/>
            <w:tcBorders>
              <w:top w:val="single" w:color="auto" w:sz="4" w:space="0"/>
              <w:left w:val="nil"/>
              <w:bottom w:val="nil"/>
              <w:right w:val="nil"/>
            </w:tcBorders>
            <w:shd w:val="clear"/>
            <w:vAlign w:val="top"/>
          </w:tcPr>
          <w:p w14:paraId="574E41E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1276.000</w:t>
            </w:r>
          </w:p>
        </w:tc>
      </w:tr>
      <w:tr w14:paraId="7AC906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2136" w:type="dxa"/>
            <w:tcBorders>
              <w:top w:val="nil"/>
              <w:left w:val="nil"/>
              <w:bottom w:val="single" w:color="auto" w:sz="4" w:space="0"/>
              <w:right w:val="nil"/>
            </w:tcBorders>
            <w:shd w:val="clear"/>
            <w:vAlign w:val="top"/>
          </w:tcPr>
          <w:p w14:paraId="12F33C14">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拟合优度</w:t>
            </w:r>
          </w:p>
        </w:tc>
        <w:tc>
          <w:tcPr>
            <w:tcW w:w="2304" w:type="dxa"/>
            <w:tcBorders>
              <w:top w:val="nil"/>
              <w:left w:val="nil"/>
              <w:bottom w:val="single" w:color="auto" w:sz="4" w:space="0"/>
              <w:right w:val="nil"/>
            </w:tcBorders>
            <w:shd w:val="clear"/>
            <w:vAlign w:val="top"/>
          </w:tcPr>
          <w:p w14:paraId="2C8800F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0.270</w:t>
            </w:r>
          </w:p>
        </w:tc>
        <w:tc>
          <w:tcPr>
            <w:tcW w:w="2033" w:type="dxa"/>
            <w:tcBorders>
              <w:top w:val="nil"/>
              <w:left w:val="nil"/>
              <w:bottom w:val="single" w:color="auto" w:sz="4" w:space="0"/>
              <w:right w:val="nil"/>
            </w:tcBorders>
            <w:shd w:val="clear"/>
            <w:vAlign w:val="top"/>
          </w:tcPr>
          <w:p w14:paraId="36D8484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0.128</w:t>
            </w:r>
          </w:p>
        </w:tc>
        <w:tc>
          <w:tcPr>
            <w:tcW w:w="2292" w:type="dxa"/>
            <w:tcBorders>
              <w:top w:val="nil"/>
              <w:left w:val="nil"/>
              <w:bottom w:val="single" w:color="auto" w:sz="4" w:space="0"/>
              <w:right w:val="nil"/>
            </w:tcBorders>
            <w:shd w:val="clear"/>
            <w:vAlign w:val="top"/>
          </w:tcPr>
          <w:p w14:paraId="2D88471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0.340</w:t>
            </w:r>
          </w:p>
        </w:tc>
      </w:tr>
    </w:tbl>
    <w:p w14:paraId="77EB9F80">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Standard errors in parentheses</w:t>
      </w:r>
    </w:p>
    <w:p w14:paraId="4F91D57B">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0.1, </w:t>
      </w: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0.05, </w:t>
      </w: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0.01</w:t>
      </w:r>
    </w:p>
    <w:p w14:paraId="1CBA28E2">
      <w:pPr>
        <w:keepNext w:val="0"/>
        <w:keepLines w:val="0"/>
        <w:widowControl w:val="0"/>
        <w:suppressLineNumbers w:val="0"/>
        <w:spacing w:before="0" w:beforeAutospacing="0" w:after="0" w:afterAutospacing="0"/>
        <w:ind w:left="420" w:leftChars="0" w:right="0"/>
        <w:jc w:val="both"/>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 xml:space="preserve"> </w:t>
      </w:r>
    </w:p>
    <w:p w14:paraId="26D3EC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0" w:leftChars="0" w:right="0"/>
        <w:jc w:val="both"/>
        <w:textAlignment w:val="auto"/>
        <w:rPr>
          <w:rFonts w:hint="default"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 xml:space="preserve">    表 3 的机制分析结果显示，在控制个体层面和学校层面变量的前提下，感知的重要他人影响对学习效能感具有显著的正向影响，回归系数为 0.437（p &lt; 0.01）；当将感知的重要他人影响与学习效能感同时纳入模型后，感知的重要他人影响对人工智能学习素养的回归系数为 0.373（p &lt; 0.01），学习效能感对人工智能学习素养的回归系数为 0.281（p &lt; 0.01）。结合感知的重要他人影响对人工智能学习素养的直接效应（回归系数 0.230，p &lt; 0.01）可知，学习效能感在感知的重要他人影响与人工智能学习素养之间发挥了显著的中介作用，即感知的重要他人影响可通过提升个体的学习效能感，进而正向影响其人工智能学习素养。此外，三模型的样本量均为 1276，且均控制了个体层面和学校层面变量。模型拟合优度从仅含核心自变量时的 0.270，在纳入中介变量后提升至 0.340，进一步说明学习效能感的中介作用提升了模型对人工智能学习素养变异的解释力，验证了该中介机制的合理性。假设2初步得到验证。</w:t>
      </w:r>
    </w:p>
    <w:p w14:paraId="6F3D1A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76" w:lineRule="auto"/>
        <w:ind w:left="420" w:leftChars="0" w:right="0"/>
        <w:jc w:val="both"/>
        <w:textAlignment w:val="auto"/>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 xml:space="preserve"> </w:t>
      </w:r>
    </w:p>
    <w:p w14:paraId="3B793EA5">
      <w:pPr>
        <w:keepNext w:val="0"/>
        <w:keepLines w:val="0"/>
        <w:pageBreakBefore w:val="0"/>
        <w:widowControl w:val="0"/>
        <w:numPr>
          <w:ilvl w:val="0"/>
          <w:numId w:val="3"/>
        </w:numPr>
        <w:suppressLineNumbers w:val="0"/>
        <w:kinsoku/>
        <w:wordWrap/>
        <w:overflowPunct/>
        <w:topLinePunct w:val="0"/>
        <w:autoSpaceDE/>
        <w:autoSpaceDN/>
        <w:bidi w:val="0"/>
        <w:adjustRightInd/>
        <w:snapToGrid/>
        <w:spacing w:before="0" w:beforeAutospacing="0" w:after="0" w:afterAutospacing="0" w:line="276" w:lineRule="auto"/>
        <w:ind w:left="420" w:leftChars="0" w:right="0" w:firstLine="0" w:firstLineChars="0"/>
        <w:jc w:val="both"/>
        <w:textAlignment w:val="auto"/>
        <w:rPr>
          <w:rFonts w:hint="eastAsia"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异质性分析</w:t>
      </w:r>
    </w:p>
    <w:p w14:paraId="22E23DCA">
      <w:pPr>
        <w:keepNext w:val="0"/>
        <w:keepLines w:val="0"/>
        <w:pageBreakBefore w:val="0"/>
        <w:widowControl w:val="0"/>
        <w:numPr>
          <w:numId w:val="0"/>
        </w:numPr>
        <w:suppressLineNumbers w:val="0"/>
        <w:kinsoku/>
        <w:wordWrap/>
        <w:overflowPunct/>
        <w:topLinePunct w:val="0"/>
        <w:autoSpaceDE/>
        <w:autoSpaceDN/>
        <w:bidi w:val="0"/>
        <w:adjustRightInd/>
        <w:snapToGrid/>
        <w:spacing w:before="0" w:beforeAutospacing="0" w:after="0" w:afterAutospacing="0" w:line="276" w:lineRule="auto"/>
        <w:ind w:left="0" w:leftChars="0" w:right="0" w:rightChars="0" w:firstLine="480" w:firstLineChars="200"/>
        <w:jc w:val="both"/>
        <w:textAlignment w:val="auto"/>
        <w:rPr>
          <w:rFonts w:hint="default" w:ascii="宋体" w:hAnsi="宋体" w:eastAsia="宋体" w:cs="宋体"/>
          <w:kern w:val="2"/>
          <w:sz w:val="24"/>
          <w:szCs w:val="24"/>
          <w:lang w:val="en-US" w:eastAsia="zh-CN" w:bidi="ar"/>
          <w14:ligatures w14:val="standardContextual"/>
        </w:rPr>
      </w:pPr>
      <w:r>
        <w:rPr>
          <w:rFonts w:hint="eastAsia" w:ascii="宋体" w:hAnsi="宋体" w:eastAsia="宋体" w:cs="宋体"/>
          <w:kern w:val="2"/>
          <w:sz w:val="24"/>
          <w:szCs w:val="24"/>
          <w:lang w:val="en-US" w:eastAsia="zh-CN" w:bidi="ar"/>
          <w14:ligatures w14:val="standardContextual"/>
        </w:rPr>
        <w:t>在上述分析的基础上，本研究将进一步讨论不同因素的影响区别。主要从城乡和父母最高受教育水平两个方面考察感知的重要他人影响对人工智能学习素养的异质性影响。结果如下：</w:t>
      </w:r>
    </w:p>
    <w:p w14:paraId="6B8C9CB0">
      <w:pPr>
        <w:keepNext/>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表4:异质性分析</w:t>
      </w:r>
    </w:p>
    <w:tbl>
      <w:tblPr>
        <w:tblStyle w:val="18"/>
        <w:tblW w:w="10509"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1558"/>
        <w:gridCol w:w="1950"/>
        <w:gridCol w:w="1500"/>
        <w:gridCol w:w="1934"/>
        <w:gridCol w:w="1591"/>
        <w:gridCol w:w="1976"/>
      </w:tblGrid>
      <w:tr w14:paraId="684CF1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single" w:color="auto" w:sz="4" w:space="0"/>
              <w:left w:val="nil"/>
              <w:bottom w:val="nil"/>
              <w:right w:val="nil"/>
            </w:tcBorders>
            <w:shd w:val="clear"/>
            <w:vAlign w:val="top"/>
          </w:tcPr>
          <w:p w14:paraId="5EDB6593">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950" w:type="dxa"/>
            <w:tcBorders>
              <w:top w:val="single" w:color="auto" w:sz="4" w:space="0"/>
              <w:left w:val="nil"/>
              <w:bottom w:val="nil"/>
              <w:right w:val="nil"/>
            </w:tcBorders>
            <w:shd w:val="clear"/>
            <w:vAlign w:val="top"/>
          </w:tcPr>
          <w:p w14:paraId="76DAC690">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(1)</w:t>
            </w:r>
          </w:p>
        </w:tc>
        <w:tc>
          <w:tcPr>
            <w:tcW w:w="1500" w:type="dxa"/>
            <w:tcBorders>
              <w:top w:val="single" w:color="auto" w:sz="4" w:space="0"/>
              <w:left w:val="nil"/>
              <w:bottom w:val="nil"/>
              <w:right w:val="nil"/>
            </w:tcBorders>
            <w:shd w:val="clear"/>
            <w:vAlign w:val="top"/>
          </w:tcPr>
          <w:p w14:paraId="00EA644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w:t>
            </w:r>
          </w:p>
        </w:tc>
        <w:tc>
          <w:tcPr>
            <w:tcW w:w="1934" w:type="dxa"/>
            <w:tcBorders>
              <w:top w:val="single" w:color="auto" w:sz="4" w:space="0"/>
              <w:left w:val="nil"/>
              <w:bottom w:val="nil"/>
              <w:right w:val="nil"/>
            </w:tcBorders>
            <w:shd w:val="clear"/>
            <w:vAlign w:val="top"/>
          </w:tcPr>
          <w:p w14:paraId="5839367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 xml:space="preserve"> (3)</w:t>
            </w:r>
          </w:p>
        </w:tc>
        <w:tc>
          <w:tcPr>
            <w:tcW w:w="1591" w:type="dxa"/>
            <w:tcBorders>
              <w:top w:val="single" w:color="auto" w:sz="4" w:space="0"/>
              <w:left w:val="nil"/>
              <w:bottom w:val="nil"/>
              <w:right w:val="nil"/>
            </w:tcBorders>
            <w:shd w:val="clear"/>
            <w:vAlign w:val="top"/>
          </w:tcPr>
          <w:p w14:paraId="7FB91BF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(4)</w:t>
            </w:r>
          </w:p>
        </w:tc>
        <w:tc>
          <w:tcPr>
            <w:tcW w:w="1976" w:type="dxa"/>
            <w:tcBorders>
              <w:top w:val="single" w:color="auto" w:sz="4" w:space="0"/>
              <w:left w:val="nil"/>
              <w:bottom w:val="nil"/>
              <w:right w:val="nil"/>
            </w:tcBorders>
            <w:shd w:val="clear"/>
            <w:vAlign w:val="top"/>
          </w:tcPr>
          <w:p w14:paraId="76BAC12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(5)</w:t>
            </w:r>
          </w:p>
        </w:tc>
      </w:tr>
      <w:tr w14:paraId="046E23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8" w:type="dxa"/>
            <w:tcBorders>
              <w:top w:val="nil"/>
              <w:left w:val="nil"/>
              <w:bottom w:val="nil"/>
              <w:right w:val="nil"/>
            </w:tcBorders>
            <w:shd w:val="clear"/>
            <w:vAlign w:val="top"/>
          </w:tcPr>
          <w:p w14:paraId="6ACA67E1">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950" w:type="dxa"/>
            <w:tcBorders>
              <w:top w:val="nil"/>
              <w:left w:val="nil"/>
              <w:bottom w:val="nil"/>
              <w:right w:val="nil"/>
            </w:tcBorders>
            <w:shd w:val="clear"/>
            <w:vAlign w:val="top"/>
          </w:tcPr>
          <w:p w14:paraId="5242A68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初中及以下学历</w:t>
            </w:r>
          </w:p>
        </w:tc>
        <w:tc>
          <w:tcPr>
            <w:tcW w:w="1500" w:type="dxa"/>
            <w:tcBorders>
              <w:top w:val="nil"/>
              <w:left w:val="nil"/>
              <w:bottom w:val="nil"/>
              <w:right w:val="nil"/>
            </w:tcBorders>
            <w:shd w:val="clear"/>
            <w:vAlign w:val="top"/>
          </w:tcPr>
          <w:p w14:paraId="4DDE23FA">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高中学历</w:t>
            </w:r>
          </w:p>
        </w:tc>
        <w:tc>
          <w:tcPr>
            <w:tcW w:w="1934" w:type="dxa"/>
            <w:tcBorders>
              <w:top w:val="nil"/>
              <w:left w:val="nil"/>
              <w:bottom w:val="nil"/>
              <w:right w:val="nil"/>
            </w:tcBorders>
            <w:shd w:val="clear"/>
            <w:vAlign w:val="top"/>
          </w:tcPr>
          <w:p w14:paraId="2D1542A8">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大学及以上学历</w:t>
            </w:r>
          </w:p>
        </w:tc>
        <w:tc>
          <w:tcPr>
            <w:tcW w:w="1591" w:type="dxa"/>
            <w:tcBorders>
              <w:top w:val="nil"/>
              <w:left w:val="nil"/>
              <w:bottom w:val="nil"/>
              <w:right w:val="nil"/>
            </w:tcBorders>
            <w:shd w:val="clear"/>
            <w:vAlign w:val="top"/>
          </w:tcPr>
          <w:p w14:paraId="0AAB056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农村户口</w:t>
            </w:r>
          </w:p>
        </w:tc>
        <w:tc>
          <w:tcPr>
            <w:tcW w:w="1976" w:type="dxa"/>
            <w:tcBorders>
              <w:top w:val="nil"/>
              <w:left w:val="nil"/>
              <w:bottom w:val="nil"/>
              <w:right w:val="nil"/>
            </w:tcBorders>
            <w:shd w:val="clear"/>
            <w:vAlign w:val="top"/>
          </w:tcPr>
          <w:p w14:paraId="3CFB3120">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城市户口</w:t>
            </w:r>
          </w:p>
        </w:tc>
      </w:tr>
      <w:tr w14:paraId="794C5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single" w:color="auto" w:sz="4" w:space="0"/>
              <w:left w:val="nil"/>
              <w:bottom w:val="nil"/>
              <w:right w:val="nil"/>
            </w:tcBorders>
            <w:shd w:val="clear"/>
            <w:vAlign w:val="top"/>
          </w:tcPr>
          <w:p w14:paraId="50ABBC75">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感知的重要他人影响</w:t>
            </w:r>
          </w:p>
        </w:tc>
        <w:tc>
          <w:tcPr>
            <w:tcW w:w="1950" w:type="dxa"/>
            <w:tcBorders>
              <w:top w:val="single" w:color="auto" w:sz="4" w:space="0"/>
              <w:left w:val="nil"/>
              <w:bottom w:val="nil"/>
              <w:right w:val="nil"/>
            </w:tcBorders>
            <w:shd w:val="clear"/>
            <w:vAlign w:val="top"/>
          </w:tcPr>
          <w:p w14:paraId="71F9338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0.476</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500" w:type="dxa"/>
            <w:tcBorders>
              <w:top w:val="single" w:color="auto" w:sz="4" w:space="0"/>
              <w:left w:val="nil"/>
              <w:bottom w:val="nil"/>
              <w:right w:val="nil"/>
            </w:tcBorders>
            <w:shd w:val="clear"/>
            <w:vAlign w:val="top"/>
          </w:tcPr>
          <w:p w14:paraId="0DCB6AF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0.361</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934" w:type="dxa"/>
            <w:tcBorders>
              <w:top w:val="single" w:color="auto" w:sz="4" w:space="0"/>
              <w:left w:val="nil"/>
              <w:bottom w:val="nil"/>
              <w:right w:val="nil"/>
            </w:tcBorders>
            <w:shd w:val="clear"/>
            <w:vAlign w:val="top"/>
          </w:tcPr>
          <w:p w14:paraId="22DA98B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0.465</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591" w:type="dxa"/>
            <w:tcBorders>
              <w:top w:val="single" w:color="auto" w:sz="4" w:space="0"/>
              <w:left w:val="nil"/>
              <w:bottom w:val="nil"/>
              <w:right w:val="nil"/>
            </w:tcBorders>
            <w:shd w:val="clear"/>
            <w:vAlign w:val="top"/>
          </w:tcPr>
          <w:p w14:paraId="4E08666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0.379</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976" w:type="dxa"/>
            <w:tcBorders>
              <w:top w:val="single" w:color="auto" w:sz="4" w:space="0"/>
              <w:left w:val="nil"/>
              <w:bottom w:val="nil"/>
              <w:right w:val="nil"/>
            </w:tcBorders>
            <w:shd w:val="clear"/>
            <w:vAlign w:val="top"/>
          </w:tcPr>
          <w:p w14:paraId="6174888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0.457</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046BE55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nil"/>
              <w:left w:val="nil"/>
              <w:bottom w:val="nil"/>
              <w:right w:val="nil"/>
            </w:tcBorders>
            <w:shd w:val="clear"/>
            <w:vAlign w:val="top"/>
          </w:tcPr>
          <w:p w14:paraId="588707A0">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950" w:type="dxa"/>
            <w:tcBorders>
              <w:top w:val="nil"/>
              <w:left w:val="nil"/>
              <w:bottom w:val="nil"/>
              <w:right w:val="nil"/>
            </w:tcBorders>
            <w:shd w:val="clear"/>
            <w:vAlign w:val="top"/>
          </w:tcPr>
          <w:p w14:paraId="08385EF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(0.100)</w:t>
            </w:r>
          </w:p>
        </w:tc>
        <w:tc>
          <w:tcPr>
            <w:tcW w:w="1500" w:type="dxa"/>
            <w:tcBorders>
              <w:top w:val="nil"/>
              <w:left w:val="nil"/>
              <w:bottom w:val="nil"/>
              <w:right w:val="nil"/>
            </w:tcBorders>
            <w:shd w:val="clear"/>
            <w:vAlign w:val="top"/>
          </w:tcPr>
          <w:p w14:paraId="0325360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(0.027)</w:t>
            </w:r>
          </w:p>
        </w:tc>
        <w:tc>
          <w:tcPr>
            <w:tcW w:w="1934" w:type="dxa"/>
            <w:tcBorders>
              <w:top w:val="nil"/>
              <w:left w:val="nil"/>
              <w:bottom w:val="nil"/>
              <w:right w:val="nil"/>
            </w:tcBorders>
            <w:shd w:val="clear"/>
            <w:vAlign w:val="top"/>
          </w:tcPr>
          <w:p w14:paraId="25F69A8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(0.040)</w:t>
            </w:r>
          </w:p>
        </w:tc>
        <w:tc>
          <w:tcPr>
            <w:tcW w:w="1591" w:type="dxa"/>
            <w:tcBorders>
              <w:top w:val="nil"/>
              <w:left w:val="nil"/>
              <w:bottom w:val="nil"/>
              <w:right w:val="nil"/>
            </w:tcBorders>
            <w:shd w:val="clear"/>
            <w:vAlign w:val="top"/>
          </w:tcPr>
          <w:p w14:paraId="7209EE4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(0.119)</w:t>
            </w:r>
          </w:p>
        </w:tc>
        <w:tc>
          <w:tcPr>
            <w:tcW w:w="1976" w:type="dxa"/>
            <w:tcBorders>
              <w:top w:val="nil"/>
              <w:left w:val="nil"/>
              <w:bottom w:val="nil"/>
              <w:right w:val="nil"/>
            </w:tcBorders>
            <w:shd w:val="clear"/>
            <w:vAlign w:val="top"/>
          </w:tcPr>
          <w:p w14:paraId="589E679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(0.054)</w:t>
            </w:r>
          </w:p>
        </w:tc>
      </w:tr>
      <w:tr w14:paraId="7EC3E9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558" w:type="dxa"/>
            <w:tcBorders>
              <w:top w:val="nil"/>
              <w:left w:val="nil"/>
              <w:bottom w:val="nil"/>
              <w:right w:val="nil"/>
            </w:tcBorders>
            <w:shd w:val="clear"/>
            <w:vAlign w:val="top"/>
          </w:tcPr>
          <w:p w14:paraId="4523F707">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常数项</w:t>
            </w:r>
          </w:p>
        </w:tc>
        <w:tc>
          <w:tcPr>
            <w:tcW w:w="1950" w:type="dxa"/>
            <w:tcBorders>
              <w:top w:val="nil"/>
              <w:left w:val="nil"/>
              <w:bottom w:val="nil"/>
              <w:right w:val="nil"/>
            </w:tcBorders>
            <w:shd w:val="clear"/>
            <w:vAlign w:val="top"/>
          </w:tcPr>
          <w:p w14:paraId="5FA5C0C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2.270</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500" w:type="dxa"/>
            <w:tcBorders>
              <w:top w:val="nil"/>
              <w:left w:val="nil"/>
              <w:bottom w:val="nil"/>
              <w:right w:val="nil"/>
            </w:tcBorders>
            <w:shd w:val="clear"/>
            <w:vAlign w:val="top"/>
          </w:tcPr>
          <w:p w14:paraId="19277C03">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2.457</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934" w:type="dxa"/>
            <w:tcBorders>
              <w:top w:val="nil"/>
              <w:left w:val="nil"/>
              <w:bottom w:val="nil"/>
              <w:right w:val="nil"/>
            </w:tcBorders>
            <w:shd w:val="clear"/>
            <w:vAlign w:val="top"/>
          </w:tcPr>
          <w:p w14:paraId="6FE7B87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2.084</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591" w:type="dxa"/>
            <w:tcBorders>
              <w:top w:val="nil"/>
              <w:left w:val="nil"/>
              <w:bottom w:val="nil"/>
              <w:right w:val="nil"/>
            </w:tcBorders>
            <w:shd w:val="clear"/>
            <w:vAlign w:val="top"/>
          </w:tcPr>
          <w:p w14:paraId="235E4072">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2.391</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c>
          <w:tcPr>
            <w:tcW w:w="1976" w:type="dxa"/>
            <w:tcBorders>
              <w:top w:val="nil"/>
              <w:left w:val="nil"/>
              <w:bottom w:val="nil"/>
              <w:right w:val="nil"/>
            </w:tcBorders>
            <w:shd w:val="clear"/>
            <w:vAlign w:val="top"/>
          </w:tcPr>
          <w:p w14:paraId="171217A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2.074</w:t>
            </w:r>
            <w:r>
              <w:rPr>
                <w:rFonts w:hint="eastAsia" w:ascii="宋体" w:hAnsi="宋体" w:eastAsia="宋体" w:cs="宋体"/>
                <w:kern w:val="2"/>
                <w:sz w:val="24"/>
                <w:szCs w:val="24"/>
                <w:bdr w:val="none" w:color="auto" w:sz="0" w:space="0"/>
                <w:vertAlign w:val="superscript"/>
                <w:lang w:val="en-US" w:eastAsia="zh-CN" w:bidi="ar"/>
                <w14:ligatures w14:val="standardContextual"/>
              </w:rPr>
              <w:t>***</w:t>
            </w:r>
          </w:p>
        </w:tc>
      </w:tr>
      <w:tr w14:paraId="0F6C3C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nil"/>
              <w:left w:val="nil"/>
              <w:bottom w:val="nil"/>
              <w:right w:val="nil"/>
            </w:tcBorders>
            <w:shd w:val="clear"/>
            <w:vAlign w:val="top"/>
          </w:tcPr>
          <w:p w14:paraId="39EB32F5">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p>
        </w:tc>
        <w:tc>
          <w:tcPr>
            <w:tcW w:w="1950" w:type="dxa"/>
            <w:tcBorders>
              <w:top w:val="nil"/>
              <w:left w:val="nil"/>
              <w:bottom w:val="nil"/>
              <w:right w:val="nil"/>
            </w:tcBorders>
            <w:shd w:val="clear"/>
            <w:vAlign w:val="top"/>
          </w:tcPr>
          <w:p w14:paraId="232B0A4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(0.337)</w:t>
            </w:r>
          </w:p>
        </w:tc>
        <w:tc>
          <w:tcPr>
            <w:tcW w:w="1500" w:type="dxa"/>
            <w:tcBorders>
              <w:top w:val="nil"/>
              <w:left w:val="nil"/>
              <w:bottom w:val="nil"/>
              <w:right w:val="nil"/>
            </w:tcBorders>
            <w:shd w:val="clear"/>
            <w:vAlign w:val="top"/>
          </w:tcPr>
          <w:p w14:paraId="0C3CC0A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(0.078)</w:t>
            </w:r>
          </w:p>
        </w:tc>
        <w:tc>
          <w:tcPr>
            <w:tcW w:w="1934" w:type="dxa"/>
            <w:tcBorders>
              <w:top w:val="nil"/>
              <w:left w:val="nil"/>
              <w:bottom w:val="nil"/>
              <w:right w:val="nil"/>
            </w:tcBorders>
            <w:shd w:val="clear"/>
            <w:vAlign w:val="top"/>
          </w:tcPr>
          <w:p w14:paraId="4B9643CE">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(0.117)</w:t>
            </w:r>
          </w:p>
        </w:tc>
        <w:tc>
          <w:tcPr>
            <w:tcW w:w="1591" w:type="dxa"/>
            <w:tcBorders>
              <w:top w:val="nil"/>
              <w:left w:val="nil"/>
              <w:bottom w:val="nil"/>
              <w:right w:val="nil"/>
            </w:tcBorders>
            <w:shd w:val="clear"/>
            <w:vAlign w:val="top"/>
          </w:tcPr>
          <w:p w14:paraId="66A29B75">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(0.413)</w:t>
            </w:r>
          </w:p>
        </w:tc>
        <w:tc>
          <w:tcPr>
            <w:tcW w:w="1976" w:type="dxa"/>
            <w:tcBorders>
              <w:top w:val="nil"/>
              <w:left w:val="nil"/>
              <w:bottom w:val="nil"/>
              <w:right w:val="nil"/>
            </w:tcBorders>
            <w:shd w:val="clear"/>
            <w:vAlign w:val="top"/>
          </w:tcPr>
          <w:p w14:paraId="49882F5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(0.216)</w:t>
            </w:r>
          </w:p>
        </w:tc>
      </w:tr>
      <w:tr w14:paraId="4684B3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nil"/>
              <w:left w:val="nil"/>
              <w:bottom w:val="nil"/>
              <w:right w:val="nil"/>
            </w:tcBorders>
            <w:shd w:val="clear"/>
            <w:vAlign w:val="top"/>
          </w:tcPr>
          <w:p w14:paraId="6E196838">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个体层面控制变量</w:t>
            </w:r>
          </w:p>
        </w:tc>
        <w:tc>
          <w:tcPr>
            <w:tcW w:w="1950" w:type="dxa"/>
            <w:tcBorders>
              <w:top w:val="nil"/>
              <w:left w:val="nil"/>
              <w:bottom w:val="nil"/>
              <w:right w:val="nil"/>
            </w:tcBorders>
            <w:shd w:val="clear"/>
            <w:vAlign w:val="top"/>
          </w:tcPr>
          <w:p w14:paraId="0D0A51B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500" w:type="dxa"/>
            <w:tcBorders>
              <w:top w:val="nil"/>
              <w:left w:val="nil"/>
              <w:bottom w:val="nil"/>
              <w:right w:val="nil"/>
            </w:tcBorders>
            <w:shd w:val="clear"/>
            <w:vAlign w:val="top"/>
          </w:tcPr>
          <w:p w14:paraId="32B7B61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934" w:type="dxa"/>
            <w:tcBorders>
              <w:top w:val="nil"/>
              <w:left w:val="nil"/>
              <w:bottom w:val="nil"/>
              <w:right w:val="nil"/>
            </w:tcBorders>
            <w:shd w:val="clear"/>
            <w:vAlign w:val="top"/>
          </w:tcPr>
          <w:p w14:paraId="0B37FA4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591" w:type="dxa"/>
            <w:tcBorders>
              <w:top w:val="nil"/>
              <w:left w:val="nil"/>
              <w:bottom w:val="nil"/>
              <w:right w:val="nil"/>
            </w:tcBorders>
            <w:shd w:val="clear"/>
            <w:vAlign w:val="top"/>
          </w:tcPr>
          <w:p w14:paraId="66323FA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976" w:type="dxa"/>
            <w:tcBorders>
              <w:top w:val="nil"/>
              <w:left w:val="nil"/>
              <w:bottom w:val="nil"/>
              <w:right w:val="nil"/>
            </w:tcBorders>
            <w:shd w:val="clear"/>
            <w:vAlign w:val="top"/>
          </w:tcPr>
          <w:p w14:paraId="4F7AFF9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r>
      <w:tr w14:paraId="42597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nil"/>
              <w:left w:val="nil"/>
              <w:bottom w:val="single" w:color="auto" w:sz="4" w:space="0"/>
              <w:right w:val="nil"/>
            </w:tcBorders>
            <w:shd w:val="clear"/>
            <w:vAlign w:val="top"/>
          </w:tcPr>
          <w:p w14:paraId="63359F51">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学校层面控制变量</w:t>
            </w:r>
          </w:p>
        </w:tc>
        <w:tc>
          <w:tcPr>
            <w:tcW w:w="1950" w:type="dxa"/>
            <w:tcBorders>
              <w:top w:val="nil"/>
              <w:left w:val="nil"/>
              <w:bottom w:val="single" w:color="auto" w:sz="4" w:space="0"/>
              <w:right w:val="nil"/>
            </w:tcBorders>
            <w:shd w:val="clear"/>
            <w:vAlign w:val="top"/>
          </w:tcPr>
          <w:p w14:paraId="561947EC">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500" w:type="dxa"/>
            <w:tcBorders>
              <w:top w:val="nil"/>
              <w:left w:val="nil"/>
              <w:bottom w:val="single" w:color="auto" w:sz="4" w:space="0"/>
              <w:right w:val="nil"/>
            </w:tcBorders>
            <w:shd w:val="clear"/>
            <w:vAlign w:val="top"/>
          </w:tcPr>
          <w:p w14:paraId="5AF9547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934" w:type="dxa"/>
            <w:tcBorders>
              <w:top w:val="nil"/>
              <w:left w:val="nil"/>
              <w:bottom w:val="single" w:color="auto" w:sz="4" w:space="0"/>
              <w:right w:val="nil"/>
            </w:tcBorders>
            <w:shd w:val="clear"/>
            <w:vAlign w:val="top"/>
          </w:tcPr>
          <w:p w14:paraId="515A9694">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591" w:type="dxa"/>
            <w:tcBorders>
              <w:top w:val="nil"/>
              <w:left w:val="nil"/>
              <w:bottom w:val="single" w:color="auto" w:sz="4" w:space="0"/>
              <w:right w:val="nil"/>
            </w:tcBorders>
            <w:shd w:val="clear"/>
            <w:vAlign w:val="top"/>
          </w:tcPr>
          <w:p w14:paraId="6764A85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c>
          <w:tcPr>
            <w:tcW w:w="1976" w:type="dxa"/>
            <w:tcBorders>
              <w:top w:val="nil"/>
              <w:left w:val="nil"/>
              <w:bottom w:val="single" w:color="auto" w:sz="4" w:space="0"/>
              <w:right w:val="nil"/>
            </w:tcBorders>
            <w:shd w:val="clear"/>
            <w:vAlign w:val="top"/>
          </w:tcPr>
          <w:p w14:paraId="25E5496B">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Yes</w:t>
            </w:r>
          </w:p>
        </w:tc>
      </w:tr>
      <w:tr w14:paraId="40353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single" w:color="auto" w:sz="4" w:space="0"/>
              <w:left w:val="nil"/>
              <w:bottom w:val="nil"/>
              <w:right w:val="nil"/>
            </w:tcBorders>
            <w:shd w:val="clear"/>
            <w:vAlign w:val="top"/>
          </w:tcPr>
          <w:p w14:paraId="345B07BD">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样本量</w:t>
            </w:r>
          </w:p>
        </w:tc>
        <w:tc>
          <w:tcPr>
            <w:tcW w:w="1950" w:type="dxa"/>
            <w:tcBorders>
              <w:top w:val="single" w:color="auto" w:sz="4" w:space="0"/>
              <w:left w:val="nil"/>
              <w:bottom w:val="nil"/>
              <w:right w:val="nil"/>
            </w:tcBorders>
            <w:shd w:val="clear"/>
            <w:vAlign w:val="top"/>
          </w:tcPr>
          <w:p w14:paraId="1924F327">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289.000</w:t>
            </w:r>
          </w:p>
        </w:tc>
        <w:tc>
          <w:tcPr>
            <w:tcW w:w="1500" w:type="dxa"/>
            <w:tcBorders>
              <w:top w:val="single" w:color="auto" w:sz="4" w:space="0"/>
              <w:left w:val="nil"/>
              <w:bottom w:val="nil"/>
              <w:right w:val="nil"/>
            </w:tcBorders>
            <w:shd w:val="clear"/>
            <w:vAlign w:val="top"/>
          </w:tcPr>
          <w:p w14:paraId="70A0F6C9">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519.000</w:t>
            </w:r>
          </w:p>
        </w:tc>
        <w:tc>
          <w:tcPr>
            <w:tcW w:w="1934" w:type="dxa"/>
            <w:tcBorders>
              <w:top w:val="single" w:color="auto" w:sz="4" w:space="0"/>
              <w:left w:val="nil"/>
              <w:bottom w:val="nil"/>
              <w:right w:val="nil"/>
            </w:tcBorders>
            <w:shd w:val="clear"/>
            <w:vAlign w:val="top"/>
          </w:tcPr>
          <w:p w14:paraId="3ABFF646">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468.000</w:t>
            </w:r>
          </w:p>
        </w:tc>
        <w:tc>
          <w:tcPr>
            <w:tcW w:w="1591" w:type="dxa"/>
            <w:tcBorders>
              <w:top w:val="single" w:color="auto" w:sz="4" w:space="0"/>
              <w:left w:val="nil"/>
              <w:bottom w:val="nil"/>
              <w:right w:val="nil"/>
            </w:tcBorders>
            <w:shd w:val="clear"/>
            <w:vAlign w:val="top"/>
          </w:tcPr>
          <w:p w14:paraId="29785ED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402.000</w:t>
            </w:r>
          </w:p>
        </w:tc>
        <w:tc>
          <w:tcPr>
            <w:tcW w:w="1976" w:type="dxa"/>
            <w:tcBorders>
              <w:top w:val="single" w:color="auto" w:sz="4" w:space="0"/>
              <w:left w:val="nil"/>
              <w:bottom w:val="nil"/>
              <w:right w:val="nil"/>
            </w:tcBorders>
            <w:shd w:val="clear"/>
            <w:vAlign w:val="top"/>
          </w:tcPr>
          <w:p w14:paraId="64A48EE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874.000</w:t>
            </w:r>
          </w:p>
        </w:tc>
      </w:tr>
      <w:tr w14:paraId="5D0AD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c>
          <w:tcPr>
            <w:tcW w:w="1558" w:type="dxa"/>
            <w:tcBorders>
              <w:top w:val="nil"/>
              <w:left w:val="nil"/>
              <w:bottom w:val="single" w:color="auto" w:sz="4" w:space="0"/>
              <w:right w:val="nil"/>
            </w:tcBorders>
            <w:shd w:val="clear"/>
            <w:vAlign w:val="top"/>
          </w:tcPr>
          <w:p w14:paraId="3949CDFC">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拟合优度</w:t>
            </w:r>
          </w:p>
        </w:tc>
        <w:tc>
          <w:tcPr>
            <w:tcW w:w="1950" w:type="dxa"/>
            <w:tcBorders>
              <w:top w:val="nil"/>
              <w:left w:val="nil"/>
              <w:bottom w:val="single" w:color="auto" w:sz="4" w:space="0"/>
              <w:right w:val="nil"/>
            </w:tcBorders>
            <w:shd w:val="clear"/>
            <w:vAlign w:val="top"/>
          </w:tcPr>
          <w:p w14:paraId="19B6098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0.369</w:t>
            </w:r>
          </w:p>
        </w:tc>
        <w:tc>
          <w:tcPr>
            <w:tcW w:w="1500" w:type="dxa"/>
            <w:tcBorders>
              <w:top w:val="nil"/>
              <w:left w:val="nil"/>
              <w:bottom w:val="single" w:color="auto" w:sz="4" w:space="0"/>
              <w:right w:val="nil"/>
            </w:tcBorders>
            <w:shd w:val="clear"/>
            <w:vAlign w:val="top"/>
          </w:tcPr>
          <w:p w14:paraId="0000EAB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0.272</w:t>
            </w:r>
          </w:p>
        </w:tc>
        <w:tc>
          <w:tcPr>
            <w:tcW w:w="1934" w:type="dxa"/>
            <w:tcBorders>
              <w:top w:val="nil"/>
              <w:left w:val="nil"/>
              <w:bottom w:val="single" w:color="auto" w:sz="4" w:space="0"/>
              <w:right w:val="nil"/>
            </w:tcBorders>
            <w:shd w:val="clear"/>
            <w:vAlign w:val="top"/>
          </w:tcPr>
          <w:p w14:paraId="21DC0941">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0.299</w:t>
            </w:r>
          </w:p>
        </w:tc>
        <w:tc>
          <w:tcPr>
            <w:tcW w:w="1591" w:type="dxa"/>
            <w:tcBorders>
              <w:top w:val="nil"/>
              <w:left w:val="nil"/>
              <w:bottom w:val="single" w:color="auto" w:sz="4" w:space="0"/>
              <w:right w:val="nil"/>
            </w:tcBorders>
            <w:shd w:val="clear"/>
            <w:vAlign w:val="top"/>
          </w:tcPr>
          <w:p w14:paraId="6C06F499">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0.213</w:t>
            </w:r>
          </w:p>
        </w:tc>
        <w:tc>
          <w:tcPr>
            <w:tcW w:w="1976" w:type="dxa"/>
            <w:tcBorders>
              <w:top w:val="nil"/>
              <w:left w:val="nil"/>
              <w:bottom w:val="single" w:color="auto" w:sz="4" w:space="0"/>
              <w:right w:val="nil"/>
            </w:tcBorders>
            <w:shd w:val="clear"/>
            <w:vAlign w:val="top"/>
          </w:tcPr>
          <w:p w14:paraId="1D31FBCF">
            <w:pPr>
              <w:keepNext w:val="0"/>
              <w:keepLines w:val="0"/>
              <w:widowControl/>
              <w:suppressLineNumbers w:val="0"/>
              <w:spacing w:before="0" w:beforeLines="0" w:beforeAutospacing="0" w:after="0" w:afterLines="0" w:afterAutospacing="0"/>
              <w:ind w:left="0" w:right="0"/>
              <w:jc w:val="center"/>
              <w:rPr>
                <w:rFonts w:hint="eastAsia" w:ascii="宋体" w:hAnsi="宋体" w:eastAsia="宋体" w:cs="宋体"/>
                <w:kern w:val="2"/>
                <w:sz w:val="24"/>
                <w:szCs w:val="24"/>
                <w:bdr w:val="none" w:color="auto" w:sz="0" w:space="0"/>
              </w:rPr>
            </w:pPr>
            <w:r>
              <w:rPr>
                <w:rFonts w:hint="eastAsia" w:ascii="宋体" w:hAnsi="宋体" w:eastAsia="宋体" w:cs="宋体"/>
                <w:kern w:val="2"/>
                <w:sz w:val="24"/>
                <w:szCs w:val="24"/>
                <w:bdr w:val="none" w:color="auto" w:sz="0" w:space="0"/>
                <w:lang w:val="en-US" w:eastAsia="zh-CN" w:bidi="ar"/>
                <w14:ligatures w14:val="standardContextual"/>
              </w:rPr>
              <w:t>0.305</w:t>
            </w:r>
          </w:p>
        </w:tc>
      </w:tr>
    </w:tbl>
    <w:p w14:paraId="7D86191B">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lang w:val="en-US" w:eastAsia="zh-CN" w:bidi="ar"/>
          <w14:ligatures w14:val="standardContextual"/>
        </w:rPr>
        <w:t>Standard errors in parentheses</w:t>
      </w:r>
    </w:p>
    <w:p w14:paraId="415E372B">
      <w:pPr>
        <w:keepNext w:val="0"/>
        <w:keepLines w:val="0"/>
        <w:widowControl/>
        <w:suppressLineNumbers w:val="0"/>
        <w:spacing w:before="0" w:beforeLines="0" w:beforeAutospacing="0" w:after="0" w:afterLines="0" w:afterAutospacing="0"/>
        <w:ind w:left="0" w:right="0"/>
        <w:jc w:val="left"/>
        <w:rPr>
          <w:rFonts w:hint="eastAsia" w:ascii="宋体" w:hAnsi="宋体" w:eastAsia="宋体" w:cs="宋体"/>
          <w:kern w:val="2"/>
          <w:sz w:val="24"/>
          <w:szCs w:val="24"/>
        </w:rPr>
      </w:pP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0.1, </w:t>
      </w: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0.05, </w:t>
      </w:r>
      <w:r>
        <w:rPr>
          <w:rFonts w:hint="eastAsia" w:ascii="宋体" w:hAnsi="宋体" w:eastAsia="宋体" w:cs="宋体"/>
          <w:kern w:val="2"/>
          <w:sz w:val="24"/>
          <w:szCs w:val="24"/>
          <w:vertAlign w:val="superscript"/>
          <w:lang w:val="en-US" w:eastAsia="zh-CN" w:bidi="ar"/>
          <w14:ligatures w14:val="standardContextual"/>
        </w:rPr>
        <w:t>***</w:t>
      </w:r>
      <w:r>
        <w:rPr>
          <w:rFonts w:hint="eastAsia" w:ascii="宋体" w:hAnsi="宋体" w:eastAsia="宋体" w:cs="宋体"/>
          <w:kern w:val="2"/>
          <w:sz w:val="24"/>
          <w:szCs w:val="24"/>
          <w:lang w:val="en-US" w:eastAsia="zh-CN" w:bidi="ar"/>
          <w14:ligatures w14:val="standardContextual"/>
        </w:rPr>
        <w:t xml:space="preserve"> </w:t>
      </w:r>
      <w:r>
        <w:rPr>
          <w:rFonts w:hint="eastAsia" w:ascii="宋体" w:hAnsi="宋体" w:eastAsia="宋体" w:cs="宋体"/>
          <w:i/>
          <w:iCs w:val="0"/>
          <w:kern w:val="2"/>
          <w:sz w:val="24"/>
          <w:szCs w:val="24"/>
          <w:lang w:val="en-US" w:eastAsia="zh-CN" w:bidi="ar"/>
          <w14:ligatures w14:val="standardContextual"/>
        </w:rPr>
        <w:t>p</w:t>
      </w:r>
      <w:r>
        <w:rPr>
          <w:rFonts w:hint="eastAsia" w:ascii="宋体" w:hAnsi="宋体" w:eastAsia="宋体" w:cs="宋体"/>
          <w:kern w:val="2"/>
          <w:sz w:val="24"/>
          <w:szCs w:val="24"/>
          <w:lang w:val="en-US" w:eastAsia="zh-CN" w:bidi="ar"/>
          <w14:ligatures w14:val="standardContextual"/>
        </w:rPr>
        <w:t xml:space="preserve"> &lt; 0.01</w:t>
      </w:r>
    </w:p>
    <w:p w14:paraId="14ED7B10">
      <w:pPr>
        <w:keepNext w:val="0"/>
        <w:keepLines w:val="0"/>
        <w:widowControl/>
        <w:suppressLineNumbers w:val="0"/>
        <w:spacing w:before="0" w:beforeLines="0" w:beforeAutospacing="0" w:after="0" w:afterLines="0" w:afterAutospacing="0"/>
        <w:ind w:left="0" w:right="0"/>
        <w:jc w:val="left"/>
        <w:rPr>
          <w:rFonts w:hint="default" w:ascii="Times New Roman" w:hAnsi="Times New Roman" w:eastAsia="宋体" w:cs="Times New Roman"/>
          <w:kern w:val="2"/>
          <w:sz w:val="24"/>
          <w:szCs w:val="24"/>
          <w:lang w:val="en-US" w:eastAsia="zh-CN"/>
        </w:rPr>
      </w:pPr>
      <w:r>
        <w:rPr>
          <w:rFonts w:hint="eastAsia" w:ascii="Times New Roman" w:hAnsi="Times New Roman" w:eastAsia="宋体" w:cs="Times New Roman"/>
          <w:kern w:val="2"/>
          <w:sz w:val="24"/>
          <w:szCs w:val="24"/>
          <w:lang w:val="en-US" w:eastAsia="zh-CN"/>
        </w:rPr>
        <w:t xml:space="preserve">    </w:t>
      </w:r>
    </w:p>
    <w:p w14:paraId="22058E90">
      <w:pPr>
        <w:pStyle w:val="45"/>
        <w:keepNext w:val="0"/>
        <w:keepLines w:val="0"/>
        <w:pageBreakBefore w:val="0"/>
        <w:widowControl w:val="0"/>
        <w:kinsoku/>
        <w:wordWrap w:val="0"/>
        <w:overflowPunct/>
        <w:topLinePunct w:val="0"/>
        <w:autoSpaceDE/>
        <w:autoSpaceDN/>
        <w:bidi w:val="0"/>
        <w:adjustRightInd/>
        <w:snapToGrid/>
        <w:spacing w:line="276" w:lineRule="auto"/>
        <w:ind w:firstLine="482" w:firstLineChars="0"/>
        <w:textAlignment w:val="auto"/>
        <w:rPr>
          <w:rFonts w:hint="default" w:ascii="宋体" w:hAnsi="宋体"/>
          <w:sz w:val="24"/>
          <w:szCs w:val="24"/>
          <w:lang w:val="en-US" w:eastAsia="zh-CN"/>
        </w:rPr>
      </w:pPr>
      <w:r>
        <w:rPr>
          <w:rFonts w:hint="eastAsia" w:ascii="宋体" w:hAnsi="宋体"/>
          <w:sz w:val="24"/>
          <w:szCs w:val="24"/>
          <w:lang w:val="en-US" w:eastAsia="zh-CN"/>
        </w:rPr>
        <w:t>就父母最高受教育水平的异质性而言，在初中及以下学历组中，感知的重要他人影响的回归系数为 0.476（(p &lt; 0.01），表明该群体中感知的重要他人影响对人工智能学习素养具有显著且较强的正向影响；高中学历组中，其回归系数为 0.361（p &lt; 0.01），说明父母是高中学历群体中感知的重要他人影响对人工智能学习素养的正向影响显著但程度弱于初中及以下学历组；大学及以上学历组中，回归系数为 0.465（p &lt; 0.01），可见该群体中感知的重要他人影响对人工智能学习素养的正向影响显著且程度与初中及以下学历组相近。因此，感知的重要他人态度行为对父母受教育程度不同的中小学生的人工智能学习素养具有不同的影响，对于父母受教育水平为初中及以下以及大学及以上的群体而言更为强烈，整体而言呈现U型。</w:t>
      </w:r>
    </w:p>
    <w:p w14:paraId="7E7BF1A3">
      <w:pPr>
        <w:pStyle w:val="45"/>
        <w:keepNext w:val="0"/>
        <w:keepLines w:val="0"/>
        <w:pageBreakBefore w:val="0"/>
        <w:widowControl w:val="0"/>
        <w:kinsoku/>
        <w:wordWrap w:val="0"/>
        <w:overflowPunct/>
        <w:topLinePunct w:val="0"/>
        <w:autoSpaceDE/>
        <w:autoSpaceDN/>
        <w:bidi w:val="0"/>
        <w:adjustRightInd/>
        <w:snapToGrid/>
        <w:spacing w:line="276" w:lineRule="auto"/>
        <w:ind w:firstLine="482" w:firstLineChars="0"/>
        <w:textAlignment w:val="auto"/>
        <w:rPr>
          <w:rFonts w:hint="eastAsia" w:ascii="宋体" w:hAnsi="宋体"/>
          <w:sz w:val="24"/>
          <w:szCs w:val="24"/>
          <w:lang w:val="en-US" w:eastAsia="zh-CN"/>
        </w:rPr>
      </w:pPr>
      <w:r>
        <w:rPr>
          <w:rFonts w:hint="eastAsia" w:ascii="宋体" w:hAnsi="宋体"/>
          <w:sz w:val="24"/>
          <w:szCs w:val="24"/>
          <w:lang w:val="en-US" w:eastAsia="zh-CN"/>
        </w:rPr>
        <w:t>从城乡户口类型的异质性来看，农村户口组中，感知的重要他人影响的回归系数为 0.379（p &lt; 0.05），，表明农村户口个体中感知的重要他人影响对人工智能学习素养具有显著正向影响；城市户口组中，回归系数为 0.457（p &lt; 0.01），说明城市户口个体中感知的重要他人影响对人工智能学习素养的正向影响更为显著且程度更强。</w:t>
      </w:r>
    </w:p>
    <w:p w14:paraId="74B0B90C">
      <w:pPr>
        <w:pStyle w:val="45"/>
        <w:keepNext w:val="0"/>
        <w:keepLines w:val="0"/>
        <w:pageBreakBefore w:val="0"/>
        <w:widowControl w:val="0"/>
        <w:kinsoku/>
        <w:wordWrap w:val="0"/>
        <w:overflowPunct/>
        <w:topLinePunct w:val="0"/>
        <w:autoSpaceDE/>
        <w:autoSpaceDN/>
        <w:bidi w:val="0"/>
        <w:adjustRightInd/>
        <w:snapToGrid/>
        <w:spacing w:line="276" w:lineRule="auto"/>
        <w:ind w:firstLine="482" w:firstLineChars="0"/>
        <w:textAlignment w:val="auto"/>
        <w:rPr>
          <w:rFonts w:hint="default" w:ascii="宋体" w:hAnsi="宋体" w:eastAsia="宋体"/>
          <w:sz w:val="24"/>
          <w:szCs w:val="24"/>
          <w:lang w:val="en-US" w:eastAsia="zh-CN"/>
        </w:rPr>
      </w:pPr>
      <w:r>
        <w:rPr>
          <w:rFonts w:hint="eastAsia" w:ascii="宋体" w:hAnsi="宋体"/>
          <w:sz w:val="24"/>
          <w:szCs w:val="24"/>
          <w:lang w:val="en-US" w:eastAsia="zh-CN"/>
        </w:rPr>
        <w:t>综上，感知的重要他人影响对人工智能学习素养的作用存在明显的异质性：在父母最高受教育水平维度上，高中学历群体所受影响相对较弱，初中及以下、大学及以上学历群体所受影响相对较强；在城乡户口维度上，城市户口个体所受影响显著强于农村户口个体。结果与假设4存在一定差异，假设3得到验证。</w:t>
      </w:r>
    </w:p>
    <w:sectPr>
      <w:footnotePr>
        <w:numFmt w:val="decimalEnclosedCircleChinese"/>
        <w:numRestart w:val="eachPage"/>
      </w:footnotePr>
      <w:endnotePr>
        <w:numFmt w:val="decimal"/>
      </w:endnote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96">
    <w:p>
      <w:r>
        <w:separator/>
      </w:r>
    </w:p>
  </w:endnote>
  <w:endnote w:type="continuationSeparator" w:id="97">
    <w:p>
      <w:r>
        <w:continuationSeparator/>
      </w:r>
    </w:p>
  </w:endnote>
  <w:endnote w:id="0">
    <w:p w14:paraId="200C4A31">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 xml:space="preserve">] </w:t>
      </w:r>
      <w:r>
        <w:rPr>
          <w:rFonts w:hint="eastAsia" w:eastAsia="宋体"/>
          <w:lang w:eastAsia="zh-CN"/>
        </w:rPr>
        <w:t>国务院</w:t>
      </w:r>
      <w:r>
        <w:rPr>
          <w:rFonts w:eastAsia="宋体"/>
          <w:lang w:eastAsia="zh-CN"/>
        </w:rPr>
        <w:t xml:space="preserve">. </w:t>
      </w:r>
      <w:r>
        <w:rPr>
          <w:rFonts w:hint="eastAsia" w:eastAsia="宋体"/>
          <w:lang w:eastAsia="zh-CN"/>
        </w:rPr>
        <w:t>新一代人工智能发展规划</w:t>
      </w:r>
      <w:r>
        <w:rPr>
          <w:rFonts w:eastAsia="宋体"/>
          <w:lang w:eastAsia="zh-CN"/>
        </w:rPr>
        <w:t xml:space="preserve"> (</w:t>
      </w:r>
      <w:r>
        <w:rPr>
          <w:rFonts w:hint="eastAsia" w:eastAsia="宋体"/>
          <w:lang w:eastAsia="zh-CN"/>
        </w:rPr>
        <w:t>国发〔</w:t>
      </w:r>
      <w:r>
        <w:rPr>
          <w:rFonts w:eastAsia="宋体"/>
          <w:lang w:eastAsia="zh-CN"/>
        </w:rPr>
        <w:t>2017</w:t>
      </w:r>
      <w:r>
        <w:rPr>
          <w:rFonts w:hint="eastAsia" w:eastAsia="宋体"/>
          <w:lang w:eastAsia="zh-CN"/>
        </w:rPr>
        <w:t>〕</w:t>
      </w:r>
      <w:r>
        <w:rPr>
          <w:rFonts w:eastAsia="宋体"/>
          <w:lang w:eastAsia="zh-CN"/>
        </w:rPr>
        <w:t xml:space="preserve">35 </w:t>
      </w:r>
      <w:r>
        <w:rPr>
          <w:rFonts w:hint="eastAsia" w:eastAsia="宋体"/>
          <w:lang w:eastAsia="zh-CN"/>
        </w:rPr>
        <w:t>号</w:t>
      </w:r>
      <w:r>
        <w:rPr>
          <w:rFonts w:eastAsia="宋体"/>
          <w:lang w:eastAsia="zh-CN"/>
        </w:rPr>
        <w:t>) [Z]. 2017.</w:t>
      </w:r>
    </w:p>
  </w:endnote>
  <w:endnote w:id="1">
    <w:p w14:paraId="12870AF4">
      <w:pPr>
        <w:pStyle w:val="12"/>
        <w:rPr>
          <w:rFonts w:eastAsia="宋体"/>
        </w:rPr>
      </w:pPr>
      <w:r>
        <w:rPr>
          <w:rFonts w:eastAsia="宋体"/>
        </w:rPr>
        <w:t>[</w:t>
      </w:r>
      <w:r>
        <w:rPr>
          <w:rFonts w:eastAsia="宋体"/>
        </w:rPr>
        <w:endnoteRef/>
      </w:r>
      <w:r>
        <w:rPr>
          <w:rFonts w:eastAsia="宋体"/>
        </w:rPr>
        <w:t>] UNESCO. AI in education: Change at the speed of learning[R]. Paris: UNESCO, 2020.</w:t>
      </w:r>
    </w:p>
  </w:endnote>
  <w:endnote w:id="2">
    <w:p w14:paraId="38FC3F63">
      <w:pPr>
        <w:pStyle w:val="12"/>
        <w:rPr>
          <w:rFonts w:eastAsia="宋体"/>
        </w:rPr>
      </w:pPr>
      <w:r>
        <w:rPr>
          <w:rFonts w:eastAsia="宋体"/>
        </w:rPr>
        <w:t>[</w:t>
      </w:r>
      <w:r>
        <w:rPr>
          <w:rFonts w:eastAsia="宋体"/>
        </w:rPr>
        <w:endnoteRef/>
      </w:r>
      <w:r>
        <w:rPr>
          <w:rFonts w:eastAsia="宋体"/>
        </w:rPr>
        <w:t xml:space="preserve">] </w:t>
      </w:r>
      <w:r>
        <w:rPr>
          <w:rFonts w:hint="eastAsia" w:eastAsia="宋体"/>
        </w:rPr>
        <w:t>祝智庭</w:t>
      </w:r>
      <w:r>
        <w:rPr>
          <w:rFonts w:eastAsia="宋体"/>
        </w:rPr>
        <w:t xml:space="preserve">, </w:t>
      </w:r>
      <w:r>
        <w:rPr>
          <w:rFonts w:hint="eastAsia" w:eastAsia="宋体"/>
        </w:rPr>
        <w:t>胡姣</w:t>
      </w:r>
      <w:r>
        <w:rPr>
          <w:rFonts w:eastAsia="宋体"/>
        </w:rPr>
        <w:t xml:space="preserve">. </w:t>
      </w:r>
      <w:r>
        <w:rPr>
          <w:rFonts w:hint="eastAsia" w:eastAsia="宋体"/>
        </w:rPr>
        <w:t>教育数字化转型的实践逻辑与发展机遇</w:t>
      </w:r>
      <w:r>
        <w:rPr>
          <w:rFonts w:eastAsia="宋体"/>
        </w:rPr>
        <w:t xml:space="preserve"> [J]. </w:t>
      </w:r>
      <w:r>
        <w:rPr>
          <w:rFonts w:hint="eastAsia" w:eastAsia="宋体"/>
        </w:rPr>
        <w:t>电化教育研究</w:t>
      </w:r>
      <w:r>
        <w:rPr>
          <w:rFonts w:eastAsia="宋体"/>
        </w:rPr>
        <w:t>, 2022, 43(1): 5-15.</w:t>
      </w:r>
    </w:p>
  </w:endnote>
  <w:endnote w:id="3">
    <w:p w14:paraId="40188B50">
      <w:pPr>
        <w:pStyle w:val="12"/>
        <w:rPr>
          <w:rFonts w:eastAsia="宋体"/>
        </w:rPr>
      </w:pPr>
      <w:r>
        <w:rPr>
          <w:rFonts w:eastAsia="宋体"/>
        </w:rPr>
        <w:t>[</w:t>
      </w:r>
      <w:r>
        <w:rPr>
          <w:rFonts w:eastAsia="宋体"/>
        </w:rPr>
        <w:endnoteRef/>
      </w:r>
      <w:r>
        <w:rPr>
          <w:rFonts w:eastAsia="宋体"/>
        </w:rPr>
        <w:t xml:space="preserve">] </w:t>
      </w:r>
      <w:r>
        <w:rPr>
          <w:rFonts w:hint="eastAsia" w:eastAsia="宋体"/>
        </w:rPr>
        <w:t>梁迎丽</w:t>
      </w:r>
      <w:r>
        <w:rPr>
          <w:rFonts w:eastAsia="宋体"/>
        </w:rPr>
        <w:t xml:space="preserve">, </w:t>
      </w:r>
      <w:r>
        <w:rPr>
          <w:rFonts w:hint="eastAsia" w:eastAsia="宋体"/>
        </w:rPr>
        <w:t>刘陈</w:t>
      </w:r>
      <w:r>
        <w:rPr>
          <w:rFonts w:eastAsia="宋体"/>
        </w:rPr>
        <w:t xml:space="preserve">. </w:t>
      </w:r>
      <w:r>
        <w:rPr>
          <w:rFonts w:hint="eastAsia" w:eastAsia="宋体"/>
        </w:rPr>
        <w:t>人工智能教育应用的现状分析、典型特征与发展趋势</w:t>
      </w:r>
      <w:r>
        <w:rPr>
          <w:rFonts w:eastAsia="宋体"/>
        </w:rPr>
        <w:t xml:space="preserve"> [J]. </w:t>
      </w:r>
      <w:r>
        <w:rPr>
          <w:rFonts w:hint="eastAsia" w:eastAsia="宋体"/>
        </w:rPr>
        <w:t>中国电化教育</w:t>
      </w:r>
      <w:r>
        <w:rPr>
          <w:rFonts w:eastAsia="宋体"/>
        </w:rPr>
        <w:t>, 2018(3): 24-30.</w:t>
      </w:r>
    </w:p>
  </w:endnote>
  <w:endnote w:id="4">
    <w:p w14:paraId="69986181">
      <w:pPr>
        <w:pStyle w:val="12"/>
        <w:rPr>
          <w:rFonts w:hint="eastAsia" w:eastAsia="宋体"/>
        </w:rPr>
      </w:pPr>
      <w:r>
        <w:rPr>
          <w:rStyle w:val="21"/>
        </w:rPr>
        <w:endnoteRef/>
      </w:r>
      <w:r>
        <w:t xml:space="preserve"> BANDURA A. Social foundations of thought and action: A social cognitive theory[M]. Englewood Cliffs: Prentice-Hall, 1986.</w:t>
      </w:r>
    </w:p>
  </w:endnote>
  <w:endnote w:id="5">
    <w:p w14:paraId="1E237382">
      <w:pPr>
        <w:pStyle w:val="12"/>
        <w:rPr>
          <w:rFonts w:eastAsia="宋体"/>
        </w:rPr>
      </w:pPr>
      <w:r>
        <w:rPr>
          <w:rFonts w:eastAsia="宋体"/>
        </w:rPr>
        <w:t>[</w:t>
      </w:r>
      <w:r>
        <w:rPr>
          <w:rFonts w:eastAsia="宋体"/>
        </w:rPr>
        <w:endnoteRef/>
      </w:r>
      <w:r>
        <w:rPr>
          <w:rFonts w:eastAsia="宋体"/>
        </w:rPr>
        <w:t>] HILL N E, TYSON D F. Parental involvement in middle school: A meta-analytic assessment of the strategies that promote achievement[J]. Developmental Psychology, 2009, 45(3): 740-763.</w:t>
      </w:r>
    </w:p>
  </w:endnote>
  <w:endnote w:id="6">
    <w:p w14:paraId="14139A1A">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 xml:space="preserve">] </w:t>
      </w:r>
      <w:r>
        <w:rPr>
          <w:rFonts w:hint="eastAsia" w:eastAsia="宋体"/>
          <w:lang w:eastAsia="zh-CN"/>
        </w:rPr>
        <w:t>吴重涵</w:t>
      </w:r>
      <w:r>
        <w:rPr>
          <w:rFonts w:eastAsia="宋体"/>
          <w:lang w:eastAsia="zh-CN"/>
        </w:rPr>
        <w:t xml:space="preserve">, </w:t>
      </w:r>
      <w:r>
        <w:rPr>
          <w:rFonts w:hint="eastAsia" w:eastAsia="宋体"/>
          <w:lang w:eastAsia="zh-CN"/>
        </w:rPr>
        <w:t>张俊</w:t>
      </w:r>
      <w:r>
        <w:rPr>
          <w:rFonts w:eastAsia="宋体"/>
          <w:lang w:eastAsia="zh-CN"/>
        </w:rPr>
        <w:t xml:space="preserve">, </w:t>
      </w:r>
      <w:r>
        <w:rPr>
          <w:rFonts w:hint="eastAsia" w:eastAsia="宋体"/>
          <w:lang w:eastAsia="zh-CN"/>
        </w:rPr>
        <w:t>王梅雾</w:t>
      </w:r>
      <w:r>
        <w:rPr>
          <w:rFonts w:eastAsia="宋体"/>
          <w:lang w:eastAsia="zh-CN"/>
        </w:rPr>
        <w:t xml:space="preserve">. </w:t>
      </w:r>
      <w:r>
        <w:rPr>
          <w:rFonts w:hint="eastAsia" w:eastAsia="宋体"/>
          <w:lang w:eastAsia="zh-CN"/>
        </w:rPr>
        <w:t>是什么阻碍了家长对子女教育的参与——阶层差异、学校选择性抑制与家长参与</w:t>
      </w:r>
      <w:r>
        <w:rPr>
          <w:rFonts w:eastAsia="宋体"/>
          <w:lang w:eastAsia="zh-CN"/>
        </w:rPr>
        <w:t xml:space="preserve"> [J]. </w:t>
      </w:r>
      <w:r>
        <w:rPr>
          <w:rFonts w:hint="eastAsia" w:eastAsia="宋体"/>
          <w:lang w:eastAsia="zh-CN"/>
        </w:rPr>
        <w:t>教育研究</w:t>
      </w:r>
      <w:r>
        <w:rPr>
          <w:rFonts w:eastAsia="宋体"/>
          <w:lang w:eastAsia="zh-CN"/>
        </w:rPr>
        <w:t>, 2017, 38(1): 85-94.</w:t>
      </w:r>
    </w:p>
  </w:endnote>
  <w:endnote w:id="7">
    <w:p w14:paraId="2A8912D5">
      <w:pPr>
        <w:pStyle w:val="12"/>
        <w:rPr>
          <w:rFonts w:eastAsia="宋体"/>
        </w:rPr>
      </w:pPr>
      <w:r>
        <w:rPr>
          <w:rFonts w:eastAsia="宋体"/>
        </w:rPr>
        <w:t>[</w:t>
      </w:r>
      <w:r>
        <w:rPr>
          <w:rFonts w:eastAsia="宋体"/>
        </w:rPr>
        <w:endnoteRef/>
      </w:r>
      <w:r>
        <w:rPr>
          <w:rFonts w:eastAsia="宋体"/>
        </w:rPr>
        <w:t>] ENGLUND M M, LUCKNER A E, WHALEY G J, et al. Children's achievement in early elementary school: Longitudinal effects of parental involvement, expectations, and quality of assistance[J]. Journal of Educational Psychology, 2004, 96(4): 723-730.</w:t>
      </w:r>
    </w:p>
  </w:endnote>
  <w:endnote w:id="8">
    <w:p w14:paraId="349AC720">
      <w:pPr>
        <w:pStyle w:val="12"/>
        <w:rPr>
          <w:rFonts w:eastAsia="宋体"/>
        </w:rPr>
      </w:pPr>
      <w:r>
        <w:rPr>
          <w:rFonts w:eastAsia="宋体"/>
        </w:rPr>
        <w:t>[</w:t>
      </w:r>
      <w:r>
        <w:rPr>
          <w:rFonts w:eastAsia="宋体"/>
        </w:rPr>
        <w:endnoteRef/>
      </w:r>
      <w:r>
        <w:rPr>
          <w:rFonts w:eastAsia="宋体"/>
        </w:rPr>
        <w:t>] HILL N E, CRAFT S A. Parent-school involvement and school performance: Mediated pathways among socioeconomically comparable African American and Euro-American families[J]. Journal of Educational Psychology, 2003, 95(1): 74-83.</w:t>
      </w:r>
    </w:p>
  </w:endnote>
  <w:endnote w:id="9">
    <w:p w14:paraId="08941751">
      <w:pPr>
        <w:pStyle w:val="12"/>
        <w:rPr>
          <w:rFonts w:eastAsia="宋体"/>
        </w:rPr>
      </w:pPr>
      <w:r>
        <w:rPr>
          <w:rFonts w:eastAsia="宋体"/>
        </w:rPr>
        <w:t>[</w:t>
      </w:r>
      <w:r>
        <w:rPr>
          <w:rFonts w:eastAsia="宋体"/>
        </w:rPr>
        <w:endnoteRef/>
      </w:r>
      <w:r>
        <w:rPr>
          <w:rFonts w:eastAsia="宋体"/>
        </w:rPr>
        <w:t>] LEI J, ZHOU W. Digital divide: How do home internet connection and parental support affect student achievement?[J]. Journal of Educational Technology &amp; Society, 2012, 15(3): 273-284.</w:t>
      </w:r>
    </w:p>
  </w:endnote>
  <w:endnote w:id="10">
    <w:p w14:paraId="60E3A515">
      <w:pPr>
        <w:pStyle w:val="12"/>
        <w:rPr>
          <w:rFonts w:eastAsia="宋体"/>
        </w:rPr>
      </w:pPr>
      <w:r>
        <w:rPr>
          <w:rFonts w:eastAsia="宋体"/>
        </w:rPr>
        <w:t>[</w:t>
      </w:r>
      <w:r>
        <w:rPr>
          <w:rFonts w:eastAsia="宋体"/>
        </w:rPr>
        <w:endnoteRef/>
      </w:r>
      <w:r>
        <w:rPr>
          <w:rFonts w:eastAsia="宋体"/>
        </w:rPr>
        <w:t>]PEKRUN R. The control-value theory of achievement emotions: Assumptions, corollaries, and implications for educational research and practice[J]. Educational Psychology Review, 2006, 18(4): 315-341.</w:t>
      </w:r>
    </w:p>
  </w:endnote>
  <w:endnote w:id="11">
    <w:p w14:paraId="45F4CC9F">
      <w:pPr>
        <w:pStyle w:val="12"/>
        <w:rPr>
          <w:rFonts w:eastAsia="宋体"/>
        </w:rPr>
      </w:pPr>
      <w:r>
        <w:rPr>
          <w:rFonts w:eastAsia="宋体"/>
        </w:rPr>
        <w:t>[</w:t>
      </w:r>
      <w:r>
        <w:rPr>
          <w:rFonts w:eastAsia="宋体"/>
        </w:rPr>
        <w:endnoteRef/>
      </w:r>
      <w:r>
        <w:rPr>
          <w:rFonts w:eastAsia="宋体"/>
        </w:rPr>
        <w:t>]WILLIAM D. Embedded formative assessment[M]. Bloomington: Solution Tree Press, 2011.</w:t>
      </w:r>
    </w:p>
  </w:endnote>
  <w:endnote w:id="12">
    <w:p w14:paraId="32F64479">
      <w:pPr>
        <w:pStyle w:val="12"/>
        <w:rPr>
          <w:rFonts w:eastAsia="宋体"/>
        </w:rPr>
      </w:pPr>
      <w:r>
        <w:rPr>
          <w:rFonts w:eastAsia="宋体"/>
        </w:rPr>
        <w:t>[</w:t>
      </w:r>
      <w:r>
        <w:rPr>
          <w:rFonts w:eastAsia="宋体"/>
        </w:rPr>
        <w:endnoteRef/>
      </w:r>
      <w:r>
        <w:rPr>
          <w:rFonts w:eastAsia="宋体"/>
        </w:rPr>
        <w:t>] CHRISTENSON S L, RESCHLY A L, WYLIE C. Handbook of research on student engagement[M]. New York: Springer, 2012.</w:t>
      </w:r>
    </w:p>
  </w:endnote>
  <w:endnote w:id="13">
    <w:p w14:paraId="2CAD993F">
      <w:pPr>
        <w:pStyle w:val="12"/>
        <w:rPr>
          <w:rFonts w:eastAsia="宋体"/>
        </w:rPr>
      </w:pPr>
      <w:r>
        <w:rPr>
          <w:rFonts w:eastAsia="宋体"/>
        </w:rPr>
        <w:t>[</w:t>
      </w:r>
      <w:r>
        <w:rPr>
          <w:rFonts w:eastAsia="宋体"/>
        </w:rPr>
        <w:endnoteRef/>
      </w:r>
      <w:r>
        <w:rPr>
          <w:rFonts w:eastAsia="宋体"/>
        </w:rPr>
        <w:t>] WANG M T, ECCLES J S. Social support matters: Longitudinal effects of social support on three dimensions of school engagement from middle to high school[J]. Child Development, 2012, 83(3): 877-895.</w:t>
      </w:r>
    </w:p>
  </w:endnote>
  <w:endnote w:id="14">
    <w:p w14:paraId="4FBB7E24">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 xml:space="preserve">] </w:t>
      </w:r>
      <w:r>
        <w:rPr>
          <w:rFonts w:hint="eastAsia" w:eastAsia="宋体"/>
          <w:lang w:eastAsia="zh-CN"/>
        </w:rPr>
        <w:t>吴愈晓</w:t>
      </w:r>
      <w:r>
        <w:rPr>
          <w:rFonts w:eastAsia="宋体"/>
          <w:lang w:eastAsia="zh-CN"/>
        </w:rPr>
        <w:t xml:space="preserve">, </w:t>
      </w:r>
      <w:r>
        <w:rPr>
          <w:rFonts w:hint="eastAsia" w:eastAsia="宋体"/>
          <w:lang w:eastAsia="zh-CN"/>
        </w:rPr>
        <w:t>张帆</w:t>
      </w:r>
      <w:r>
        <w:rPr>
          <w:rFonts w:eastAsia="宋体"/>
          <w:lang w:eastAsia="zh-CN"/>
        </w:rPr>
        <w:t>. “</w:t>
      </w:r>
      <w:r>
        <w:rPr>
          <w:rFonts w:hint="eastAsia" w:eastAsia="宋体"/>
          <w:lang w:eastAsia="zh-CN"/>
        </w:rPr>
        <w:t>近朱者赤”的健康代价</w:t>
      </w:r>
      <w:r>
        <w:rPr>
          <w:rFonts w:eastAsia="宋体"/>
          <w:lang w:eastAsia="zh-CN"/>
        </w:rPr>
        <w:t>:</w:t>
      </w:r>
      <w:r>
        <w:rPr>
          <w:rFonts w:hint="eastAsia" w:eastAsia="宋体"/>
          <w:lang w:eastAsia="zh-CN"/>
        </w:rPr>
        <w:t>同辈影响与青少年的学业成绩和心理健康</w:t>
      </w:r>
      <w:r>
        <w:rPr>
          <w:rFonts w:eastAsia="宋体"/>
          <w:lang w:eastAsia="zh-CN"/>
        </w:rPr>
        <w:t xml:space="preserve"> [J]. </w:t>
      </w:r>
      <w:r>
        <w:rPr>
          <w:rFonts w:hint="eastAsia" w:eastAsia="宋体"/>
          <w:lang w:eastAsia="zh-CN"/>
        </w:rPr>
        <w:t>教育研究</w:t>
      </w:r>
      <w:r>
        <w:rPr>
          <w:rFonts w:eastAsia="宋体"/>
          <w:lang w:eastAsia="zh-CN"/>
        </w:rPr>
        <w:t>, 2020, 41(7): 123-142.</w:t>
      </w:r>
    </w:p>
  </w:endnote>
  <w:endnote w:id="15">
    <w:p w14:paraId="266DEC10">
      <w:pPr>
        <w:pStyle w:val="12"/>
        <w:rPr>
          <w:rFonts w:eastAsia="宋体"/>
        </w:rPr>
      </w:pPr>
      <w:r>
        <w:rPr>
          <w:rFonts w:eastAsia="宋体"/>
        </w:rPr>
        <w:t>[</w:t>
      </w:r>
      <w:r>
        <w:rPr>
          <w:rFonts w:eastAsia="宋体"/>
        </w:rPr>
        <w:endnoteRef/>
      </w:r>
      <w:r>
        <w:rPr>
          <w:rFonts w:eastAsia="宋体"/>
        </w:rPr>
        <w:t xml:space="preserve">] </w:t>
      </w:r>
      <w:r>
        <w:rPr>
          <w:rFonts w:hint="eastAsia" w:eastAsia="宋体"/>
        </w:rPr>
        <w:t>李世瑾</w:t>
      </w:r>
      <w:r>
        <w:rPr>
          <w:rFonts w:eastAsia="宋体"/>
        </w:rPr>
        <w:t xml:space="preserve">, </w:t>
      </w:r>
      <w:r>
        <w:rPr>
          <w:rFonts w:hint="eastAsia" w:eastAsia="宋体"/>
        </w:rPr>
        <w:t>王成龙</w:t>
      </w:r>
      <w:r>
        <w:rPr>
          <w:rFonts w:eastAsia="宋体"/>
        </w:rPr>
        <w:t xml:space="preserve">, </w:t>
      </w:r>
      <w:r>
        <w:rPr>
          <w:rFonts w:hint="eastAsia" w:eastAsia="宋体"/>
        </w:rPr>
        <w:t>顾庭轩</w:t>
      </w:r>
      <w:r>
        <w:rPr>
          <w:rFonts w:eastAsia="宋体"/>
        </w:rPr>
        <w:t xml:space="preserve">, </w:t>
      </w:r>
      <w:r>
        <w:rPr>
          <w:rFonts w:hint="eastAsia" w:eastAsia="宋体"/>
        </w:rPr>
        <w:t>等</w:t>
      </w:r>
      <w:r>
        <w:rPr>
          <w:rFonts w:eastAsia="宋体"/>
        </w:rPr>
        <w:t xml:space="preserve">. </w:t>
      </w:r>
      <w:r>
        <w:rPr>
          <w:rFonts w:hint="eastAsia" w:eastAsia="宋体"/>
        </w:rPr>
        <w:t>使用生成式人工智能有助于提高学生的学习效果吗</w:t>
      </w:r>
      <w:r>
        <w:rPr>
          <w:rFonts w:eastAsia="宋体"/>
        </w:rPr>
        <w:t>?</w:t>
      </w:r>
      <w:r>
        <w:rPr>
          <w:rFonts w:hint="eastAsia" w:eastAsia="宋体"/>
        </w:rPr>
        <w:t>基于</w:t>
      </w:r>
      <w:r>
        <w:rPr>
          <w:rFonts w:eastAsia="宋体"/>
        </w:rPr>
        <w:t>39</w:t>
      </w:r>
      <w:r>
        <w:rPr>
          <w:rFonts w:hint="eastAsia" w:eastAsia="宋体"/>
        </w:rPr>
        <w:t>篇实验与准实验研究文献的元分析</w:t>
      </w:r>
      <w:r>
        <w:rPr>
          <w:rFonts w:eastAsia="宋体"/>
        </w:rPr>
        <w:t xml:space="preserve">[J]. </w:t>
      </w:r>
      <w:r>
        <w:rPr>
          <w:rFonts w:hint="eastAsia" w:eastAsia="宋体"/>
        </w:rPr>
        <w:t>现代教育技术</w:t>
      </w:r>
      <w:r>
        <w:rPr>
          <w:rFonts w:eastAsia="宋体"/>
        </w:rPr>
        <w:t>, 2024, 35(8): 36-45.</w:t>
      </w:r>
    </w:p>
  </w:endnote>
  <w:endnote w:id="16">
    <w:p w14:paraId="6205E219">
      <w:pPr>
        <w:pStyle w:val="12"/>
        <w:rPr>
          <w:rFonts w:eastAsia="宋体"/>
        </w:rPr>
      </w:pPr>
      <w:r>
        <w:rPr>
          <w:rFonts w:eastAsia="宋体"/>
        </w:rPr>
        <w:t>[</w:t>
      </w:r>
      <w:r>
        <w:rPr>
          <w:rFonts w:eastAsia="宋体"/>
        </w:rPr>
        <w:endnoteRef/>
      </w:r>
      <w:r>
        <w:rPr>
          <w:rFonts w:eastAsia="宋体"/>
        </w:rPr>
        <w:t xml:space="preserve">] </w:t>
      </w:r>
      <w:r>
        <w:rPr>
          <w:rFonts w:hint="eastAsia" w:eastAsia="宋体"/>
        </w:rPr>
        <w:t>肖海清</w:t>
      </w:r>
      <w:r>
        <w:rPr>
          <w:rFonts w:eastAsia="宋体"/>
        </w:rPr>
        <w:t xml:space="preserve">, </w:t>
      </w:r>
      <w:r>
        <w:rPr>
          <w:rFonts w:hint="eastAsia" w:eastAsia="宋体"/>
        </w:rPr>
        <w:t>李晓蒙</w:t>
      </w:r>
      <w:r>
        <w:rPr>
          <w:rFonts w:eastAsia="宋体"/>
        </w:rPr>
        <w:t xml:space="preserve">, </w:t>
      </w:r>
      <w:r>
        <w:rPr>
          <w:rFonts w:hint="eastAsia" w:eastAsia="宋体"/>
        </w:rPr>
        <w:t>程双玲</w:t>
      </w:r>
      <w:r>
        <w:rPr>
          <w:rFonts w:eastAsia="宋体"/>
        </w:rPr>
        <w:t xml:space="preserve">, </w:t>
      </w:r>
      <w:r>
        <w:rPr>
          <w:rFonts w:hint="eastAsia" w:eastAsia="宋体"/>
        </w:rPr>
        <w:t>等</w:t>
      </w:r>
      <w:r>
        <w:rPr>
          <w:rFonts w:eastAsia="宋体"/>
        </w:rPr>
        <w:t xml:space="preserve">. </w:t>
      </w:r>
      <w:r>
        <w:rPr>
          <w:rFonts w:hint="eastAsia" w:eastAsia="宋体"/>
        </w:rPr>
        <w:t>国内外人工智能素养研究现状及展望</w:t>
      </w:r>
      <w:r>
        <w:rPr>
          <w:rFonts w:eastAsia="宋体"/>
        </w:rPr>
        <w:t xml:space="preserve">: </w:t>
      </w:r>
      <w:r>
        <w:rPr>
          <w:rFonts w:hint="eastAsia" w:eastAsia="宋体"/>
        </w:rPr>
        <w:t>一个系统性文献综述</w:t>
      </w:r>
      <w:r>
        <w:rPr>
          <w:rFonts w:eastAsia="宋体"/>
        </w:rPr>
        <w:t xml:space="preserve">[J]. </w:t>
      </w:r>
      <w:r>
        <w:rPr>
          <w:rFonts w:hint="eastAsia" w:eastAsia="宋体"/>
        </w:rPr>
        <w:t>图书情报工作</w:t>
      </w:r>
      <w:r>
        <w:rPr>
          <w:rFonts w:eastAsia="宋体"/>
        </w:rPr>
        <w:t>, 2025, 69(10): 120-130.</w:t>
      </w:r>
    </w:p>
  </w:endnote>
  <w:endnote w:id="17">
    <w:p w14:paraId="16BFD371">
      <w:pPr>
        <w:pStyle w:val="12"/>
        <w:rPr>
          <w:rFonts w:eastAsia="宋体"/>
        </w:rPr>
      </w:pPr>
      <w:r>
        <w:rPr>
          <w:rFonts w:eastAsia="宋体"/>
        </w:rPr>
        <w:t>[</w:t>
      </w:r>
      <w:r>
        <w:rPr>
          <w:rFonts w:eastAsia="宋体"/>
        </w:rPr>
        <w:endnoteRef/>
      </w:r>
      <w:r>
        <w:rPr>
          <w:rFonts w:eastAsia="宋体"/>
        </w:rPr>
        <w:t>] UNESCO. AI competency framework for students[R]. Paris: UNESCO Publishing, 2024.</w:t>
      </w:r>
    </w:p>
  </w:endnote>
  <w:endnote w:id="18">
    <w:p w14:paraId="581F6147">
      <w:pPr>
        <w:pStyle w:val="12"/>
        <w:rPr>
          <w:rFonts w:eastAsia="宋体"/>
        </w:rPr>
      </w:pPr>
      <w:r>
        <w:rPr>
          <w:rFonts w:eastAsia="宋体"/>
        </w:rPr>
        <w:t>[</w:t>
      </w:r>
      <w:r>
        <w:rPr>
          <w:rFonts w:eastAsia="宋体"/>
        </w:rPr>
        <w:endnoteRef/>
      </w:r>
      <w:r>
        <w:rPr>
          <w:rFonts w:eastAsia="宋体"/>
        </w:rPr>
        <w:t>] Kong S C, Yang Y. Human-centered learning and teaching framework using generative artificial intelligence[J]. IEEE Transactions on Learning Technologies, 2024, 17: 1565-1574.</w:t>
      </w:r>
    </w:p>
  </w:endnote>
  <w:endnote w:id="19">
    <w:p w14:paraId="46E3C8B8">
      <w:pPr>
        <w:pStyle w:val="12"/>
        <w:rPr>
          <w:rFonts w:eastAsia="宋体"/>
        </w:rPr>
      </w:pPr>
      <w:r>
        <w:rPr>
          <w:rFonts w:eastAsia="宋体"/>
        </w:rPr>
        <w:t>[</w:t>
      </w:r>
      <w:r>
        <w:rPr>
          <w:rFonts w:eastAsia="宋体"/>
        </w:rPr>
        <w:endnoteRef/>
      </w:r>
      <w:r>
        <w:rPr>
          <w:rFonts w:eastAsia="宋体"/>
        </w:rPr>
        <w:t>] Mishra P, Koehler M J. Technological pedagogical content knowledge: A framework for teacher knowledge[J]. Teachers College Record, 2006, 108(6): 1017-1054.</w:t>
      </w:r>
    </w:p>
  </w:endnote>
  <w:endnote w:id="20">
    <w:p w14:paraId="2B981236">
      <w:pPr>
        <w:pStyle w:val="12"/>
        <w:rPr>
          <w:rFonts w:eastAsia="宋体"/>
        </w:rPr>
      </w:pPr>
      <w:r>
        <w:rPr>
          <w:rFonts w:eastAsia="宋体"/>
        </w:rPr>
        <w:t>[</w:t>
      </w:r>
      <w:r>
        <w:rPr>
          <w:rFonts w:eastAsia="宋体"/>
        </w:rPr>
        <w:endnoteRef/>
      </w:r>
      <w:r>
        <w:rPr>
          <w:rFonts w:eastAsia="宋体"/>
        </w:rPr>
        <w:t xml:space="preserve">] </w:t>
      </w:r>
      <w:r>
        <w:rPr>
          <w:rFonts w:hint="eastAsia" w:eastAsia="宋体"/>
        </w:rPr>
        <w:t>郑博文</w:t>
      </w:r>
      <w:r>
        <w:rPr>
          <w:rFonts w:eastAsia="宋体"/>
        </w:rPr>
        <w:t xml:space="preserve">, </w:t>
      </w:r>
      <w:r>
        <w:rPr>
          <w:rFonts w:hint="eastAsia" w:eastAsia="宋体"/>
        </w:rPr>
        <w:t>王鼎庆</w:t>
      </w:r>
      <w:r>
        <w:rPr>
          <w:rFonts w:eastAsia="宋体"/>
        </w:rPr>
        <w:t xml:space="preserve">. </w:t>
      </w:r>
      <w:r>
        <w:rPr>
          <w:rFonts w:hint="eastAsia" w:eastAsia="宋体"/>
        </w:rPr>
        <w:t>生成式人工智能环境下用户学习型搜索行为及效果研究</w:t>
      </w:r>
      <w:r>
        <w:rPr>
          <w:rFonts w:eastAsia="宋体"/>
        </w:rPr>
        <w:t xml:space="preserve">: </w:t>
      </w:r>
      <w:r>
        <w:rPr>
          <w:rFonts w:hint="eastAsia" w:eastAsia="宋体"/>
        </w:rPr>
        <w:t>基于认知风格和任务类型</w:t>
      </w:r>
      <w:r>
        <w:rPr>
          <w:rFonts w:eastAsia="宋体"/>
        </w:rPr>
        <w:t xml:space="preserve">[J]. </w:t>
      </w:r>
      <w:r>
        <w:rPr>
          <w:rFonts w:hint="eastAsia" w:eastAsia="宋体"/>
        </w:rPr>
        <w:t>现代情报</w:t>
      </w:r>
      <w:r>
        <w:rPr>
          <w:rFonts w:eastAsia="宋体"/>
        </w:rPr>
        <w:t>, 2025, 45(6): 74-86.</w:t>
      </w:r>
    </w:p>
  </w:endnote>
  <w:endnote w:id="21">
    <w:p w14:paraId="03FF7385">
      <w:pPr>
        <w:pStyle w:val="12"/>
        <w:rPr>
          <w:rFonts w:eastAsia="宋体"/>
        </w:rPr>
      </w:pPr>
      <w:r>
        <w:rPr>
          <w:rFonts w:eastAsia="宋体"/>
        </w:rPr>
        <w:t>[</w:t>
      </w:r>
      <w:r>
        <w:rPr>
          <w:rFonts w:eastAsia="宋体"/>
        </w:rPr>
        <w:endnoteRef/>
      </w:r>
      <w:r>
        <w:rPr>
          <w:rFonts w:eastAsia="宋体"/>
        </w:rPr>
        <w:t>] Long D, Magerko B. What is AI literacy? Competencies and design considerations[C]//Proceedings of the 2020 CHI Conference on Human Factors in Computing Systems. New York: ACM, 2020: 1-16.</w:t>
      </w:r>
    </w:p>
  </w:endnote>
  <w:endnote w:id="22">
    <w:p w14:paraId="79FF56E2">
      <w:pPr>
        <w:pStyle w:val="12"/>
        <w:rPr>
          <w:rFonts w:eastAsia="宋体"/>
        </w:rPr>
      </w:pPr>
      <w:r>
        <w:rPr>
          <w:rFonts w:eastAsia="宋体"/>
        </w:rPr>
        <w:t>[</w:t>
      </w:r>
      <w:r>
        <w:rPr>
          <w:rFonts w:eastAsia="宋体"/>
        </w:rPr>
        <w:endnoteRef/>
      </w:r>
      <w:r>
        <w:rPr>
          <w:rFonts w:eastAsia="宋体"/>
        </w:rPr>
        <w:t xml:space="preserve">] </w:t>
      </w:r>
      <w:r>
        <w:rPr>
          <w:rFonts w:hint="eastAsia" w:eastAsia="宋体"/>
        </w:rPr>
        <w:t>孙宏艳</w:t>
      </w:r>
      <w:r>
        <w:rPr>
          <w:rFonts w:eastAsia="宋体"/>
        </w:rPr>
        <w:t xml:space="preserve">. </w:t>
      </w:r>
      <w:r>
        <w:rPr>
          <w:rFonts w:hint="eastAsia" w:eastAsia="宋体"/>
        </w:rPr>
        <w:t>中小学生使用生成式人工智能的特征、风险及对策</w:t>
      </w:r>
      <w:r>
        <w:rPr>
          <w:rFonts w:eastAsia="宋体"/>
        </w:rPr>
        <w:t xml:space="preserve">: </w:t>
      </w:r>
      <w:r>
        <w:rPr>
          <w:rFonts w:hint="eastAsia" w:eastAsia="宋体"/>
        </w:rPr>
        <w:t>基于对全国七省</w:t>
      </w:r>
      <w:r>
        <w:rPr>
          <w:rFonts w:eastAsia="宋体"/>
        </w:rPr>
        <w:t>(</w:t>
      </w:r>
      <w:r>
        <w:rPr>
          <w:rFonts w:hint="eastAsia" w:eastAsia="宋体"/>
        </w:rPr>
        <w:t>市</w:t>
      </w:r>
      <w:r>
        <w:rPr>
          <w:rFonts w:eastAsia="宋体"/>
        </w:rPr>
        <w:t>)8563</w:t>
      </w:r>
      <w:r>
        <w:rPr>
          <w:rFonts w:hint="eastAsia" w:eastAsia="宋体"/>
        </w:rPr>
        <w:t>名中小学生的调研分析</w:t>
      </w:r>
      <w:r>
        <w:rPr>
          <w:rFonts w:eastAsia="宋体"/>
        </w:rPr>
        <w:t xml:space="preserve">[J]. </w:t>
      </w:r>
      <w:r>
        <w:rPr>
          <w:rFonts w:hint="eastAsia" w:eastAsia="宋体"/>
        </w:rPr>
        <w:t>中小学管理</w:t>
      </w:r>
      <w:r>
        <w:rPr>
          <w:rFonts w:eastAsia="宋体"/>
        </w:rPr>
        <w:t>, 2025(10): 29-33.</w:t>
      </w:r>
    </w:p>
  </w:endnote>
  <w:endnote w:id="23">
    <w:p w14:paraId="53B50453">
      <w:pPr>
        <w:pStyle w:val="12"/>
        <w:rPr>
          <w:rFonts w:eastAsia="宋体"/>
        </w:rPr>
      </w:pPr>
      <w:r>
        <w:rPr>
          <w:rFonts w:eastAsia="宋体"/>
        </w:rPr>
        <w:t>[</w:t>
      </w:r>
      <w:r>
        <w:rPr>
          <w:rFonts w:eastAsia="宋体"/>
        </w:rPr>
        <w:endnoteRef/>
      </w:r>
      <w:r>
        <w:rPr>
          <w:rFonts w:eastAsia="宋体"/>
        </w:rPr>
        <w:t xml:space="preserve">] </w:t>
      </w:r>
      <w:r>
        <w:rPr>
          <w:rFonts w:hint="eastAsia" w:eastAsia="宋体"/>
        </w:rPr>
        <w:t>周琼</w:t>
      </w:r>
      <w:r>
        <w:rPr>
          <w:rFonts w:eastAsia="宋体"/>
        </w:rPr>
        <w:t xml:space="preserve">, </w:t>
      </w:r>
      <w:r>
        <w:rPr>
          <w:rFonts w:hint="eastAsia" w:eastAsia="宋体"/>
        </w:rPr>
        <w:t>徐亚苹苹</w:t>
      </w:r>
      <w:r>
        <w:rPr>
          <w:rFonts w:eastAsia="宋体"/>
        </w:rPr>
        <w:t xml:space="preserve">, </w:t>
      </w:r>
      <w:r>
        <w:rPr>
          <w:rFonts w:hint="eastAsia" w:eastAsia="宋体"/>
        </w:rPr>
        <w:t>蔡迎春</w:t>
      </w:r>
      <w:r>
        <w:rPr>
          <w:rFonts w:eastAsia="宋体"/>
        </w:rPr>
        <w:t xml:space="preserve">. </w:t>
      </w:r>
      <w:r>
        <w:rPr>
          <w:rFonts w:hint="eastAsia" w:eastAsia="宋体"/>
        </w:rPr>
        <w:t>高校学生人工智能素养能力现状及影响因素多维分析</w:t>
      </w:r>
      <w:r>
        <w:rPr>
          <w:rFonts w:eastAsia="宋体"/>
        </w:rPr>
        <w:t xml:space="preserve">[J]. </w:t>
      </w:r>
      <w:r>
        <w:rPr>
          <w:rFonts w:hint="eastAsia" w:eastAsia="宋体"/>
        </w:rPr>
        <w:t>图书情报知识</w:t>
      </w:r>
      <w:r>
        <w:rPr>
          <w:rFonts w:eastAsia="宋体"/>
        </w:rPr>
        <w:t>, 2024, 41(3): 38-48.</w:t>
      </w:r>
    </w:p>
  </w:endnote>
  <w:endnote w:id="24">
    <w:p w14:paraId="334CC54E">
      <w:pPr>
        <w:pStyle w:val="12"/>
        <w:rPr>
          <w:rFonts w:eastAsia="宋体"/>
        </w:rPr>
      </w:pPr>
      <w:r>
        <w:rPr>
          <w:rFonts w:eastAsia="宋体"/>
        </w:rPr>
        <w:t>[</w:t>
      </w:r>
      <w:r>
        <w:rPr>
          <w:rFonts w:eastAsia="宋体"/>
        </w:rPr>
        <w:endnoteRef/>
      </w:r>
      <w:r>
        <w:rPr>
          <w:rFonts w:eastAsia="宋体"/>
        </w:rPr>
        <w:t>]BANDURA A. Self-efficacy: The exercise of control[M]. New York: W. H. Freeman, 1997.</w:t>
      </w:r>
    </w:p>
  </w:endnote>
  <w:endnote w:id="25">
    <w:p w14:paraId="111DDEFA">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 xml:space="preserve">] </w:t>
      </w:r>
      <w:r>
        <w:rPr>
          <w:rFonts w:hint="eastAsia" w:eastAsia="宋体"/>
          <w:lang w:eastAsia="zh-CN"/>
        </w:rPr>
        <w:t>边玉芳</w:t>
      </w:r>
      <w:r>
        <w:rPr>
          <w:rFonts w:eastAsia="宋体"/>
          <w:lang w:eastAsia="zh-CN"/>
        </w:rPr>
        <w:t xml:space="preserve">. </w:t>
      </w:r>
      <w:r>
        <w:rPr>
          <w:rFonts w:hint="eastAsia" w:eastAsia="宋体"/>
          <w:lang w:eastAsia="zh-CN"/>
        </w:rPr>
        <w:t>中小学生学习自我效能感的结构及特点研究</w:t>
      </w:r>
      <w:r>
        <w:rPr>
          <w:rFonts w:eastAsia="宋体"/>
          <w:lang w:eastAsia="zh-CN"/>
        </w:rPr>
        <w:t xml:space="preserve"> [D]. </w:t>
      </w:r>
      <w:r>
        <w:rPr>
          <w:rFonts w:hint="eastAsia" w:eastAsia="宋体"/>
          <w:lang w:eastAsia="zh-CN"/>
        </w:rPr>
        <w:t>上海</w:t>
      </w:r>
      <w:r>
        <w:rPr>
          <w:rFonts w:eastAsia="宋体"/>
          <w:lang w:eastAsia="zh-CN"/>
        </w:rPr>
        <w:t xml:space="preserve">: </w:t>
      </w:r>
      <w:r>
        <w:rPr>
          <w:rFonts w:hint="eastAsia" w:eastAsia="宋体"/>
          <w:lang w:eastAsia="zh-CN"/>
        </w:rPr>
        <w:t>华东师范大学</w:t>
      </w:r>
      <w:r>
        <w:rPr>
          <w:rFonts w:eastAsia="宋体"/>
          <w:lang w:eastAsia="zh-CN"/>
        </w:rPr>
        <w:t>, 2003.</w:t>
      </w:r>
    </w:p>
  </w:endnote>
  <w:endnote w:id="26">
    <w:p w14:paraId="41FFE221">
      <w:pPr>
        <w:pStyle w:val="12"/>
        <w:rPr>
          <w:rFonts w:eastAsia="宋体"/>
        </w:rPr>
      </w:pPr>
      <w:r>
        <w:rPr>
          <w:rFonts w:eastAsia="宋体"/>
        </w:rPr>
        <w:t>[</w:t>
      </w:r>
      <w:r>
        <w:rPr>
          <w:rFonts w:eastAsia="宋体"/>
        </w:rPr>
        <w:endnoteRef/>
      </w:r>
      <w:r>
        <w:rPr>
          <w:rFonts w:eastAsia="宋体"/>
        </w:rPr>
        <w:t xml:space="preserve">] </w:t>
      </w:r>
      <w:r>
        <w:rPr>
          <w:rFonts w:hint="eastAsia" w:eastAsia="宋体"/>
        </w:rPr>
        <w:t>王凯荣</w:t>
      </w:r>
      <w:r>
        <w:rPr>
          <w:rFonts w:eastAsia="宋体"/>
        </w:rPr>
        <w:t xml:space="preserve">, </w:t>
      </w:r>
      <w:r>
        <w:rPr>
          <w:rFonts w:hint="eastAsia" w:eastAsia="宋体"/>
        </w:rPr>
        <w:t>辛涛</w:t>
      </w:r>
      <w:r>
        <w:rPr>
          <w:rFonts w:eastAsia="宋体"/>
        </w:rPr>
        <w:t xml:space="preserve">, </w:t>
      </w:r>
      <w:r>
        <w:rPr>
          <w:rFonts w:hint="eastAsia" w:eastAsia="宋体"/>
        </w:rPr>
        <w:t>李琼</w:t>
      </w:r>
      <w:r>
        <w:rPr>
          <w:rFonts w:eastAsia="宋体"/>
        </w:rPr>
        <w:t xml:space="preserve">. </w:t>
      </w:r>
      <w:r>
        <w:rPr>
          <w:rFonts w:hint="eastAsia" w:eastAsia="宋体"/>
        </w:rPr>
        <w:t>中学生自我效能感、归因与学习成绩关系的研究</w:t>
      </w:r>
      <w:r>
        <w:rPr>
          <w:rFonts w:eastAsia="宋体"/>
        </w:rPr>
        <w:t xml:space="preserve"> [J]. </w:t>
      </w:r>
      <w:r>
        <w:rPr>
          <w:rFonts w:hint="eastAsia" w:eastAsia="宋体"/>
        </w:rPr>
        <w:t>心理发展与教育</w:t>
      </w:r>
      <w:r>
        <w:rPr>
          <w:rFonts w:eastAsia="宋体"/>
        </w:rPr>
        <w:t>, 1999, 15(4): 22-25.</w:t>
      </w:r>
    </w:p>
  </w:endnote>
  <w:endnote w:id="27">
    <w:p w14:paraId="2AA9C659">
      <w:pPr>
        <w:pStyle w:val="12"/>
        <w:rPr>
          <w:rFonts w:eastAsia="宋体"/>
        </w:rPr>
      </w:pPr>
      <w:r>
        <w:rPr>
          <w:rFonts w:eastAsia="宋体"/>
        </w:rPr>
        <w:t>[</w:t>
      </w:r>
      <w:r>
        <w:rPr>
          <w:rFonts w:eastAsia="宋体"/>
        </w:rPr>
        <w:endnoteRef/>
      </w:r>
      <w:r>
        <w:rPr>
          <w:rFonts w:eastAsia="宋体"/>
        </w:rPr>
        <w:t>]HONICKE T, BROADBENT J. The influence of academic self-efficacy on academic performance: A systematic review[J]. Educational Research Review, 2016, 17: 63-84.</w:t>
      </w:r>
    </w:p>
  </w:endnote>
  <w:endnote w:id="28">
    <w:p w14:paraId="6EA1A685">
      <w:pPr>
        <w:pStyle w:val="12"/>
        <w:rPr>
          <w:rFonts w:eastAsia="宋体"/>
        </w:rPr>
      </w:pPr>
      <w:r>
        <w:rPr>
          <w:rFonts w:eastAsia="宋体"/>
        </w:rPr>
        <w:t>[</w:t>
      </w:r>
      <w:r>
        <w:rPr>
          <w:rFonts w:eastAsia="宋体"/>
        </w:rPr>
        <w:endnoteRef/>
      </w:r>
      <w:r>
        <w:rPr>
          <w:rFonts w:eastAsia="宋体"/>
        </w:rPr>
        <w:t>]SCHNEIDER M, PRECKEL F. Variables associated with achievement in higher education: A systematic review of meta-analyses[J]. Psychological Bulletin, 2017, 143(6): 565-600.</w:t>
      </w:r>
    </w:p>
  </w:endnote>
  <w:endnote w:id="29">
    <w:p w14:paraId="0687D514">
      <w:pPr>
        <w:pStyle w:val="12"/>
        <w:rPr>
          <w:rFonts w:eastAsia="宋体"/>
        </w:rPr>
      </w:pPr>
      <w:r>
        <w:rPr>
          <w:rFonts w:eastAsia="宋体"/>
        </w:rPr>
        <w:t>[</w:t>
      </w:r>
      <w:r>
        <w:rPr>
          <w:rFonts w:eastAsia="宋体"/>
        </w:rPr>
        <w:endnoteRef/>
      </w:r>
      <w:r>
        <w:rPr>
          <w:rFonts w:eastAsia="宋体"/>
        </w:rPr>
        <w:t xml:space="preserve">] </w:t>
      </w:r>
      <w:r>
        <w:rPr>
          <w:rFonts w:hint="eastAsia" w:eastAsia="宋体"/>
        </w:rPr>
        <w:t>宋灵青</w:t>
      </w:r>
      <w:r>
        <w:rPr>
          <w:rFonts w:eastAsia="宋体"/>
        </w:rPr>
        <w:t xml:space="preserve">, </w:t>
      </w:r>
      <w:r>
        <w:rPr>
          <w:rFonts w:hint="eastAsia" w:eastAsia="宋体"/>
        </w:rPr>
        <w:t>刘儒德</w:t>
      </w:r>
      <w:r>
        <w:rPr>
          <w:rFonts w:eastAsia="宋体"/>
        </w:rPr>
        <w:t xml:space="preserve">, </w:t>
      </w:r>
      <w:r>
        <w:rPr>
          <w:rFonts w:hint="eastAsia" w:eastAsia="宋体"/>
        </w:rPr>
        <w:t>李玉环</w:t>
      </w:r>
      <w:r>
        <w:rPr>
          <w:rFonts w:eastAsia="宋体"/>
        </w:rPr>
        <w:t xml:space="preserve">, </w:t>
      </w:r>
      <w:r>
        <w:rPr>
          <w:rFonts w:hint="eastAsia" w:eastAsia="宋体"/>
        </w:rPr>
        <w:t>等</w:t>
      </w:r>
      <w:r>
        <w:rPr>
          <w:rFonts w:eastAsia="宋体"/>
        </w:rPr>
        <w:t xml:space="preserve">. </w:t>
      </w:r>
      <w:r>
        <w:rPr>
          <w:rFonts w:hint="eastAsia" w:eastAsia="宋体"/>
        </w:rPr>
        <w:t>社会支持、学习观和自我效能感对学习主观幸福感的影响</w:t>
      </w:r>
      <w:r>
        <w:rPr>
          <w:rFonts w:eastAsia="宋体"/>
        </w:rPr>
        <w:t xml:space="preserve"> [J]. </w:t>
      </w:r>
      <w:r>
        <w:rPr>
          <w:rFonts w:hint="eastAsia" w:eastAsia="宋体"/>
        </w:rPr>
        <w:t>心理发展与教育</w:t>
      </w:r>
      <w:r>
        <w:rPr>
          <w:rFonts w:eastAsia="宋体"/>
        </w:rPr>
        <w:t>, 2010, 26(3): 282-287.</w:t>
      </w:r>
    </w:p>
  </w:endnote>
  <w:endnote w:id="30">
    <w:p w14:paraId="68042AB7">
      <w:pPr>
        <w:pStyle w:val="12"/>
        <w:rPr>
          <w:rFonts w:eastAsia="宋体"/>
        </w:rPr>
      </w:pPr>
      <w:r>
        <w:rPr>
          <w:rFonts w:eastAsia="宋体"/>
        </w:rPr>
        <w:t>[</w:t>
      </w:r>
      <w:r>
        <w:rPr>
          <w:rFonts w:eastAsia="宋体"/>
        </w:rPr>
        <w:endnoteRef/>
      </w:r>
      <w:r>
        <w:rPr>
          <w:rFonts w:eastAsia="宋体"/>
        </w:rPr>
        <w:t xml:space="preserve">] </w:t>
      </w:r>
      <w:r>
        <w:rPr>
          <w:rFonts w:hint="eastAsia" w:eastAsia="宋体"/>
        </w:rPr>
        <w:t>陈纯槿</w:t>
      </w:r>
      <w:r>
        <w:rPr>
          <w:rFonts w:eastAsia="宋体"/>
        </w:rPr>
        <w:t xml:space="preserve">, </w:t>
      </w:r>
      <w:r>
        <w:rPr>
          <w:rFonts w:hint="eastAsia" w:eastAsia="宋体"/>
        </w:rPr>
        <w:t>顾小清</w:t>
      </w:r>
      <w:r>
        <w:rPr>
          <w:rFonts w:eastAsia="宋体"/>
        </w:rPr>
        <w:t xml:space="preserve">. </w:t>
      </w:r>
      <w:r>
        <w:rPr>
          <w:rFonts w:hint="eastAsia" w:eastAsia="宋体"/>
        </w:rPr>
        <w:t>互联网是否扩大了教育结果不平等——基于</w:t>
      </w:r>
      <w:r>
        <w:rPr>
          <w:rFonts w:eastAsia="宋体"/>
        </w:rPr>
        <w:t>PISA</w:t>
      </w:r>
      <w:r>
        <w:rPr>
          <w:rFonts w:hint="eastAsia" w:eastAsia="宋体"/>
        </w:rPr>
        <w:t>上海数据的实证研究</w:t>
      </w:r>
      <w:r>
        <w:rPr>
          <w:rFonts w:eastAsia="宋体"/>
        </w:rPr>
        <w:t xml:space="preserve"> [J]. </w:t>
      </w:r>
      <w:r>
        <w:rPr>
          <w:rFonts w:hint="eastAsia" w:eastAsia="宋体"/>
        </w:rPr>
        <w:t>北京大学教育评论</w:t>
      </w:r>
      <w:r>
        <w:rPr>
          <w:rFonts w:eastAsia="宋体"/>
        </w:rPr>
        <w:t>, 2017, 15(1): 140-153.</w:t>
      </w:r>
    </w:p>
  </w:endnote>
  <w:endnote w:id="31">
    <w:p w14:paraId="02E78ED8">
      <w:pPr>
        <w:pStyle w:val="12"/>
        <w:rPr>
          <w:rFonts w:eastAsia="宋体"/>
        </w:rPr>
      </w:pPr>
      <w:r>
        <w:rPr>
          <w:rFonts w:eastAsia="宋体"/>
        </w:rPr>
        <w:t>[</w:t>
      </w:r>
      <w:r>
        <w:rPr>
          <w:rFonts w:eastAsia="宋体"/>
        </w:rPr>
        <w:endnoteRef/>
      </w:r>
      <w:r>
        <w:rPr>
          <w:rFonts w:eastAsia="宋体"/>
        </w:rPr>
        <w:t xml:space="preserve">] </w:t>
      </w:r>
      <w:r>
        <w:rPr>
          <w:rFonts w:hint="eastAsia" w:eastAsia="宋体"/>
        </w:rPr>
        <w:t>褚宏启</w:t>
      </w:r>
      <w:r>
        <w:rPr>
          <w:rFonts w:eastAsia="宋体"/>
        </w:rPr>
        <w:t xml:space="preserve">. </w:t>
      </w:r>
      <w:r>
        <w:rPr>
          <w:rFonts w:hint="eastAsia" w:eastAsia="宋体"/>
        </w:rPr>
        <w:t>教育制度改革与城乡教育一体化——打破城乡教育二元结构的制度瓶颈</w:t>
      </w:r>
      <w:r>
        <w:rPr>
          <w:rFonts w:eastAsia="宋体"/>
        </w:rPr>
        <w:t xml:space="preserve"> [J]. </w:t>
      </w:r>
      <w:r>
        <w:rPr>
          <w:rFonts w:hint="eastAsia" w:eastAsia="宋体"/>
        </w:rPr>
        <w:t>教育研究</w:t>
      </w:r>
      <w:r>
        <w:rPr>
          <w:rFonts w:eastAsia="宋体"/>
        </w:rPr>
        <w:t>, 2010, 31(11): 3-11.</w:t>
      </w:r>
    </w:p>
  </w:endnote>
  <w:endnote w:id="32">
    <w:p w14:paraId="26BF5DB2">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 xml:space="preserve">] </w:t>
      </w:r>
      <w:r>
        <w:rPr>
          <w:rFonts w:hint="eastAsia" w:eastAsia="宋体"/>
          <w:lang w:eastAsia="zh-CN"/>
        </w:rPr>
        <w:t>王美</w:t>
      </w:r>
      <w:r>
        <w:rPr>
          <w:rFonts w:eastAsia="宋体"/>
          <w:lang w:eastAsia="zh-CN"/>
        </w:rPr>
        <w:t xml:space="preserve">, </w:t>
      </w:r>
      <w:r>
        <w:rPr>
          <w:rFonts w:hint="eastAsia" w:eastAsia="宋体"/>
          <w:lang w:eastAsia="zh-CN"/>
        </w:rPr>
        <w:t>随晓筱</w:t>
      </w:r>
      <w:r>
        <w:rPr>
          <w:rFonts w:eastAsia="宋体"/>
          <w:lang w:eastAsia="zh-CN"/>
        </w:rPr>
        <w:t xml:space="preserve">. </w:t>
      </w:r>
      <w:r>
        <w:rPr>
          <w:rFonts w:hint="eastAsia" w:eastAsia="宋体"/>
          <w:lang w:eastAsia="zh-CN"/>
        </w:rPr>
        <w:t>新数字鸿沟</w:t>
      </w:r>
      <w:r>
        <w:rPr>
          <w:rFonts w:eastAsia="宋体"/>
          <w:lang w:eastAsia="zh-CN"/>
        </w:rPr>
        <w:t xml:space="preserve">: </w:t>
      </w:r>
      <w:r>
        <w:rPr>
          <w:rFonts w:hint="eastAsia" w:eastAsia="宋体"/>
          <w:lang w:eastAsia="zh-CN"/>
        </w:rPr>
        <w:t>信息技术促进教育公平的新挑战</w:t>
      </w:r>
      <w:r>
        <w:rPr>
          <w:rFonts w:eastAsia="宋体"/>
          <w:lang w:eastAsia="zh-CN"/>
        </w:rPr>
        <w:t xml:space="preserve"> [J]. </w:t>
      </w:r>
      <w:r>
        <w:rPr>
          <w:rFonts w:hint="eastAsia" w:eastAsia="宋体"/>
          <w:lang w:eastAsia="zh-CN"/>
        </w:rPr>
        <w:t>现代远程教育研究</w:t>
      </w:r>
      <w:r>
        <w:rPr>
          <w:rFonts w:eastAsia="宋体"/>
          <w:lang w:eastAsia="zh-CN"/>
        </w:rPr>
        <w:t>, 2014, 26(4): 97-103.</w:t>
      </w:r>
    </w:p>
  </w:endnote>
  <w:endnote w:id="33">
    <w:p w14:paraId="45482324">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 xml:space="preserve">] </w:t>
      </w:r>
      <w:r>
        <w:rPr>
          <w:rFonts w:hint="eastAsia" w:eastAsia="宋体"/>
          <w:lang w:eastAsia="zh-CN"/>
        </w:rPr>
        <w:t>石映辉</w:t>
      </w:r>
      <w:r>
        <w:rPr>
          <w:rFonts w:eastAsia="宋体"/>
          <w:lang w:eastAsia="zh-CN"/>
        </w:rPr>
        <w:t xml:space="preserve">. </w:t>
      </w:r>
      <w:r>
        <w:rPr>
          <w:rFonts w:hint="eastAsia" w:eastAsia="宋体"/>
          <w:lang w:eastAsia="zh-CN"/>
        </w:rPr>
        <w:t>教师数字鸿沟的发展与弥合——基于从信息鸿沟到素养鸿沟的视角</w:t>
      </w:r>
      <w:r>
        <w:rPr>
          <w:rFonts w:eastAsia="宋体"/>
          <w:lang w:eastAsia="zh-CN"/>
        </w:rPr>
        <w:t xml:space="preserve"> [J]. </w:t>
      </w:r>
      <w:r>
        <w:rPr>
          <w:rFonts w:hint="eastAsia" w:eastAsia="宋体"/>
          <w:lang w:eastAsia="zh-CN"/>
        </w:rPr>
        <w:t>现代教育技术</w:t>
      </w:r>
      <w:r>
        <w:rPr>
          <w:rFonts w:eastAsia="宋体"/>
          <w:lang w:eastAsia="zh-CN"/>
        </w:rPr>
        <w:t>, 2018, 28(3): 59-65.</w:t>
      </w:r>
    </w:p>
  </w:endnote>
  <w:endnote w:id="34">
    <w:p w14:paraId="59A76B6F">
      <w:pPr>
        <w:pStyle w:val="12"/>
        <w:rPr>
          <w:rFonts w:eastAsia="宋体"/>
        </w:rPr>
      </w:pPr>
      <w:r>
        <w:rPr>
          <w:rFonts w:eastAsia="宋体"/>
        </w:rPr>
        <w:t>[</w:t>
      </w:r>
      <w:r>
        <w:rPr>
          <w:rFonts w:eastAsia="宋体"/>
        </w:rPr>
        <w:endnoteRef/>
      </w:r>
      <w:r>
        <w:rPr>
          <w:rFonts w:eastAsia="宋体"/>
        </w:rPr>
        <w:t xml:space="preserve">] </w:t>
      </w:r>
      <w:r>
        <w:rPr>
          <w:rFonts w:hint="eastAsia" w:eastAsia="宋体"/>
        </w:rPr>
        <w:t>徐乐乐</w:t>
      </w:r>
      <w:r>
        <w:rPr>
          <w:rFonts w:eastAsia="宋体"/>
        </w:rPr>
        <w:t xml:space="preserve">, </w:t>
      </w:r>
      <w:r>
        <w:rPr>
          <w:rFonts w:hint="eastAsia" w:eastAsia="宋体"/>
        </w:rPr>
        <w:t>冯燕</w:t>
      </w:r>
      <w:r>
        <w:rPr>
          <w:rFonts w:eastAsia="宋体"/>
        </w:rPr>
        <w:t xml:space="preserve">. </w:t>
      </w:r>
      <w:r>
        <w:rPr>
          <w:rFonts w:hint="eastAsia" w:eastAsia="宋体"/>
        </w:rPr>
        <w:t>教育数字鸿沟新论——兼论信息技术促进教育公平的限度</w:t>
      </w:r>
      <w:r>
        <w:rPr>
          <w:rFonts w:eastAsia="宋体"/>
        </w:rPr>
        <w:t xml:space="preserve"> [J]. </w:t>
      </w:r>
      <w:r>
        <w:rPr>
          <w:rFonts w:hint="eastAsia" w:eastAsia="宋体"/>
        </w:rPr>
        <w:t>教育理论与实践</w:t>
      </w:r>
      <w:r>
        <w:rPr>
          <w:rFonts w:eastAsia="宋体"/>
        </w:rPr>
        <w:t>, 2020, 40(13): 13-18.</w:t>
      </w:r>
    </w:p>
  </w:endnote>
  <w:endnote w:id="35">
    <w:p w14:paraId="4E8EE508">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 xml:space="preserve">] </w:t>
      </w:r>
      <w:r>
        <w:rPr>
          <w:rFonts w:hint="eastAsia" w:eastAsia="宋体"/>
          <w:lang w:eastAsia="zh-CN"/>
        </w:rPr>
        <w:t>胡小勇</w:t>
      </w:r>
      <w:r>
        <w:rPr>
          <w:rFonts w:eastAsia="宋体"/>
          <w:lang w:eastAsia="zh-CN"/>
        </w:rPr>
        <w:t xml:space="preserve">. </w:t>
      </w:r>
      <w:r>
        <w:rPr>
          <w:rFonts w:hint="eastAsia" w:eastAsia="宋体"/>
          <w:lang w:eastAsia="zh-CN"/>
        </w:rPr>
        <w:t>信息化促进新时代基础教育公平理论研究</w:t>
      </w:r>
      <w:r>
        <w:rPr>
          <w:rFonts w:eastAsia="宋体"/>
          <w:lang w:eastAsia="zh-CN"/>
        </w:rPr>
        <w:t xml:space="preserve">: </w:t>
      </w:r>
      <w:r>
        <w:rPr>
          <w:rFonts w:hint="eastAsia" w:eastAsia="宋体"/>
          <w:lang w:eastAsia="zh-CN"/>
        </w:rPr>
        <w:t>内涵、路径与策略</w:t>
      </w:r>
      <w:r>
        <w:rPr>
          <w:rFonts w:eastAsia="宋体"/>
          <w:lang w:eastAsia="zh-CN"/>
        </w:rPr>
        <w:t xml:space="preserve"> [J]. </w:t>
      </w:r>
      <w:r>
        <w:rPr>
          <w:rFonts w:hint="eastAsia" w:eastAsia="宋体"/>
          <w:lang w:eastAsia="zh-CN"/>
        </w:rPr>
        <w:t>电化教育研究</w:t>
      </w:r>
      <w:r>
        <w:rPr>
          <w:rFonts w:eastAsia="宋体"/>
          <w:lang w:eastAsia="zh-CN"/>
        </w:rPr>
        <w:t>, 2020, 41(9): 34-40.</w:t>
      </w:r>
    </w:p>
  </w:endnote>
  <w:endnote w:id="36">
    <w:p w14:paraId="60F21E8F">
      <w:pPr>
        <w:pStyle w:val="11"/>
        <w:numPr>
          <w:ilvl w:val="0"/>
          <w:numId w:val="0"/>
        </w:numPr>
        <w:spacing w:after="120"/>
        <w:rPr>
          <w:rFonts w:eastAsia="宋体"/>
          <w:lang w:eastAsia="zh-CN"/>
        </w:rPr>
      </w:pPr>
      <w:r>
        <w:rPr>
          <w:rFonts w:eastAsia="宋体"/>
          <w:lang w:eastAsia="zh-CN"/>
        </w:rPr>
        <w:t>[</w:t>
      </w:r>
      <w:r>
        <w:rPr>
          <w:rFonts w:eastAsia="宋体"/>
          <w:lang w:eastAsia="zh-CN"/>
        </w:rPr>
        <w:endnoteRef/>
      </w:r>
      <w:r>
        <w:rPr>
          <w:rFonts w:eastAsia="宋体"/>
          <w:lang w:eastAsia="zh-CN"/>
        </w:rPr>
        <w:t>]COLEMAN J S. Social capital in the creation of human capital[J]. American Journal of Sociology, 1988, 94: S95-S120.</w:t>
      </w:r>
    </w:p>
  </w:endnote>
  <w:endnote w:id="37">
    <w:p w14:paraId="476583C8">
      <w:pPr>
        <w:pStyle w:val="12"/>
        <w:rPr>
          <w:rFonts w:eastAsia="宋体"/>
        </w:rPr>
      </w:pPr>
      <w:r>
        <w:rPr>
          <w:rFonts w:eastAsia="宋体"/>
        </w:rPr>
        <w:t>[</w:t>
      </w:r>
      <w:r>
        <w:rPr>
          <w:rFonts w:eastAsia="宋体"/>
        </w:rPr>
        <w:endnoteRef/>
      </w:r>
      <w:r>
        <w:rPr>
          <w:rFonts w:eastAsia="宋体"/>
        </w:rPr>
        <w:t>]BIANCHI N, LU Y, SONG H. The effect of computer-assisted learning on students' long-term development[R]. Cambridge: National Bureau of Economic Research, 2020.</w:t>
      </w:r>
    </w:p>
  </w:endnote>
  <w:endnote w:id="38">
    <w:p w14:paraId="1C92A196">
      <w:pPr>
        <w:pStyle w:val="12"/>
        <w:rPr>
          <w:rFonts w:eastAsia="宋体"/>
        </w:rPr>
      </w:pPr>
      <w:r>
        <w:rPr>
          <w:rFonts w:eastAsia="宋体"/>
        </w:rPr>
        <w:t>[</w:t>
      </w:r>
      <w:r>
        <w:rPr>
          <w:rFonts w:eastAsia="宋体"/>
        </w:rPr>
        <w:endnoteRef/>
      </w:r>
      <w:r>
        <w:rPr>
          <w:rFonts w:eastAsia="宋体"/>
        </w:rPr>
        <w:t>]DAVIS-KEAN P E. The influence of parent education and family income on child achievement: The indirect role of parental expectations and the home environment[J]. Journal of Family Psychology, 2005, 19(2): 294-304.</w:t>
      </w:r>
    </w:p>
  </w:endnote>
  <w:endnote w:id="39">
    <w:p w14:paraId="09490C94">
      <w:pPr>
        <w:pStyle w:val="12"/>
        <w:rPr>
          <w:rFonts w:eastAsia="宋体"/>
        </w:rPr>
      </w:pPr>
      <w:r>
        <w:rPr>
          <w:rFonts w:eastAsia="宋体"/>
        </w:rPr>
        <w:t>[</w:t>
      </w:r>
      <w:r>
        <w:rPr>
          <w:rFonts w:eastAsia="宋体"/>
        </w:rPr>
        <w:endnoteRef/>
      </w:r>
      <w:r>
        <w:rPr>
          <w:rFonts w:eastAsia="宋体"/>
        </w:rPr>
        <w:t>]DUBOW E F, BOXER P, HUESMANN L R. Long-term effects of parents' education on children's educational and occupational success: Mediation by family interactions, child aggression, and teenage aspirations[J]. Merrill-Palmer Quarterly, 2009, 55(3): 224-249.</w:t>
      </w:r>
    </w:p>
  </w:endnote>
  <w:endnote w:id="40">
    <w:p w14:paraId="6935007D">
      <w:pPr>
        <w:pStyle w:val="12"/>
        <w:rPr>
          <w:rFonts w:eastAsia="宋体"/>
        </w:rPr>
      </w:pPr>
      <w:r>
        <w:rPr>
          <w:rFonts w:eastAsia="宋体"/>
        </w:rPr>
        <w:t>[</w:t>
      </w:r>
      <w:r>
        <w:rPr>
          <w:rFonts w:eastAsia="宋体"/>
        </w:rPr>
        <w:endnoteRef/>
      </w:r>
      <w:r>
        <w:rPr>
          <w:rFonts w:eastAsia="宋体"/>
        </w:rPr>
        <w:t>] DIPRETE T A, EIRICH G M. Cumulative advantage as a mechanism for inequality: A review of theoretical and empirical developments[J]. Annual Review of Sociology, 2006, 32: 271-297.</w:t>
      </w:r>
    </w:p>
  </w:endnote>
  <w:endnote w:id="41">
    <w:p w14:paraId="79DCFBF1">
      <w:pPr>
        <w:pStyle w:val="12"/>
        <w:rPr>
          <w:rFonts w:hint="eastAsia"/>
        </w:rPr>
      </w:pPr>
      <w:r>
        <w:rPr>
          <w:rStyle w:val="21"/>
          <w:rFonts w:hint="eastAsia"/>
        </w:rPr>
        <w:endnoteRef/>
      </w:r>
      <w:r>
        <w:rPr>
          <w:rFonts w:hint="eastAsia"/>
        </w:rPr>
        <w:t xml:space="preserve"> MIAO F, SHIOHIRA K. AI Competency Framework for Students[M/OL]. Paris: UNESCO, 2024: 18.</w:t>
      </w:r>
    </w:p>
  </w:endnote>
  <w:endnote w:id="42">
    <w:p w14:paraId="2E71E859">
      <w:pPr>
        <w:pStyle w:val="12"/>
        <w:rPr>
          <w:rFonts w:hint="eastAsia"/>
        </w:rPr>
      </w:pPr>
      <w:r>
        <w:rPr>
          <w:rStyle w:val="21"/>
          <w:rFonts w:hint="eastAsia"/>
        </w:rPr>
        <w:endnoteRef/>
      </w:r>
      <w:r>
        <w:rPr>
          <w:rFonts w:hint="eastAsia"/>
        </w:rPr>
        <w:t xml:space="preserve"> 乔雪峰,赵华,高晓娟,等.数智时代中小学人工智能素养的框架构建与培养路径[J].天津师范大学学报（基础教育版）,2025.</w:t>
      </w:r>
    </w:p>
  </w:endnote>
  <w:endnote w:id="43">
    <w:p w14:paraId="62EB60B7">
      <w:pPr>
        <w:pStyle w:val="12"/>
        <w:rPr>
          <w:rFonts w:hint="eastAsia"/>
        </w:rPr>
      </w:pPr>
      <w:r>
        <w:rPr>
          <w:rStyle w:val="21"/>
          <w:rFonts w:hint="eastAsia"/>
        </w:rPr>
        <w:endnoteRef/>
      </w:r>
      <w:r>
        <w:rPr>
          <w:rFonts w:hint="eastAsia"/>
        </w:rPr>
        <w:t xml:space="preserve"> BANDURA A. Social learning theory[M]. Englewood Cliffs, NJ: Prentice Hall, 1977.</w:t>
      </w:r>
    </w:p>
  </w:endnote>
  <w:endnote w:id="44">
    <w:p w14:paraId="7AEA4A22">
      <w:pPr>
        <w:pStyle w:val="12"/>
        <w:rPr>
          <w:rFonts w:hint="eastAsia"/>
        </w:rPr>
      </w:pPr>
      <w:r>
        <w:rPr>
          <w:rStyle w:val="21"/>
          <w:rFonts w:hint="eastAsia"/>
        </w:rPr>
        <w:endnoteRef/>
      </w:r>
      <w:r>
        <w:rPr>
          <w:rFonts w:hint="eastAsia"/>
        </w:rPr>
        <w:t xml:space="preserve"> BANDURA A. Self-efficacy: toward a unifying theory of behavioral change[J]. Psychological review, 1977, 84(2): 191-215.</w:t>
      </w:r>
    </w:p>
  </w:endnote>
  <w:endnote w:id="45">
    <w:p w14:paraId="092AEBA6">
      <w:pPr>
        <w:pStyle w:val="12"/>
        <w:rPr>
          <w:rFonts w:hint="eastAsia"/>
        </w:rPr>
      </w:pPr>
      <w:r>
        <w:rPr>
          <w:rStyle w:val="21"/>
          <w:rFonts w:hint="eastAsia"/>
        </w:rPr>
        <w:endnoteRef/>
      </w:r>
      <w:r>
        <w:rPr>
          <w:rFonts w:hint="eastAsia"/>
        </w:rPr>
        <w:t xml:space="preserve"> 梁宇颂.大学生成就目标、归因方式与学业自我效能感的研究[D].华中师范大学,2000.</w:t>
      </w:r>
    </w:p>
  </w:endnote>
  <w:endnote w:id="46">
    <w:p w14:paraId="4E9EE4FE">
      <w:pPr>
        <w:pStyle w:val="12"/>
        <w:rPr>
          <w:rFonts w:hint="eastAsia"/>
        </w:rPr>
      </w:pPr>
      <w:r>
        <w:rPr>
          <w:rStyle w:val="21"/>
          <w:rFonts w:hint="eastAsia"/>
        </w:rPr>
        <w:endnoteRef/>
      </w:r>
      <w:r>
        <w:rPr>
          <w:rFonts w:hint="eastAsia"/>
        </w:rPr>
        <w:t xml:space="preserve"> PINTRICH P R, DE GROOT E V. Motivational and self-regulated learning components of classroom academic performance[J]. Journal of educational psychology, 1990, 82(1): 33-40.</w:t>
      </w:r>
    </w:p>
  </w:endnote>
  <w:endnote w:id="47">
    <w:p w14:paraId="40C3CC20">
      <w:pPr>
        <w:pStyle w:val="12"/>
        <w:rPr>
          <w:rFonts w:hint="eastAsia"/>
        </w:rPr>
      </w:pPr>
      <w:r>
        <w:rPr>
          <w:rStyle w:val="21"/>
          <w:rFonts w:hint="eastAsia"/>
        </w:rPr>
        <w:endnoteRef/>
      </w:r>
      <w:r>
        <w:rPr>
          <w:rFonts w:hint="eastAsia"/>
        </w:rPr>
        <w:t xml:space="preserve"> SIRIN S R. Socioeconomic status and academic achievement: A meta-analytic review of research[J]. Review of Educational Research, 2005, 75(3): 417-453.</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0E7A20AD-CB01-47C7-A128-7BB98017C32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2" w:fontKey="{3C854007-4792-42B6-83A0-107CBFE55788}"/>
  </w:font>
  <w:font w:name="方正楷体_GB2312">
    <w:panose1 w:val="02000000000000000000"/>
    <w:charset w:val="86"/>
    <w:family w:val="auto"/>
    <w:pitch w:val="default"/>
    <w:sig w:usb0="A00002BF" w:usb1="184F6CFA" w:usb2="00000012" w:usb3="00000000" w:csb0="00040001" w:csb1="00000000"/>
    <w:embedRegular r:id="rId3" w:fontKey="{01C67324-2844-47D8-82C2-18671745F572}"/>
  </w:font>
  <w:font w:name="Cambria Math">
    <w:panose1 w:val="02040503050406030204"/>
    <w:charset w:val="00"/>
    <w:family w:val="roman"/>
    <w:pitch w:val="default"/>
    <w:sig w:usb0="E00006FF" w:usb1="420024FF" w:usb2="02000000" w:usb3="00000000" w:csb0="2000019F" w:csb1="00000000"/>
    <w:embedRegular r:id="rId4" w:fontKey="{D247498C-9EC6-4660-8862-0775214C415D}"/>
  </w:font>
  <w:font w:name="仿宋">
    <w:panose1 w:val="02010609060101010101"/>
    <w:charset w:val="86"/>
    <w:family w:val="auto"/>
    <w:pitch w:val="default"/>
    <w:sig w:usb0="800002BF" w:usb1="38CF7CFA" w:usb2="00000016" w:usb3="00000000" w:csb0="00040001" w:csb1="00000000"/>
  </w:font>
  <w:font w:name="幼圆">
    <w:panose1 w:val="02010509060101010101"/>
    <w:charset w:val="86"/>
    <w:family w:val="auto"/>
    <w:pitch w:val="default"/>
    <w:sig w:usb0="00000001" w:usb1="080E0000" w:usb2="00000000" w:usb3="00000000" w:csb0="00040000" w:csb1="00000000"/>
  </w:font>
  <w:font w:name="汉仪旗黑 Lenovo 60S">
    <w:panose1 w:val="00000500000000000000"/>
    <w:charset w:val="86"/>
    <w:family w:val="auto"/>
    <w:pitch w:val="default"/>
    <w:sig w:usb0="00000013" w:usb1="080F1810" w:usb2="00000016" w:usb3="00000000" w:csb0="0004009F" w:csb1="00000000"/>
  </w:font>
  <w:font w:name="Malgun Gothic Semilight">
    <w:panose1 w:val="020B0502040204020203"/>
    <w:charset w:val="86"/>
    <w:family w:val="auto"/>
    <w:pitch w:val="default"/>
    <w:sig w:usb0="900002AF" w:usb1="01D77CFB" w:usb2="00000012" w:usb3="00000000" w:csb0="203E01BD" w:csb1="D7FF0000"/>
  </w:font>
  <w:font w:name="华文琥珀">
    <w:panose1 w:val="02010800040101010101"/>
    <w:charset w:val="86"/>
    <w:family w:val="auto"/>
    <w:pitch w:val="default"/>
    <w:sig w:usb0="00000001" w:usb1="080F0000" w:usb2="00000000" w:usb3="00000000" w:csb0="00040000" w:csb1="00000000"/>
  </w:font>
  <w:font w:name="华文细黑">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embedRegular r:id="rId5" w:fontKey="{B2E5C6CE-AD2B-4CE0-B314-B108DF7DBC53}"/>
  </w:font>
  <w:font w:name="华文仿宋">
    <w:panose1 w:val="02010600040101010101"/>
    <w:charset w:val="86"/>
    <w:family w:val="auto"/>
    <w:pitch w:val="default"/>
    <w:sig w:usb0="00000287" w:usb1="080F0000" w:usb2="00000000" w:usb3="00000000" w:csb0="0004009F" w:csb1="DFD70000"/>
  </w:font>
  <w:font w:name="华文彩云">
    <w:panose1 w:val="02010800040101010101"/>
    <w:charset w:val="86"/>
    <w:family w:val="auto"/>
    <w:pitch w:val="default"/>
    <w:sig w:usb0="00000001" w:usb1="080F0000" w:usb2="00000000" w:usb3="00000000" w:csb0="00040000" w:csb1="00000000"/>
  </w:font>
  <w:font w:name="华文宋体">
    <w:panose1 w:val="02010600040101010101"/>
    <w:charset w:val="86"/>
    <w:family w:val="auto"/>
    <w:pitch w:val="default"/>
    <w:sig w:usb0="00000287" w:usb1="080F0000" w:usb2="00000000" w:usb3="00000000" w:csb0="0004009F" w:csb1="DFD70000"/>
  </w:font>
  <w:font w:name="华文隶书">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4">
    <w:p>
      <w:r>
        <w:separator/>
      </w:r>
    </w:p>
  </w:footnote>
  <w:footnote w:type="continuationSeparator" w:id="5">
    <w:p>
      <w:r>
        <w:continuationSeparator/>
      </w:r>
    </w:p>
  </w:footnote>
  <w:footnote w:id="0">
    <w:p w14:paraId="481CD8B5">
      <w:pPr>
        <w:pStyle w:val="16"/>
        <w:rPr>
          <w:rFonts w:hint="eastAsia" w:ascii="宋体" w:hAnsi="宋体" w:eastAsia="宋体"/>
        </w:rPr>
      </w:pPr>
      <w:r>
        <w:rPr>
          <w:rStyle w:val="22"/>
          <w:rFonts w:hint="eastAsia" w:ascii="宋体" w:hAnsi="宋体" w:eastAsia="宋体"/>
        </w:rPr>
        <w:footnoteRef/>
      </w:r>
      <w:r>
        <w:rPr>
          <w:rFonts w:hint="eastAsia" w:ascii="宋体" w:hAnsi="宋体" w:eastAsia="宋体"/>
        </w:rPr>
        <w:t xml:space="preserve"> 本研究设计的中小学生人工智能学习素养量表包含18道提问：1.我知道AI是怎么思考并回答出我的问题的；2.我知道AI模型是通过学习大量数据来生成回答的；3我知道AI生成的内容不一定是正确的；4.我了解AI在我们日常生活中的用途以及对我们生活的改变；5.我想要尝试使用不同的AI工具；6.我会尝试用不同的方式向AI提出问题；7.我会用AI来帮我总结知识点；8.我会用AI辅助我写作业；9.我会用AI帮我做手抄报或者写作文；10.遇到不会的题目，我会考虑向AI求助；11.我在学习中遇到问题时，首先想到的是使用AI；12.我会根据学习任务选择合适的AI工具；13.我认为AI提高了我的学习能力（包括理解能力，计算能力，推理能力等）；14.我认为人工智能激发了我的创意和灵感；15.我接受AI给生活和学习带来的改变；16.我认为不能把AI生成的作文直接当成自己的交给老师；17.我知道在使用AI的时候不能随便输入真实姓名和地址；18.我知道在使用AI的时候有需要遵守的道德规范。</w:t>
      </w:r>
    </w:p>
  </w:footnote>
  <w:footnote w:id="1">
    <w:p w14:paraId="15B2677B">
      <w:pPr>
        <w:pStyle w:val="16"/>
        <w:rPr>
          <w:rFonts w:hint="eastAsia" w:ascii="宋体" w:hAnsi="宋体" w:eastAsia="宋体"/>
        </w:rPr>
      </w:pPr>
      <w:r>
        <w:rPr>
          <w:rStyle w:val="22"/>
          <w:rFonts w:hint="eastAsia" w:ascii="宋体" w:hAnsi="宋体" w:eastAsia="宋体"/>
        </w:rPr>
        <w:footnoteRef/>
      </w:r>
      <w:r>
        <w:rPr>
          <w:rFonts w:hint="eastAsia" w:ascii="宋体" w:hAnsi="宋体" w:eastAsia="宋体"/>
        </w:rPr>
        <w:t xml:space="preserve"> 本研究设计的人工智能学习社会支持量表包含15道提问：1.您的父母(若父母不常在身边则考虑较为亲近的长辈，如爷爷奶奶，下同)使用 AI 较为熟练；2.您的父母有教过您如何正确地使用 AI 进行学习(如何有效提问、如何根据需要选择合适的 AI 等)；3.您的父母支持您使用 AI 进行学习；4.您的父母愿意让您在写作业时使用 AI；5.总的来说，您的父母认为学生利用 AI 进行学习是利大于弊的；6.您所在班级的教师能够熟练使用至少一种 AI 工具；7.您所在班级的教师会在课堂中使用AI进行教学；8.您所在班级的教师有教过您如何正确使用AI进行学习；9.您所在班级的教师支持您使用 AI 进行学习；10.您所在班级的教师认为使用 AI 能提高您的学习能力(逻辑思维、计算能力等)或学习效率；11.总的来说，您所在班级的教师认为学生利用 AI 进行学习是利大于弊的；12.您身边的同学会使用 AI 进行学习；13.您身边的同学使用 AI 学习后成绩得到提升；14.您身边的同学认为使用 AI 进行学习有很多好处(如提高学习效率、提升成绩等)；15.总的来说，您身边的同学认为学生利用 AI 进行学习是利大于弊的。</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9055861"/>
    <w:multiLevelType w:val="multilevel"/>
    <w:tmpl w:val="E9055861"/>
    <w:lvl w:ilvl="0" w:tentative="0">
      <w:start w:val="5"/>
      <w:numFmt w:val="chineseCounting"/>
      <w:suff w:val="nothing"/>
      <w:lvlText w:val="%1，"/>
      <w:lvlJc w:val="left"/>
      <w:pPr>
        <w:ind w:left="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FFFFFF88"/>
    <w:multiLevelType w:val="singleLevel"/>
    <w:tmpl w:val="FFFFFF88"/>
    <w:lvl w:ilvl="0" w:tentative="0">
      <w:start w:val="1"/>
      <w:numFmt w:val="decimal"/>
      <w:pStyle w:val="11"/>
      <w:lvlText w:val="%1."/>
      <w:lvlJc w:val="left"/>
      <w:pPr>
        <w:tabs>
          <w:tab w:val="left" w:pos="360"/>
        </w:tabs>
        <w:ind w:left="360" w:hanging="360" w:hangingChars="200"/>
      </w:pPr>
    </w:lvl>
  </w:abstractNum>
  <w:abstractNum w:abstractNumId="2">
    <w:nsid w:val="3DE4FFAC"/>
    <w:multiLevelType w:val="multilevel"/>
    <w:tmpl w:val="3DE4FFAC"/>
    <w:lvl w:ilvl="0" w:tentative="0">
      <w:start w:val="1"/>
      <w:numFmt w:val="chineseCounting"/>
      <w:suff w:val="nothing"/>
      <w:lvlText w:val="（%1）"/>
      <w:lvlJc w:val="left"/>
      <w:pPr>
        <w:ind w:left="420"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4"/>
    <w:footnote w:id="5"/>
  </w:footnotePr>
  <w:endnotePr>
    <w:numFmt w:val="decimal"/>
    <w:endnote w:id="96"/>
    <w:endnote w:id="97"/>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3B45"/>
    <w:rsid w:val="000176AA"/>
    <w:rsid w:val="000D4908"/>
    <w:rsid w:val="00153B45"/>
    <w:rsid w:val="001B0ED5"/>
    <w:rsid w:val="00220529"/>
    <w:rsid w:val="002243E7"/>
    <w:rsid w:val="00260F45"/>
    <w:rsid w:val="002B07A0"/>
    <w:rsid w:val="00320967"/>
    <w:rsid w:val="00350140"/>
    <w:rsid w:val="00374CF8"/>
    <w:rsid w:val="003900C8"/>
    <w:rsid w:val="00397198"/>
    <w:rsid w:val="003B6280"/>
    <w:rsid w:val="003D0847"/>
    <w:rsid w:val="003D1A75"/>
    <w:rsid w:val="00434BFA"/>
    <w:rsid w:val="00453B06"/>
    <w:rsid w:val="00471BED"/>
    <w:rsid w:val="00494F5E"/>
    <w:rsid w:val="005122AD"/>
    <w:rsid w:val="0054310A"/>
    <w:rsid w:val="0065551B"/>
    <w:rsid w:val="00655B16"/>
    <w:rsid w:val="0065705C"/>
    <w:rsid w:val="006572D4"/>
    <w:rsid w:val="006646E9"/>
    <w:rsid w:val="00673064"/>
    <w:rsid w:val="006B1C6D"/>
    <w:rsid w:val="00772B1A"/>
    <w:rsid w:val="00793836"/>
    <w:rsid w:val="00832E2D"/>
    <w:rsid w:val="008358EE"/>
    <w:rsid w:val="008451F9"/>
    <w:rsid w:val="00865EAE"/>
    <w:rsid w:val="008953BD"/>
    <w:rsid w:val="008A37E7"/>
    <w:rsid w:val="00933FCE"/>
    <w:rsid w:val="00971D26"/>
    <w:rsid w:val="00985A51"/>
    <w:rsid w:val="009B1266"/>
    <w:rsid w:val="009B48A8"/>
    <w:rsid w:val="009B4FB0"/>
    <w:rsid w:val="009C2346"/>
    <w:rsid w:val="009C78ED"/>
    <w:rsid w:val="009E5744"/>
    <w:rsid w:val="00A26A7B"/>
    <w:rsid w:val="00A36D43"/>
    <w:rsid w:val="00AC3815"/>
    <w:rsid w:val="00AE0E85"/>
    <w:rsid w:val="00AF412E"/>
    <w:rsid w:val="00B20044"/>
    <w:rsid w:val="00B53B1D"/>
    <w:rsid w:val="00BA32ED"/>
    <w:rsid w:val="00BA6F1C"/>
    <w:rsid w:val="00BC74E4"/>
    <w:rsid w:val="00C03EF3"/>
    <w:rsid w:val="00C166E4"/>
    <w:rsid w:val="00C25F41"/>
    <w:rsid w:val="00CA7605"/>
    <w:rsid w:val="00CD2089"/>
    <w:rsid w:val="00CE3D63"/>
    <w:rsid w:val="00D044B4"/>
    <w:rsid w:val="00D517EA"/>
    <w:rsid w:val="00D74E98"/>
    <w:rsid w:val="00D87EC5"/>
    <w:rsid w:val="00DD2D8A"/>
    <w:rsid w:val="00E106A0"/>
    <w:rsid w:val="00E30D31"/>
    <w:rsid w:val="00E37601"/>
    <w:rsid w:val="00E554F0"/>
    <w:rsid w:val="00E936C0"/>
    <w:rsid w:val="00EA7462"/>
    <w:rsid w:val="00EB0DC5"/>
    <w:rsid w:val="00EC73DD"/>
    <w:rsid w:val="00EF218E"/>
    <w:rsid w:val="00FC7D4E"/>
    <w:rsid w:val="00FD25EB"/>
    <w:rsid w:val="00FE7CFA"/>
    <w:rsid w:val="070B051A"/>
    <w:rsid w:val="07830DF3"/>
    <w:rsid w:val="0CEB1914"/>
    <w:rsid w:val="11AF7A2F"/>
    <w:rsid w:val="137B139B"/>
    <w:rsid w:val="19FC2B10"/>
    <w:rsid w:val="1AFA5418"/>
    <w:rsid w:val="208F03B0"/>
    <w:rsid w:val="22DE117B"/>
    <w:rsid w:val="2A7E1B14"/>
    <w:rsid w:val="2C267E1B"/>
    <w:rsid w:val="35C661CB"/>
    <w:rsid w:val="3CA628B2"/>
    <w:rsid w:val="3D712EC0"/>
    <w:rsid w:val="3DE43692"/>
    <w:rsid w:val="3F3E6DD2"/>
    <w:rsid w:val="44F3065E"/>
    <w:rsid w:val="4651388E"/>
    <w:rsid w:val="476D46F8"/>
    <w:rsid w:val="4C9E0518"/>
    <w:rsid w:val="4D1F6494"/>
    <w:rsid w:val="4D7D4095"/>
    <w:rsid w:val="50B961F2"/>
    <w:rsid w:val="51BF3964"/>
    <w:rsid w:val="600C226A"/>
    <w:rsid w:val="60A54AAB"/>
    <w:rsid w:val="62BE742A"/>
    <w:rsid w:val="634A1252"/>
    <w:rsid w:val="63B70D7D"/>
    <w:rsid w:val="63D01E3F"/>
    <w:rsid w:val="6848469A"/>
    <w:rsid w:val="684B7755"/>
    <w:rsid w:val="6B95308A"/>
    <w:rsid w:val="71DC5E53"/>
    <w:rsid w:val="768C01E9"/>
    <w:rsid w:val="769621F9"/>
    <w:rsid w:val="77A82200"/>
    <w:rsid w:val="7A8F7F06"/>
    <w:rsid w:val="7BEF6963"/>
    <w:rsid w:val="7F6C6A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semiHidden="0"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23"/>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5"/>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6"/>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7"/>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8"/>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9"/>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1"/>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0">
    <w:name w:val="Default Paragraph Font"/>
    <w:semiHidden/>
    <w:unhideWhenUsed/>
    <w:qFormat/>
    <w:uiPriority w:val="1"/>
  </w:style>
  <w:style w:type="table" w:default="1" w:styleId="18">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11">
    <w:name w:val="List Number"/>
    <w:basedOn w:val="1"/>
    <w:unhideWhenUsed/>
    <w:uiPriority w:val="99"/>
    <w:pPr>
      <w:widowControl/>
      <w:numPr>
        <w:ilvl w:val="0"/>
        <w:numId w:val="1"/>
      </w:numPr>
      <w:tabs>
        <w:tab w:val="clear" w:pos="360"/>
      </w:tabs>
      <w:spacing w:after="200" w:line="276" w:lineRule="auto"/>
      <w:ind w:left="0" w:firstLine="0" w:firstLineChars="0"/>
      <w:contextualSpacing/>
      <w:jc w:val="left"/>
    </w:pPr>
    <w:rPr>
      <w:kern w:val="0"/>
      <w:sz w:val="22"/>
      <w:lang w:eastAsia="en-US"/>
      <w14:ligatures w14:val="none"/>
    </w:rPr>
  </w:style>
  <w:style w:type="paragraph" w:styleId="12">
    <w:name w:val="endnote text"/>
    <w:basedOn w:val="1"/>
    <w:link w:val="44"/>
    <w:semiHidden/>
    <w:unhideWhenUsed/>
    <w:qFormat/>
    <w:uiPriority w:val="99"/>
    <w:pPr>
      <w:snapToGrid w:val="0"/>
      <w:jc w:val="left"/>
    </w:pPr>
  </w:style>
  <w:style w:type="paragraph" w:styleId="13">
    <w:name w:val="footer"/>
    <w:basedOn w:val="1"/>
    <w:link w:val="42"/>
    <w:unhideWhenUsed/>
    <w:qFormat/>
    <w:uiPriority w:val="99"/>
    <w:pPr>
      <w:tabs>
        <w:tab w:val="center" w:pos="4153"/>
        <w:tab w:val="right" w:pos="8306"/>
      </w:tabs>
      <w:snapToGrid w:val="0"/>
      <w:jc w:val="left"/>
    </w:pPr>
    <w:rPr>
      <w:sz w:val="18"/>
      <w:szCs w:val="18"/>
    </w:rPr>
  </w:style>
  <w:style w:type="paragraph" w:styleId="14">
    <w:name w:val="header"/>
    <w:basedOn w:val="1"/>
    <w:link w:val="41"/>
    <w:unhideWhenUsed/>
    <w:qFormat/>
    <w:uiPriority w:val="99"/>
    <w:pPr>
      <w:tabs>
        <w:tab w:val="center" w:pos="4153"/>
        <w:tab w:val="right" w:pos="8306"/>
      </w:tabs>
      <w:snapToGrid w:val="0"/>
      <w:jc w:val="center"/>
    </w:pPr>
    <w:rPr>
      <w:sz w:val="18"/>
      <w:szCs w:val="18"/>
    </w:rPr>
  </w:style>
  <w:style w:type="paragraph" w:styleId="15">
    <w:name w:val="Subtitle"/>
    <w:basedOn w:val="1"/>
    <w:next w:val="1"/>
    <w:link w:val="33"/>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footnote text"/>
    <w:basedOn w:val="1"/>
    <w:link w:val="43"/>
    <w:semiHidden/>
    <w:unhideWhenUsed/>
    <w:qFormat/>
    <w:uiPriority w:val="99"/>
    <w:pPr>
      <w:snapToGrid w:val="0"/>
      <w:jc w:val="left"/>
    </w:pPr>
    <w:rPr>
      <w:sz w:val="18"/>
      <w:szCs w:val="18"/>
    </w:rPr>
  </w:style>
  <w:style w:type="paragraph" w:styleId="17">
    <w:name w:val="Title"/>
    <w:basedOn w:val="1"/>
    <w:next w:val="1"/>
    <w:link w:val="32"/>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9">
    <w:name w:val="Table Grid"/>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styleId="21">
    <w:name w:val="endnote reference"/>
    <w:basedOn w:val="20"/>
    <w:semiHidden/>
    <w:unhideWhenUsed/>
    <w:qFormat/>
    <w:uiPriority w:val="99"/>
    <w:rPr>
      <w:vertAlign w:val="superscript"/>
    </w:rPr>
  </w:style>
  <w:style w:type="character" w:styleId="22">
    <w:name w:val="footnote reference"/>
    <w:basedOn w:val="20"/>
    <w:semiHidden/>
    <w:unhideWhenUsed/>
    <w:qFormat/>
    <w:uiPriority w:val="99"/>
    <w:rPr>
      <w:vertAlign w:val="superscript"/>
    </w:rPr>
  </w:style>
  <w:style w:type="character" w:customStyle="1" w:styleId="23">
    <w:name w:val="标题 1 字符"/>
    <w:basedOn w:val="20"/>
    <w:link w:val="2"/>
    <w:qFormat/>
    <w:uiPriority w:val="9"/>
    <w:rPr>
      <w:rFonts w:asciiTheme="majorHAnsi" w:hAnsiTheme="majorHAnsi" w:eastAsiaTheme="majorEastAsia" w:cstheme="majorBidi"/>
      <w:color w:val="104862" w:themeColor="accent1" w:themeShade="BF"/>
      <w:sz w:val="48"/>
      <w:szCs w:val="48"/>
    </w:rPr>
  </w:style>
  <w:style w:type="character" w:customStyle="1" w:styleId="24">
    <w:name w:val="标题 2 字符"/>
    <w:basedOn w:val="20"/>
    <w:link w:val="3"/>
    <w:qFormat/>
    <w:uiPriority w:val="9"/>
    <w:rPr>
      <w:rFonts w:asciiTheme="majorHAnsi" w:hAnsiTheme="majorHAnsi" w:eastAsiaTheme="majorEastAsia" w:cstheme="majorBidi"/>
      <w:color w:val="104862" w:themeColor="accent1" w:themeShade="BF"/>
      <w:sz w:val="40"/>
      <w:szCs w:val="40"/>
    </w:rPr>
  </w:style>
  <w:style w:type="character" w:customStyle="1" w:styleId="25">
    <w:name w:val="标题 3 字符"/>
    <w:basedOn w:val="20"/>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6">
    <w:name w:val="标题 4 字符"/>
    <w:basedOn w:val="20"/>
    <w:link w:val="5"/>
    <w:semiHidden/>
    <w:qFormat/>
    <w:uiPriority w:val="9"/>
    <w:rPr>
      <w:rFonts w:cstheme="majorBidi"/>
      <w:color w:val="104862" w:themeColor="accent1" w:themeShade="BF"/>
      <w:sz w:val="28"/>
      <w:szCs w:val="28"/>
    </w:rPr>
  </w:style>
  <w:style w:type="character" w:customStyle="1" w:styleId="27">
    <w:name w:val="标题 5 字符"/>
    <w:basedOn w:val="20"/>
    <w:link w:val="6"/>
    <w:semiHidden/>
    <w:qFormat/>
    <w:uiPriority w:val="9"/>
    <w:rPr>
      <w:rFonts w:cstheme="majorBidi"/>
      <w:color w:val="104862" w:themeColor="accent1" w:themeShade="BF"/>
      <w:sz w:val="24"/>
      <w:szCs w:val="24"/>
    </w:rPr>
  </w:style>
  <w:style w:type="character" w:customStyle="1" w:styleId="28">
    <w:name w:val="标题 6 字符"/>
    <w:basedOn w:val="20"/>
    <w:link w:val="7"/>
    <w:semiHidden/>
    <w:qFormat/>
    <w:uiPriority w:val="9"/>
    <w:rPr>
      <w:rFonts w:cstheme="majorBidi"/>
      <w:b/>
      <w:bCs/>
      <w:color w:val="104862" w:themeColor="accent1" w:themeShade="BF"/>
    </w:rPr>
  </w:style>
  <w:style w:type="character" w:customStyle="1" w:styleId="29">
    <w:name w:val="标题 7 字符"/>
    <w:basedOn w:val="20"/>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0">
    <w:name w:val="标题 8 字符"/>
    <w:basedOn w:val="20"/>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1">
    <w:name w:val="标题 9 字符"/>
    <w:basedOn w:val="20"/>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2">
    <w:name w:val="标题 字符"/>
    <w:basedOn w:val="20"/>
    <w:link w:val="17"/>
    <w:qFormat/>
    <w:uiPriority w:val="10"/>
    <w:rPr>
      <w:rFonts w:asciiTheme="majorHAnsi" w:hAnsiTheme="majorHAnsi" w:eastAsiaTheme="majorEastAsia" w:cstheme="majorBidi"/>
      <w:spacing w:val="-10"/>
      <w:kern w:val="28"/>
      <w:sz w:val="56"/>
      <w:szCs w:val="56"/>
    </w:rPr>
  </w:style>
  <w:style w:type="character" w:customStyle="1" w:styleId="33">
    <w:name w:val="副标题 字符"/>
    <w:basedOn w:val="20"/>
    <w:link w:val="1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引用 字符"/>
    <w:basedOn w:val="20"/>
    <w:link w:val="34"/>
    <w:qFormat/>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明显强调1"/>
    <w:basedOn w:val="20"/>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明显引用 字符"/>
    <w:basedOn w:val="20"/>
    <w:link w:val="38"/>
    <w:qFormat/>
    <w:uiPriority w:val="30"/>
    <w:rPr>
      <w:i/>
      <w:iCs/>
      <w:color w:val="104862" w:themeColor="accent1" w:themeShade="BF"/>
    </w:rPr>
  </w:style>
  <w:style w:type="character" w:customStyle="1" w:styleId="40">
    <w:name w:val="明显参考1"/>
    <w:basedOn w:val="20"/>
    <w:qFormat/>
    <w:uiPriority w:val="32"/>
    <w:rPr>
      <w:b/>
      <w:bCs/>
      <w:smallCaps/>
      <w:color w:val="104862" w:themeColor="accent1" w:themeShade="BF"/>
      <w:spacing w:val="5"/>
    </w:rPr>
  </w:style>
  <w:style w:type="character" w:customStyle="1" w:styleId="41">
    <w:name w:val="页眉 字符"/>
    <w:basedOn w:val="20"/>
    <w:link w:val="14"/>
    <w:qFormat/>
    <w:uiPriority w:val="99"/>
    <w:rPr>
      <w:sz w:val="18"/>
      <w:szCs w:val="18"/>
    </w:rPr>
  </w:style>
  <w:style w:type="character" w:customStyle="1" w:styleId="42">
    <w:name w:val="页脚 字符"/>
    <w:basedOn w:val="20"/>
    <w:link w:val="13"/>
    <w:qFormat/>
    <w:uiPriority w:val="99"/>
    <w:rPr>
      <w:sz w:val="18"/>
      <w:szCs w:val="18"/>
    </w:rPr>
  </w:style>
  <w:style w:type="character" w:customStyle="1" w:styleId="43">
    <w:name w:val="脚注文本 字符"/>
    <w:basedOn w:val="20"/>
    <w:link w:val="16"/>
    <w:semiHidden/>
    <w:qFormat/>
    <w:uiPriority w:val="99"/>
    <w:rPr>
      <w:sz w:val="18"/>
      <w:szCs w:val="18"/>
    </w:rPr>
  </w:style>
  <w:style w:type="character" w:customStyle="1" w:styleId="44">
    <w:name w:val="尾注文本 字符"/>
    <w:basedOn w:val="20"/>
    <w:link w:val="12"/>
    <w:semiHidden/>
    <w:qFormat/>
    <w:uiPriority w:val="99"/>
  </w:style>
  <w:style w:type="paragraph" w:customStyle="1" w:styleId="45">
    <w:name w:val="正文1"/>
    <w:basedOn w:val="1"/>
    <w:qFormat/>
    <w:uiPriority w:val="0"/>
    <w:pPr>
      <w:ind w:firstLine="420" w:firstLineChars="200"/>
    </w:pPr>
    <w:rPr>
      <w:rFonts w:ascii="Times New Roman" w:hAnsi="Times New Roman" w:eastAsia="宋体" w:cs="Times New Roman"/>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3DFD11-B464-42C3-BE77-E32508D9F144}">
  <ds:schemaRefs/>
</ds:datastoreItem>
</file>

<file path=docProps/app.xml><?xml version="1.0" encoding="utf-8"?>
<Properties xmlns="http://schemas.openxmlformats.org/officeDocument/2006/extended-properties" xmlns:vt="http://schemas.openxmlformats.org/officeDocument/2006/docPropsVTypes">
  <Template>Normal</Template>
  <Pages>16</Pages>
  <Words>9694</Words>
  <Characters>10584</Characters>
  <Lines>1</Lines>
  <Paragraphs>1</Paragraphs>
  <TotalTime>252</TotalTime>
  <ScaleCrop>false</ScaleCrop>
  <LinksUpToDate>false</LinksUpToDate>
  <CharactersWithSpaces>10657</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2025-11-01T03:25:00Z</dcterms:created>
  <dc:creator>思静 王</dc:creator>
  <cp:lastModifiedBy>田欣荣</cp:lastModifiedBy>
  <dcterms:modified xsi:type="dcterms:W3CDTF">2025-11-01T13:54:19Z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eyJoZGlkIjoiNGM2NGE3NTZjZmE2NWZlYmE3NzYxYTQ4NzVkYzNkMGMiLCJ1c2VySWQiOiIxNjkyNjg2ODEwIn0=</vt:lpwstr>
  </property>
  <property fmtid="{D5CDD505-2E9C-101B-9397-08002B2CF9AE}" pid="3" name="KSOProductBuildVer">
    <vt:lpwstr>2052-12.1.0.20784</vt:lpwstr>
  </property>
  <property fmtid="{D5CDD505-2E9C-101B-9397-08002B2CF9AE}" pid="4" name="ICV">
    <vt:lpwstr>5FF92108EBDC4392B141539E21D5A940_13</vt:lpwstr>
  </property>
</Properties>
</file>