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A2632" w:rsidR="002C3C59" w:rsidRDefault="002C3C59" w14:paraId="03E44C47" w14:textId="77777777">
      <w:pPr>
        <w:spacing w:after="1200"/>
        <w:rPr>
          <w:lang w:val="en-AU"/>
        </w:rPr>
      </w:pPr>
    </w:p>
    <w:p w:rsidR="002C3C59" w:rsidRDefault="001D7557" w14:paraId="684EE734" w14:textId="77777777">
      <w:pPr>
        <w:pBdr>
          <w:bottom w:val="single" w:color="C0392B" w:sz="6" w:space="0"/>
        </w:pBdr>
        <w:spacing w:after="600"/>
      </w:pPr>
      <w:r>
        <w:rPr>
          <w:b/>
          <w:bCs/>
          <w:color w:val="C0392B"/>
          <w:sz w:val="20"/>
          <w:szCs w:val="20"/>
        </w:rPr>
        <w:t>⚠  INTERNAL — CONFIDENTIAL</w:t>
      </w:r>
    </w:p>
    <w:p w:rsidR="002C3C59" w:rsidP="41348015" w:rsidRDefault="001D7557" w14:paraId="3608A490" w14:textId="77777777">
      <w:pPr>
        <w:spacing w:after="120"/>
        <w:rPr>
          <w:b w:val="1"/>
          <w:bCs w:val="1"/>
          <w:color w:val="1B3A6B"/>
          <w:sz w:val="64"/>
          <w:szCs w:val="64"/>
        </w:rPr>
      </w:pPr>
      <w:commentRangeStart w:id="1562769617"/>
      <w:r w:rsidRPr="41348015" w:rsidR="589B833A">
        <w:rPr>
          <w:b w:val="1"/>
          <w:bCs w:val="1"/>
          <w:color w:val="1B3A6B"/>
          <w:sz w:val="64"/>
          <w:szCs w:val="64"/>
        </w:rPr>
        <w:t>Real Performance Benchmark</w:t>
      </w:r>
      <w:commentRangeEnd w:id="1562769617"/>
      <w:r>
        <w:rPr>
          <w:rStyle w:val="CommentReference"/>
        </w:rPr>
        <w:commentReference w:id="1562769617"/>
      </w:r>
    </w:p>
    <w:p w:rsidR="002C3C59" w:rsidRDefault="001D7557" w14:paraId="049DE6A8" w14:textId="77777777">
      <w:pPr>
        <w:spacing w:after="400"/>
      </w:pPr>
      <w:r>
        <w:rPr>
          <w:b/>
          <w:bCs/>
          <w:color w:val="444444"/>
          <w:sz w:val="44"/>
          <w:szCs w:val="44"/>
        </w:rPr>
        <w:t>Methodology Documentation</w:t>
      </w:r>
    </w:p>
    <w:p w:rsidR="002C3C59" w:rsidRDefault="002C3C59" w14:paraId="38A6734E" w14:textId="77777777">
      <w:pPr>
        <w:pBdr>
          <w:top w:val="single" w:color="1B3A6B" w:sz="16" w:space="0"/>
        </w:pBdr>
        <w:spacing w:after="320"/>
      </w:pPr>
    </w:p>
    <w:p w:rsidR="002C3C59" w:rsidRDefault="001D7557" w14:paraId="64A23A9F" w14:textId="77777777">
      <w:pPr>
        <w:spacing w:after="80"/>
      </w:pPr>
      <w:r>
        <w:rPr>
          <w:color w:val="666666"/>
        </w:rPr>
        <w:t>Aurora Energy Research  |  Flexplorer</w:t>
      </w:r>
    </w:p>
    <w:p w:rsidR="002C3C59" w:rsidP="41348015" w:rsidRDefault="001D7557" w14:paraId="3EAFC3F2" w14:textId="40E92F3F">
      <w:pPr>
        <w:pStyle w:val="Normal"/>
        <w:suppressLineNumbers w:val="0"/>
        <w:bidi w:val="0"/>
        <w:spacing w:before="0" w:beforeAutospacing="off" w:after="80" w:afterAutospacing="off" w:line="259" w:lineRule="auto"/>
        <w:ind w:left="0" w:right="0"/>
        <w:jc w:val="left"/>
      </w:pPr>
      <w:r w:rsidRPr="41348015" w:rsidR="589B833A">
        <w:rPr>
          <w:color w:val="888888"/>
        </w:rPr>
        <w:t xml:space="preserve">Version </w:t>
      </w:r>
      <w:r w:rsidRPr="41348015" w:rsidR="589B833A">
        <w:rPr>
          <w:color w:val="888888"/>
        </w:rPr>
        <w:t>1.0  |</w:t>
      </w:r>
      <w:r w:rsidRPr="41348015" w:rsidR="589B833A">
        <w:rPr>
          <w:color w:val="888888"/>
        </w:rPr>
        <w:t xml:space="preserve">  </w:t>
      </w:r>
      <w:r w:rsidRPr="41348015" w:rsidR="0C6BDA59">
        <w:rPr>
          <w:color w:val="888888"/>
        </w:rPr>
        <w:t xml:space="preserve">GB, </w:t>
      </w:r>
      <w:r w:rsidRPr="41348015" w:rsidR="6601B05B">
        <w:rPr>
          <w:color w:val="888888"/>
        </w:rPr>
        <w:t>Italy</w:t>
      </w:r>
    </w:p>
    <w:p w:rsidR="002C3C59" w:rsidRDefault="001D7557" w14:paraId="77FD011D" w14:textId="77777777">
      <w:pPr>
        <w:spacing w:after="80"/>
      </w:pPr>
      <w:r>
        <w:rPr>
          <w:i/>
          <w:iCs/>
          <w:color w:val="C0392B"/>
          <w:sz w:val="20"/>
          <w:szCs w:val="20"/>
        </w:rPr>
        <w:t>Not approved for external distribution</w:t>
      </w:r>
    </w:p>
    <w:p w:rsidR="002C3C59" w:rsidRDefault="002C3C59" w14:paraId="4020AC72" w14:textId="77777777">
      <w:pPr>
        <w:spacing w:after="8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C3C59" w14:paraId="3FABB772" w14:textId="77777777">
        <w:tc>
          <w:tcPr>
            <w:tcW w:w="9360" w:type="dxa"/>
            <w:tcBorders>
              <w:top w:val="single" w:color="CCCCCC" w:sz="4" w:space="0"/>
              <w:left w:val="single" w:color="CCCCCC" w:sz="4" w:space="0"/>
              <w:bottom w:val="single" w:color="CCCCCC" w:sz="4" w:space="0"/>
              <w:right w:val="single" w:color="CCCCCC" w:sz="4" w:space="0"/>
            </w:tcBorders>
            <w:shd w:val="clear" w:color="auto" w:fill="F7F9FC"/>
          </w:tcPr>
          <w:p w:rsidR="002C3C59" w:rsidRDefault="001D7557" w14:paraId="40847572" w14:textId="77777777">
            <w:pPr>
              <w:spacing w:after="120"/>
            </w:pPr>
            <w:r>
              <w:rPr>
                <w:b/>
                <w:bCs/>
              </w:rPr>
              <w:t>How to read this document</w:t>
            </w:r>
          </w:p>
          <w:p w:rsidR="002C3C59" w:rsidRDefault="001D7557" w14:paraId="349A5CB3" w14:textId="77777777">
            <w:pPr>
              <w:spacing w:after="80"/>
            </w:pPr>
            <w:r>
              <w:rPr>
                <w:color w:val="2E5FA3"/>
                <w:sz w:val="20"/>
                <w:szCs w:val="20"/>
              </w:rPr>
              <w:t>UNIVERSAL sections are identical across all markets and should not be edited per region.</w:t>
            </w:r>
          </w:p>
          <w:p w:rsidR="002C3C59" w:rsidRDefault="001D7557" w14:paraId="20E3010B" w14:textId="77777777">
            <w:r>
              <w:rPr>
                <w:color w:val="D97706"/>
                <w:sz w:val="20"/>
                <w:szCs w:val="20"/>
              </w:rPr>
              <w:t>COUNTRY-SPECIFIC sections must be completed separately for each market. Yellow boxes indicate content still to be authored.</w:t>
            </w:r>
          </w:p>
        </w:tc>
      </w:tr>
    </w:tbl>
    <w:p w:rsidR="002C3C59" w:rsidRDefault="001D7557" w14:paraId="39A96FF3" w14:textId="77777777">
      <w:r>
        <w:br w:type="page"/>
      </w:r>
    </w:p>
    <w:p w:rsidR="002C3C59" w:rsidRDefault="001D7557" w14:paraId="34388775" w14:textId="77777777">
      <w:pPr>
        <w:pBdr>
          <w:bottom w:val="single" w:color="1B3A6B" w:sz="8" w:space="0"/>
        </w:pBdr>
        <w:spacing w:before="480" w:after="160"/>
      </w:pPr>
      <w:r>
        <w:rPr>
          <w:b/>
          <w:bCs/>
          <w:color w:val="1B3A6B"/>
          <w:sz w:val="36"/>
          <w:szCs w:val="36"/>
        </w:rPr>
        <w:lastRenderedPageBreak/>
        <w:t>Document structure</w:t>
      </w:r>
    </w:p>
    <w:p w:rsidR="002C3C59" w:rsidRDefault="001D7557" w14:paraId="77B16699" w14:textId="77777777">
      <w:pPr>
        <w:spacing w:after="120"/>
      </w:pPr>
      <w:r>
        <w:t>This document follows a standard template for Aurora's Real Performance Benchmark methodology. The table below shows which sections are universal and which are country-specific.</w:t>
      </w:r>
    </w:p>
    <w:p w:rsidR="002C3C59" w:rsidRDefault="002C3C59" w14:paraId="6BB9E64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2400"/>
        <w:gridCol w:w="3760"/>
      </w:tblGrid>
      <w:tr w:rsidR="002C3C59" w:rsidTr="2F5A8E13" w14:paraId="1D0DB3C9" w14:textId="77777777">
        <w:trPr>
          <w:tblHeader/>
        </w:trPr>
        <w:tc>
          <w:tcPr>
            <w:tcW w:w="320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55C424CF" w14:textId="77777777">
            <w:r>
              <w:rPr>
                <w:b/>
                <w:bCs/>
                <w:color w:val="FFFFFF"/>
                <w:sz w:val="20"/>
                <w:szCs w:val="20"/>
              </w:rPr>
              <w:t>Section</w:t>
            </w:r>
          </w:p>
        </w:tc>
        <w:tc>
          <w:tcPr>
            <w:tcW w:w="240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60C4EC25" w14:textId="77777777">
            <w:r>
              <w:rPr>
                <w:b/>
                <w:bCs/>
                <w:color w:val="FFFFFF"/>
                <w:sz w:val="20"/>
                <w:szCs w:val="20"/>
              </w:rPr>
              <w:t>Type</w:t>
            </w:r>
          </w:p>
        </w:tc>
        <w:tc>
          <w:tcPr>
            <w:tcW w:w="376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7DA42433" w14:textId="77777777">
            <w:r>
              <w:rPr>
                <w:b/>
                <w:bCs/>
                <w:color w:val="FFFFFF"/>
                <w:sz w:val="20"/>
                <w:szCs w:val="20"/>
              </w:rPr>
              <w:t>Status</w:t>
            </w:r>
          </w:p>
        </w:tc>
      </w:tr>
      <w:tr w:rsidR="002C3C59" w:rsidTr="2F5A8E13" w14:paraId="28902637" w14:textId="77777777">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1B6F838" w14:textId="77777777">
            <w:r>
              <w:rPr>
                <w:b/>
                <w:bCs/>
                <w:sz w:val="20"/>
                <w:szCs w:val="20"/>
              </w:rPr>
              <w:t>1. Introduction &amp; Overview</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535D39C9" w14:textId="77777777">
            <w:r>
              <w:rPr>
                <w:sz w:val="20"/>
                <w:szCs w:val="20"/>
              </w:rPr>
              <w:t>🌐  Universal</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A7EABC3" w14:textId="77777777">
            <w:r>
              <w:rPr>
                <w:sz w:val="20"/>
                <w:szCs w:val="20"/>
              </w:rPr>
              <w:t>Complete</w:t>
            </w:r>
          </w:p>
        </w:tc>
      </w:tr>
      <w:tr w:rsidR="002C3C59" w:rsidTr="2F5A8E13" w14:paraId="28A9284C" w14:textId="77777777">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3D16E5AC" w14:textId="77777777">
            <w:r>
              <w:rPr>
                <w:b/>
                <w:bCs/>
                <w:sz w:val="20"/>
                <w:szCs w:val="20"/>
              </w:rPr>
              <w:t>2. Benchmark Construction</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3275BB39" w14:textId="77777777">
            <w:r>
              <w:rPr>
                <w:sz w:val="20"/>
                <w:szCs w:val="20"/>
              </w:rPr>
              <w:t>🌐  Universal</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699C34F9" w14:textId="77777777">
            <w:r>
              <w:rPr>
                <w:sz w:val="20"/>
                <w:szCs w:val="20"/>
              </w:rPr>
              <w:t>Complete</w:t>
            </w:r>
          </w:p>
        </w:tc>
      </w:tr>
      <w:tr w:rsidR="002C3C59" w:rsidTr="2F5A8E13" w14:paraId="629D7BC9" w14:textId="77777777">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7C7BBE67" w14:textId="77777777">
            <w:r>
              <w:rPr>
                <w:b/>
                <w:bCs/>
                <w:sz w:val="20"/>
                <w:szCs w:val="20"/>
              </w:rPr>
              <w:t>3. Governance &amp; Updates</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2446A9B" w14:textId="77777777">
            <w:r>
              <w:rPr>
                <w:sz w:val="20"/>
                <w:szCs w:val="20"/>
              </w:rPr>
              <w:t>🌐  Universal</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05BA9973" w14:textId="77777777">
            <w:r>
              <w:rPr>
                <w:sz w:val="20"/>
                <w:szCs w:val="20"/>
              </w:rPr>
              <w:t>Complete</w:t>
            </w:r>
          </w:p>
        </w:tc>
      </w:tr>
      <w:tr w:rsidR="4485C866" w:rsidTr="2F5A8E13" w14:paraId="31F4A703" w14:textId="77777777">
        <w:trPr>
          <w:trHeight w:val="300"/>
        </w:trPr>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4485C866" w:rsidP="4485C866" w:rsidRDefault="66A76790" w14:paraId="52847187" w14:textId="3D87DBED">
            <w:pPr>
              <w:rPr>
                <w:b/>
                <w:bCs/>
                <w:sz w:val="20"/>
                <w:szCs w:val="20"/>
              </w:rPr>
            </w:pPr>
            <w:r>
              <w:rPr>
                <w:b/>
                <w:bCs/>
                <w:sz w:val="20"/>
                <w:szCs w:val="20"/>
              </w:rPr>
              <w:t>4. Data Management</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26F49D66" w:rsidRDefault="26F49D66" w14:paraId="71292AC9" w14:textId="77777777">
            <w:r>
              <w:rPr>
                <w:sz w:val="20"/>
                <w:szCs w:val="20"/>
              </w:rPr>
              <w:t>🌐  Universal</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4485C866" w:rsidP="4485C866" w:rsidRDefault="3889A33E" w14:paraId="1C781F4B" w14:textId="259DB1A1">
            <w:r>
              <w:rPr>
                <w:sz w:val="20"/>
                <w:szCs w:val="20"/>
              </w:rPr>
              <w:t>Partially completed</w:t>
            </w:r>
          </w:p>
        </w:tc>
      </w:tr>
      <w:tr w:rsidR="6793ADEB" w:rsidTr="2F5A8E13" w14:paraId="6CB62AEA" w14:textId="77777777">
        <w:trPr>
          <w:trHeight w:val="300"/>
        </w:trPr>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6793ADEB" w:rsidP="6793ADEB" w:rsidRDefault="2F1CCC68" w14:paraId="105387C7" w14:textId="48F7CFC0">
            <w:r>
              <w:rPr>
                <w:b/>
                <w:bCs/>
                <w:sz w:val="20"/>
                <w:szCs w:val="20"/>
              </w:rPr>
              <w:t>5. General Limitations</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26F49D66" w:rsidRDefault="26F49D66" w14:paraId="693BDA1C" w14:textId="77777777">
            <w:r>
              <w:rPr>
                <w:sz w:val="20"/>
                <w:szCs w:val="20"/>
              </w:rPr>
              <w:t>🌐  Universal</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6793ADEB" w:rsidP="6793ADEB" w:rsidRDefault="31E230BC" w14:paraId="4EE821AA" w14:textId="305B48A5">
            <w:r>
              <w:rPr>
                <w:sz w:val="20"/>
                <w:szCs w:val="20"/>
              </w:rPr>
              <w:t>Complete</w:t>
            </w:r>
          </w:p>
        </w:tc>
      </w:tr>
      <w:tr w:rsidR="002C3C59" w:rsidTr="2F5A8E13" w14:paraId="56C45E11" w14:textId="77777777">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2561E984" w14:paraId="4EA2B1E6" w14:textId="5642A982">
            <w:r>
              <w:rPr>
                <w:b/>
                <w:bCs/>
                <w:sz w:val="20"/>
                <w:szCs w:val="20"/>
              </w:rPr>
              <w:t>6. Data Sources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528FA343" w14:textId="77777777">
            <w:r>
              <w:rPr>
                <w:sz w:val="20"/>
                <w:szCs w:val="20"/>
              </w:rPr>
              <w:t>🗺️  Country-specific</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6B7731F4" w14:textId="77777777">
            <w:r>
              <w:rPr>
                <w:sz w:val="20"/>
                <w:szCs w:val="20"/>
              </w:rPr>
              <w:t>Complete</w:t>
            </w:r>
          </w:p>
        </w:tc>
      </w:tr>
      <w:tr w:rsidR="002C3C59" w:rsidTr="2F5A8E13" w14:paraId="79E1FAA0" w14:textId="77777777">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63660869" w14:paraId="465998E7" w14:textId="76D9D96E">
            <w:r>
              <w:rPr>
                <w:b/>
                <w:bCs/>
                <w:sz w:val="20"/>
                <w:szCs w:val="20"/>
              </w:rPr>
              <w:t>7. Input Assumptions</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764BB0E1" w14:textId="77777777">
            <w:r>
              <w:rPr>
                <w:sz w:val="20"/>
                <w:szCs w:val="20"/>
              </w:rPr>
              <w:t>🗺️  Country-specific</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50CD9535" w14:textId="77777777">
            <w:r>
              <w:rPr>
                <w:sz w:val="20"/>
                <w:szCs w:val="20"/>
              </w:rPr>
              <w:t>Complete</w:t>
            </w:r>
          </w:p>
        </w:tc>
      </w:tr>
      <w:tr w:rsidR="002C3C59" w:rsidTr="2F5A8E13" w14:paraId="5CA9CBC0" w14:textId="77777777">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4F539536" w14:paraId="6D58CD4D" w14:textId="7E06851D">
            <w:r>
              <w:rPr>
                <w:b/>
                <w:bCs/>
                <w:sz w:val="20"/>
                <w:szCs w:val="20"/>
              </w:rPr>
              <w:t>8. Revenue Streams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2C8E283" w14:textId="77777777">
            <w:r>
              <w:rPr>
                <w:sz w:val="20"/>
                <w:szCs w:val="20"/>
              </w:rPr>
              <w:t>🗺️  Country-specific</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6FA65F7A" w14:textId="77777777">
            <w:r>
              <w:rPr>
                <w:sz w:val="20"/>
                <w:szCs w:val="20"/>
              </w:rPr>
              <w:t>Complete</w:t>
            </w:r>
          </w:p>
        </w:tc>
      </w:tr>
      <w:tr w:rsidR="002C3C59" w:rsidTr="2F5A8E13" w14:paraId="674965A7" w14:textId="77777777">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5FAA897F" w14:paraId="78FA5C0A" w14:textId="2CC4C8B4">
            <w:r>
              <w:rPr>
                <w:b/>
                <w:bCs/>
                <w:sz w:val="20"/>
                <w:szCs w:val="20"/>
              </w:rPr>
              <w:t>9. Calculation Methodology</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7A9DCED" w14:textId="77777777">
            <w:r>
              <w:rPr>
                <w:sz w:val="20"/>
                <w:szCs w:val="20"/>
              </w:rPr>
              <w:t>🗺️  Country-specific</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0A8D3C27" w14:textId="77777777">
            <w:r>
              <w:rPr>
                <w:sz w:val="20"/>
                <w:szCs w:val="20"/>
              </w:rPr>
              <w:t>Complete</w:t>
            </w:r>
          </w:p>
        </w:tc>
      </w:tr>
      <w:tr w:rsidR="002C3C59" w:rsidTr="2F5A8E13" w14:paraId="0C159169" w14:textId="77777777">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5FAA897F" w14:paraId="05CDAE6F" w14:textId="29C327BC">
            <w:pPr>
              <w:rPr>
                <w:b/>
                <w:sz w:val="20"/>
                <w:szCs w:val="20"/>
              </w:rPr>
            </w:pPr>
            <w:r>
              <w:rPr>
                <w:b/>
                <w:bCs/>
                <w:sz w:val="20"/>
                <w:szCs w:val="20"/>
              </w:rPr>
              <w:t>10. Notes &amp; Limitations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3EA987FB" w14:textId="524C8F5B">
            <w:pPr>
              <w:rPr>
                <w:sz w:val="20"/>
                <w:szCs w:val="20"/>
              </w:rPr>
            </w:pPr>
            <w:r>
              <w:rPr>
                <w:sz w:val="20"/>
                <w:szCs w:val="20"/>
              </w:rPr>
              <w:t xml:space="preserve">🌐 Universal </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8D26FBE" w14:textId="77777777">
            <w:r>
              <w:rPr>
                <w:sz w:val="20"/>
                <w:szCs w:val="20"/>
              </w:rPr>
              <w:t>Complete</w:t>
            </w:r>
          </w:p>
        </w:tc>
      </w:tr>
      <w:tr w:rsidR="002C3C59" w:rsidTr="2F5A8E13" w14:paraId="0456F764" w14:textId="77777777">
        <w:tc>
          <w:tcPr>
            <w:tcW w:w="3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13B0A23B" w14:paraId="32782444" w14:textId="12C2F44D">
            <w:pPr>
              <w:rPr>
                <w:b/>
                <w:sz w:val="20"/>
                <w:szCs w:val="20"/>
              </w:rPr>
            </w:pPr>
            <w:r>
              <w:rPr>
                <w:b/>
                <w:bCs/>
                <w:sz w:val="20"/>
                <w:szCs w:val="20"/>
              </w:rPr>
              <w:t>11. Contact &amp; Feedback</w:t>
            </w:r>
          </w:p>
        </w:tc>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4614043E" w14:textId="77777777">
            <w:r>
              <w:rPr>
                <w:sz w:val="20"/>
                <w:szCs w:val="20"/>
              </w:rPr>
              <w:t>🌐  Universal</w:t>
            </w:r>
          </w:p>
        </w:tc>
        <w:tc>
          <w:tcPr>
            <w:tcW w:w="37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08F39991" w14:textId="77777777">
            <w:r>
              <w:rPr>
                <w:sz w:val="20"/>
                <w:szCs w:val="20"/>
              </w:rPr>
              <w:t>Complete</w:t>
            </w:r>
          </w:p>
        </w:tc>
      </w:tr>
    </w:tbl>
    <w:p w:rsidR="002C3C59" w:rsidRDefault="002C3C59" w14:paraId="175D7526" w14:textId="77777777">
      <w:pPr>
        <w:spacing w:after="120"/>
      </w:pPr>
    </w:p>
    <w:p w:rsidR="002C3C59" w:rsidRDefault="001D7557" w14:paraId="7763E0A8" w14:textId="77777777">
      <w:r>
        <w:br w:type="page"/>
      </w:r>
    </w:p>
    <w:p w:rsidR="002C3C59" w:rsidRDefault="001D7557" w14:paraId="4DAE9387" w14:textId="77777777">
      <w:pPr>
        <w:pBdr>
          <w:bottom w:val="single" w:color="1B3A6B" w:sz="8" w:space="0"/>
        </w:pBdr>
        <w:spacing w:before="480" w:after="160"/>
      </w:pPr>
      <w:r>
        <w:rPr>
          <w:b/>
          <w:bCs/>
          <w:color w:val="1B3A6B"/>
          <w:sz w:val="36"/>
          <w:szCs w:val="36"/>
        </w:rPr>
        <w:lastRenderedPageBreak/>
        <w:t>1. Introduction &amp; Overview</w:t>
      </w:r>
    </w:p>
    <w:p w:rsidR="002C3C59" w:rsidRDefault="001D7557" w14:paraId="3D5E7DAE" w14:textId="77777777">
      <w:pPr>
        <w:pBdr>
          <w:left w:val="single" w:color="2E5FA3" w:sz="20" w:space="0"/>
        </w:pBdr>
        <w:shd w:val="clear" w:color="auto" w:fill="EAF0F8"/>
        <w:spacing w:after="200"/>
        <w:ind w:left="180"/>
      </w:pPr>
      <w:r>
        <w:rPr>
          <w:i/>
          <w:iCs/>
          <w:color w:val="2E5FA3"/>
          <w:sz w:val="18"/>
          <w:szCs w:val="18"/>
        </w:rPr>
        <w:t>🌐  UNIVERSAL — applies identically to all markets</w:t>
      </w:r>
    </w:p>
    <w:p w:rsidR="002C3C59" w:rsidRDefault="001D7557" w14:paraId="6D085BAB" w14:textId="77777777">
      <w:pPr>
        <w:spacing w:after="120"/>
      </w:pPr>
      <w:r>
        <w:t>The Real Performance Benchmark (RPB) provides a capacity-weighted view of actual battery storage revenue performance in a given electricity market. It is constructed from publicly available market settlement and ancillary services procurement data, covering all registered Battery Energy Storage System (BESS) assets meeting the inclusion criteria in the relevant market.</w:t>
      </w:r>
    </w:p>
    <w:p w:rsidR="002C3C59" w:rsidRDefault="001D7557" w14:paraId="74B198B1" w14:textId="77777777">
      <w:pPr>
        <w:spacing w:after="120"/>
      </w:pPr>
      <w:r>
        <w:t>The RPB is designed to reflect revenues that a representative portfolio of assets could earn from participation in relevant electricity markets, based on publicly available data. It is an observed performance view, not a modelled or forecast benchmark — it shows what assets actually earned, not what they could theoretically earn under optimal dispatch.</w:t>
      </w:r>
    </w:p>
    <w:p w:rsidR="002C3C59" w:rsidRDefault="001D7557" w14:paraId="5C3BBBF4" w14:textId="37F12A8B">
      <w:pPr>
        <w:spacing w:after="120"/>
      </w:pPr>
      <w:r>
        <w:t>The benchmark decomposes revenue across the distinct market revenue streams available in each region, and presents results normalised to [local currency]/MW of installed capacity, enabling like-for-like comparison across assets of different sizes.</w:t>
      </w:r>
    </w:p>
    <w:p w:rsidR="002C3C59" w:rsidRDefault="001D7557" w14:paraId="7AA67101" w14:textId="77777777">
      <w:pPr>
        <w:spacing w:after="120"/>
      </w:pPr>
      <w:r>
        <w:t>Assets can be filtered by:</w:t>
      </w:r>
    </w:p>
    <w:p w:rsidR="002C3C59" w:rsidRDefault="001D7557" w14:paraId="5E4A2CBF" w14:textId="77777777">
      <w:pPr>
        <w:pStyle w:val="ListParagraph"/>
        <w:numPr>
          <w:ilvl w:val="0"/>
          <w:numId w:val="2"/>
        </w:numPr>
        <w:spacing w:after="80"/>
      </w:pPr>
      <w:r>
        <w:rPr>
          <w:b/>
          <w:bCs/>
        </w:rPr>
        <w:t>Region</w:t>
      </w:r>
      <w:r>
        <w:t xml:space="preserve"> — revenue per MW for each geographic sub-region within the market.</w:t>
      </w:r>
    </w:p>
    <w:p w:rsidR="002C3C59" w:rsidRDefault="001D7557" w14:paraId="5EA37F1D" w14:textId="6395F13A">
      <w:pPr>
        <w:pStyle w:val="ListParagraph"/>
        <w:numPr>
          <w:ilvl w:val="0"/>
          <w:numId w:val="2"/>
        </w:numPr>
        <w:spacing w:after="80"/>
        <w:rPr/>
      </w:pPr>
      <w:r w:rsidRPr="41348015" w:rsidR="589B833A">
        <w:rPr>
          <w:b w:val="1"/>
          <w:bCs w:val="1"/>
        </w:rPr>
        <w:t>Duration</w:t>
      </w:r>
      <w:r w:rsidR="589B833A">
        <w:rPr/>
        <w:t xml:space="preserve"> — revenue per MW by battery duration class</w:t>
      </w:r>
      <w:r w:rsidR="44B33B4D">
        <w:rPr/>
        <w:t>.</w:t>
      </w:r>
    </w:p>
    <w:p w:rsidR="002C3C59" w:rsidRDefault="001D7557" w14:paraId="415072AC" w14:textId="77777777">
      <w:pPr>
        <w:pStyle w:val="ListParagraph"/>
        <w:numPr>
          <w:ilvl w:val="0"/>
          <w:numId w:val="2"/>
        </w:numPr>
        <w:spacing w:after="80"/>
      </w:pPr>
      <w:r>
        <w:rPr>
          <w:b/>
          <w:bCs/>
        </w:rPr>
        <w:t>Optimiser</w:t>
      </w:r>
      <w:r>
        <w:t xml:space="preserve"> — revenue per MW for any active optimiser in the market.</w:t>
      </w:r>
    </w:p>
    <w:p w:rsidR="002C3C59" w:rsidRDefault="002C3C59" w14:paraId="464C02FB" w14:textId="77777777">
      <w:pPr>
        <w:spacing w:after="80"/>
      </w:pPr>
    </w:p>
    <w:p w:rsidR="002C3C59" w:rsidRDefault="001D7557" w14:paraId="6D1B307F" w14:textId="3FBCBAC1">
      <w:pPr>
        <w:spacing w:after="120"/>
      </w:pPr>
      <w:r>
        <w:t>Custom indices can be defined as any combination of region, duration and optimiser, and saved for future reference. This allows users to construct bespoke peer groups that reflect their specific portfolio or investment thesis. Aurora subscribers can create these custom indices via the Flexplorer dashboard within Aurora’s EOS platform. Alternatively, Aurora’s website provides a set of pre-defined indexes (also available via Flexplorer) – the definitions of which can be found in the following sections.</w:t>
      </w:r>
    </w:p>
    <w:p w:rsidR="002C3C59" w:rsidRDefault="002C3C59" w14:paraId="472065C2" w14:textId="77777777">
      <w:pPr>
        <w:spacing w:after="120"/>
      </w:pPr>
    </w:p>
    <w:p w:rsidR="002C3C59" w:rsidRDefault="001D7557" w14:paraId="40EC936D" w14:textId="77777777">
      <w:r>
        <w:br w:type="page"/>
      </w:r>
    </w:p>
    <w:p w:rsidR="002C3C59" w:rsidRDefault="001D7557" w14:paraId="4EE08F2B" w14:textId="77777777">
      <w:pPr>
        <w:pBdr>
          <w:bottom w:val="single" w:color="1B3A6B" w:sz="8" w:space="0"/>
        </w:pBdr>
        <w:spacing w:before="480" w:after="160"/>
        <w:rPr>
          <w:b/>
          <w:color w:val="1B3A6B"/>
          <w:sz w:val="36"/>
          <w:szCs w:val="36"/>
        </w:rPr>
      </w:pPr>
      <w:r>
        <w:rPr>
          <w:b/>
          <w:bCs/>
          <w:color w:val="1B3A6B"/>
          <w:sz w:val="36"/>
          <w:szCs w:val="36"/>
        </w:rPr>
        <w:lastRenderedPageBreak/>
        <w:t>2.</w:t>
      </w:r>
      <w:commentRangeStart w:id="0"/>
      <w:commentRangeStart w:id="1"/>
      <w:r>
        <w:rPr>
          <w:b/>
          <w:bCs/>
          <w:color w:val="1B3A6B"/>
          <w:sz w:val="36"/>
          <w:szCs w:val="36"/>
        </w:rPr>
        <w:t xml:space="preserve"> Benchmark Construction</w:t>
      </w:r>
      <w:commentRangeEnd w:id="0"/>
      <w:r>
        <w:rPr>
          <w:rStyle w:val="CommentReference"/>
          <w:b/>
          <w:color w:val="1B3A6B"/>
          <w:sz w:val="36"/>
          <w:szCs w:val="36"/>
        </w:rPr>
        <w:commentReference w:id="0"/>
      </w:r>
      <w:commentRangeEnd w:id="1"/>
      <w:r>
        <w:rPr>
          <w:rStyle w:val="CommentReference"/>
        </w:rPr>
        <w:commentReference w:id="1"/>
      </w:r>
    </w:p>
    <w:p w:rsidR="002C3C59" w:rsidRDefault="001D7557" w14:paraId="17E144E8" w14:textId="77777777">
      <w:pPr>
        <w:pBdr>
          <w:left w:val="single" w:color="2E5FA3" w:sz="20" w:space="0"/>
        </w:pBdr>
        <w:shd w:val="clear" w:color="auto" w:fill="EAF0F8"/>
        <w:spacing w:after="200"/>
        <w:ind w:left="180"/>
      </w:pPr>
      <w:r>
        <w:rPr>
          <w:i/>
          <w:iCs/>
          <w:color w:val="2E5FA3"/>
          <w:sz w:val="18"/>
          <w:szCs w:val="18"/>
        </w:rPr>
        <w:t>🌐  UNIVERSAL — applies identically to all markets</w:t>
      </w:r>
    </w:p>
    <w:p w:rsidR="002C3C59" w:rsidRDefault="001D7557" w14:paraId="381D3B6B" w14:textId="77777777">
      <w:pPr>
        <w:spacing w:before="320" w:after="120"/>
      </w:pPr>
      <w:r>
        <w:rPr>
          <w:b/>
          <w:bCs/>
          <w:color w:val="2E5FA3"/>
          <w:sz w:val="28"/>
          <w:szCs w:val="28"/>
        </w:rPr>
        <w:t>2.1 Official Aurora indices</w:t>
      </w:r>
    </w:p>
    <w:p w:rsidR="589B833A" w:rsidP="632C2814" w:rsidRDefault="589B833A" w14:paraId="7745F97F" w14:textId="499511BD">
      <w:pPr>
        <w:pStyle w:val="Normal"/>
        <w:suppressLineNumbers w:val="0"/>
        <w:bidi w:val="0"/>
        <w:spacing w:before="0" w:beforeAutospacing="off" w:after="120" w:afterAutospacing="off" w:line="259" w:lineRule="auto"/>
        <w:ind w:left="0" w:right="0"/>
        <w:jc w:val="left"/>
      </w:pPr>
      <w:r w:rsidR="589B833A">
        <w:rPr/>
        <w:t xml:space="preserve">Aurora produces a family of standard indices for each covered market. All indices within a market family are constructed using the same published </w:t>
      </w:r>
      <w:r w:rsidR="589B833A">
        <w:rPr/>
        <w:t>methodology</w:t>
      </w:r>
      <w:r w:rsidR="589B833A">
        <w:rPr/>
        <w:t>, with differences only in the asset inclusion criteria (</w:t>
      </w:r>
      <w:r w:rsidR="6FCC73C9">
        <w:rPr/>
        <w:t xml:space="preserve">such as </w:t>
      </w:r>
      <w:r w:rsidR="589B833A">
        <w:rPr/>
        <w:t>duration band</w:t>
      </w:r>
      <w:r w:rsidR="705E21A3">
        <w:rPr/>
        <w:t xml:space="preserve"> or </w:t>
      </w:r>
      <w:r w:rsidR="4D550671">
        <w:rPr/>
        <w:t>geography</w:t>
      </w:r>
      <w:r w:rsidR="589B833A">
        <w:rPr/>
        <w:t xml:space="preserve">). </w:t>
      </w:r>
      <w:commentRangeStart w:id="155962991"/>
      <w:r w:rsidR="50B24120">
        <w:rPr/>
        <w:t xml:space="preserve">Index families are defined based on market-specific asset characteristics to ensure comparability within each segment. Classification criteria may include factors such as asset duration </w:t>
      </w:r>
      <w:r w:rsidR="589C2F5B">
        <w:rPr/>
        <w:t xml:space="preserve">or </w:t>
      </w:r>
      <w:r w:rsidR="50B24120">
        <w:rPr/>
        <w:t xml:space="preserve">geographic </w:t>
      </w:r>
      <w:r w:rsidR="7F86C402">
        <w:rPr/>
        <w:t>region</w:t>
      </w:r>
      <w:r w:rsidR="50B24120">
        <w:rPr/>
        <w:t>. For example:</w:t>
      </w:r>
    </w:p>
    <w:p w:rsidR="002C3C59" w:rsidRDefault="001D7557" w14:paraId="65449557" w14:textId="77777777">
      <w:pPr>
        <w:pStyle w:val="ListParagraph"/>
        <w:numPr>
          <w:ilvl w:val="0"/>
          <w:numId w:val="2"/>
        </w:numPr>
        <w:spacing w:after="80"/>
      </w:pPr>
      <w:r>
        <w:rPr>
          <w:b/>
          <w:bCs/>
        </w:rPr>
        <w:t>All-BESS index</w:t>
      </w:r>
      <w:r>
        <w:t xml:space="preserve"> — includes all qualifying BESS assets in the market, regardless of duration.</w:t>
      </w:r>
    </w:p>
    <w:p w:rsidR="002C3C59" w:rsidP="6CAE7B53" w:rsidRDefault="001D7557" w14:paraId="132220C5" w14:textId="5AACB66D">
      <w:pPr>
        <w:pStyle w:val="ListParagraph"/>
        <w:numPr>
          <w:ilvl w:val="0"/>
          <w:numId w:val="2"/>
        </w:numPr>
        <w:spacing w:after="80" w:line="259" w:lineRule="auto"/>
      </w:pPr>
      <w:commentRangeStart w:id="3"/>
      <w:commentRangeStart w:id="4"/>
      <w:commentRangeStart w:id="5"/>
      <w:commentRangeStart w:id="6"/>
      <w:r>
        <w:rPr>
          <w:b/>
          <w:bCs/>
        </w:rPr>
        <w:t>1H index</w:t>
      </w:r>
      <w:r>
        <w:t xml:space="preserve"> </w:t>
      </w:r>
      <w:commentRangeEnd w:id="3"/>
      <w:r>
        <w:rPr>
          <w:rStyle w:val="CommentReference"/>
          <w:sz w:val="22"/>
          <w:szCs w:val="22"/>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r>
        <w:t>— includes qualifying assets given a market specific system duration band.</w:t>
      </w:r>
    </w:p>
    <w:p w:rsidR="36A48028" w:rsidP="6CAE7B53" w:rsidRDefault="36A48028" w14:paraId="143A6B15" w14:textId="4187AF83">
      <w:pPr>
        <w:pStyle w:val="ListParagraph"/>
        <w:numPr>
          <w:ilvl w:val="0"/>
          <w:numId w:val="2"/>
        </w:numPr>
        <w:spacing w:after="80" w:line="259" w:lineRule="auto"/>
        <w:rPr/>
      </w:pPr>
      <w:r w:rsidRPr="41348015" w:rsidR="0CA3C057">
        <w:rPr>
          <w:b w:val="1"/>
          <w:bCs w:val="1"/>
        </w:rPr>
        <w:t>2H index</w:t>
      </w:r>
      <w:r w:rsidR="0CA3C057">
        <w:rPr/>
        <w:t xml:space="preserve"> — includes qualifying assets given a market specific system duration band.</w:t>
      </w:r>
      <w:commentRangeEnd w:id="155962991"/>
      <w:r>
        <w:rPr>
          <w:rStyle w:val="CommentReference"/>
        </w:rPr>
        <w:commentReference w:id="155962991"/>
      </w:r>
    </w:p>
    <w:p w:rsidR="002C3C59" w:rsidRDefault="002C3C59" w14:paraId="57D88F0D" w14:textId="77777777">
      <w:pPr>
        <w:spacing w:after="80"/>
      </w:pPr>
    </w:p>
    <w:p w:rsidR="002C3C59" w:rsidP="632C2814" w:rsidRDefault="001D7557" w14:paraId="29F4CE79" w14:textId="55A4B52C">
      <w:pPr>
        <w:pStyle w:val="Normal"/>
        <w:suppressLineNumbers w:val="0"/>
        <w:bidi w:val="0"/>
        <w:spacing w:before="0" w:beforeAutospacing="off" w:after="120" w:afterAutospacing="off" w:line="259" w:lineRule="auto"/>
        <w:ind w:left="0" w:right="0"/>
        <w:jc w:val="left"/>
      </w:pPr>
      <w:r w:rsidR="001D7557">
        <w:rPr/>
        <w:t xml:space="preserve">Where a </w:t>
      </w:r>
      <w:r w:rsidR="2A952612">
        <w:rPr/>
        <w:t>characteristic</w:t>
      </w:r>
      <w:r w:rsidR="001D7557">
        <w:rPr/>
        <w:t>-specific index cannot be constructed due to an insufficient number of qualifying assets, that index will not be published until the asset population reaches a representative threshold.</w:t>
      </w:r>
    </w:p>
    <w:p w:rsidR="002C3C59" w:rsidRDefault="001D7557" w14:paraId="2FA1CF40" w14:textId="77777777">
      <w:pPr>
        <w:spacing w:before="320" w:after="120"/>
      </w:pPr>
      <w:r>
        <w:rPr>
          <w:b/>
          <w:bCs/>
          <w:color w:val="2E5FA3"/>
          <w:sz w:val="28"/>
          <w:szCs w:val="28"/>
        </w:rPr>
        <w:t>2.2 Peer group construction and custom indices</w:t>
      </w:r>
    </w:p>
    <w:p w:rsidR="002C3C59" w:rsidRDefault="001D7557" w14:paraId="6D98952D" w14:textId="77777777">
      <w:pPr>
        <w:spacing w:after="120"/>
      </w:pPr>
      <w:commentRangeStart w:id="1706003889"/>
      <w:r w:rsidR="589B833A">
        <w:rPr/>
        <w:t>In addition to the standard index family, users can define custom peer groups as any combination of the following dimensions:</w:t>
      </w:r>
      <w:commentRangeEnd w:id="1706003889"/>
      <w:r>
        <w:rPr>
          <w:rStyle w:val="CommentReference"/>
        </w:rPr>
        <w:commentReference w:id="1706003889"/>
      </w:r>
    </w:p>
    <w:p w:rsidR="002C3C59" w:rsidRDefault="001D7557" w14:paraId="119FD1C4" w14:textId="77777777">
      <w:pPr>
        <w:pStyle w:val="ListParagraph"/>
        <w:numPr>
          <w:ilvl w:val="0"/>
          <w:numId w:val="2"/>
        </w:numPr>
        <w:spacing w:after="80"/>
        <w:rPr/>
      </w:pPr>
      <w:commentRangeStart w:id="588393075"/>
      <w:r w:rsidRPr="41348015" w:rsidR="589B833A">
        <w:rPr>
          <w:b w:val="1"/>
          <w:bCs w:val="1"/>
        </w:rPr>
        <w:t>Duration class</w:t>
      </w:r>
      <w:r w:rsidR="589B833A">
        <w:rPr/>
        <w:t xml:space="preserve"> — any available storage duration band.</w:t>
      </w:r>
    </w:p>
    <w:p w:rsidR="002C3C59" w:rsidRDefault="001D7557" w14:paraId="3B3F0DC4" w14:textId="77777777">
      <w:pPr>
        <w:pStyle w:val="ListParagraph"/>
        <w:numPr>
          <w:ilvl w:val="0"/>
          <w:numId w:val="2"/>
        </w:numPr>
        <w:spacing w:after="80"/>
      </w:pPr>
      <w:r>
        <w:rPr>
          <w:b/>
          <w:bCs/>
        </w:rPr>
        <w:t>Region</w:t>
      </w:r>
      <w:r>
        <w:t xml:space="preserve"> — any geographic sub-region within the market (applicable in the regional view).</w:t>
      </w:r>
    </w:p>
    <w:p w:rsidR="002C3C59" w:rsidRDefault="001D7557" w14:paraId="7CFFEF91" w14:textId="77777777">
      <w:pPr>
        <w:pStyle w:val="ListParagraph"/>
        <w:numPr>
          <w:ilvl w:val="0"/>
          <w:numId w:val="2"/>
        </w:numPr>
        <w:spacing w:after="80"/>
        <w:rPr/>
      </w:pPr>
      <w:r w:rsidRPr="41348015" w:rsidR="589B833A">
        <w:rPr>
          <w:b w:val="1"/>
          <w:bCs w:val="1"/>
        </w:rPr>
        <w:t>Optimiser</w:t>
      </w:r>
      <w:r w:rsidR="589B833A">
        <w:rPr/>
        <w:t xml:space="preserve"> — any active optimiser operating assets in the market.</w:t>
      </w:r>
      <w:commentRangeEnd w:id="588393075"/>
      <w:r>
        <w:rPr>
          <w:rStyle w:val="CommentReference"/>
        </w:rPr>
        <w:commentReference w:id="588393075"/>
      </w:r>
    </w:p>
    <w:p w:rsidR="002C3C59" w:rsidRDefault="002C3C59" w14:paraId="019685F1" w14:textId="77777777">
      <w:pPr>
        <w:spacing w:after="80"/>
      </w:pPr>
    </w:p>
    <w:p w:rsidR="002C3C59" w:rsidRDefault="001D7557" w14:paraId="069D1033" w14:textId="77777777">
      <w:pPr>
        <w:spacing w:after="120"/>
      </w:pPr>
      <w:r>
        <w:t>Within each peer group, all applicable revenue streams are independently calculated and then combined to produce a single monthly revenue profile. Custom peer groups can be saved for ongoing reference, allowing users to track a consistent cohort over time.</w:t>
      </w:r>
    </w:p>
    <w:p w:rsidR="003D0FC0" w:rsidRDefault="003D0FC0" w14:paraId="471CED23" w14:textId="600D4A9F">
      <w:pPr>
        <w:spacing w:after="120"/>
      </w:pPr>
      <w:r w:rsidR="003D0FC0">
        <w:rPr/>
        <w:t>This functionality is available to Aurora subscribers via Flexplorer.</w:t>
      </w:r>
    </w:p>
    <w:p w:rsidR="3CFC1D64" w:rsidP="632C2814" w:rsidRDefault="3CFC1D64" w14:paraId="08FEDEBE" w14:textId="5C7DCD33">
      <w:pPr>
        <w:spacing w:before="320" w:after="120"/>
        <w:rPr>
          <w:rFonts w:ascii="Calibri" w:hAnsi="Calibri" w:eastAsia="Calibri" w:cs="Calibri"/>
          <w:b w:val="0"/>
          <w:bCs w:val="0"/>
          <w:i w:val="0"/>
          <w:iCs w:val="0"/>
          <w:caps w:val="0"/>
          <w:smallCaps w:val="0"/>
          <w:noProof w:val="0"/>
          <w:color w:val="2E5FA3"/>
          <w:sz w:val="28"/>
          <w:szCs w:val="28"/>
          <w:lang w:val="en-GB"/>
        </w:rPr>
      </w:pPr>
      <w:r w:rsidRPr="632C2814" w:rsidR="3CFC1D64">
        <w:rPr>
          <w:rFonts w:ascii="Calibri" w:hAnsi="Calibri" w:eastAsia="Calibri" w:cs="Calibri"/>
          <w:b w:val="1"/>
          <w:bCs w:val="1"/>
          <w:i w:val="0"/>
          <w:iCs w:val="0"/>
          <w:caps w:val="0"/>
          <w:smallCaps w:val="0"/>
          <w:noProof w:val="0"/>
          <w:color w:val="2E5FA3"/>
          <w:sz w:val="28"/>
          <w:szCs w:val="28"/>
          <w:lang w:val="en-GB"/>
        </w:rPr>
        <w:t xml:space="preserve">2.3 Peer group average calculation  </w:t>
      </w:r>
    </w:p>
    <w:p w:rsidR="3CFC1D64" w:rsidP="632C2814" w:rsidRDefault="3CFC1D64" w14:paraId="5EE18044" w14:textId="0F523930">
      <w:pPr>
        <w:rPr>
          <w:rFonts w:ascii="Calibri" w:hAnsi="Calibri" w:eastAsia="Calibri" w:cs="Calibri"/>
          <w:b w:val="0"/>
          <w:bCs w:val="0"/>
          <w:i w:val="0"/>
          <w:iCs w:val="0"/>
          <w:caps w:val="0"/>
          <w:smallCaps w:val="0"/>
          <w:noProof w:val="0"/>
          <w:color w:val="222222"/>
          <w:sz w:val="22"/>
          <w:szCs w:val="22"/>
          <w:lang w:val="en-GB"/>
        </w:rPr>
      </w:pPr>
      <w:r w:rsidRPr="632C2814" w:rsidR="3CFC1D64">
        <w:rPr>
          <w:rFonts w:ascii="Calibri" w:hAnsi="Calibri" w:eastAsia="Calibri" w:cs="Calibri"/>
          <w:b w:val="0"/>
          <w:bCs w:val="0"/>
          <w:i w:val="0"/>
          <w:iCs w:val="0"/>
          <w:caps w:val="0"/>
          <w:smallCaps w:val="0"/>
          <w:noProof w:val="0"/>
          <w:color w:val="222222"/>
          <w:sz w:val="22"/>
          <w:szCs w:val="22"/>
          <w:lang w:val="en-GB"/>
        </w:rPr>
        <w:t>The peer group average (index) is calculated as the arithmetic mean of total unit-level net cashflows across active units in each time period.</w:t>
      </w:r>
    </w:p>
    <w:p w:rsidR="3CFC1D64" w:rsidP="632C2814" w:rsidRDefault="3CFC1D64" w14:paraId="56B23F4F" w14:textId="38DF6479">
      <w:pPr>
        <w:rPr>
          <w:rFonts w:ascii="Calibri" w:hAnsi="Calibri" w:eastAsia="Calibri" w:cs="Calibri"/>
          <w:b w:val="0"/>
          <w:bCs w:val="0"/>
          <w:i w:val="0"/>
          <w:iCs w:val="0"/>
          <w:caps w:val="0"/>
          <w:smallCaps w:val="0"/>
          <w:noProof w:val="0"/>
          <w:color w:val="222222"/>
          <w:sz w:val="22"/>
          <w:szCs w:val="22"/>
          <w:lang w:val="en-GB"/>
        </w:rPr>
      </w:pPr>
      <w:r w:rsidRPr="632C2814" w:rsidR="3CFC1D64">
        <w:rPr>
          <w:rFonts w:ascii="Calibri" w:hAnsi="Calibri" w:eastAsia="Calibri" w:cs="Calibri"/>
          <w:b w:val="0"/>
          <w:bCs w:val="0"/>
          <w:i w:val="0"/>
          <w:iCs w:val="0"/>
          <w:caps w:val="0"/>
          <w:smallCaps w:val="0"/>
          <w:noProof w:val="0"/>
          <w:color w:val="222222"/>
          <w:sz w:val="22"/>
          <w:szCs w:val="22"/>
          <w:lang w:val="en-GB"/>
        </w:rPr>
        <w:t xml:space="preserve"> </w:t>
      </w:r>
    </w:p>
    <w:p w:rsidR="3CFC1D64" w:rsidP="632C2814" w:rsidRDefault="3CFC1D64" w14:paraId="1FF94962" w14:textId="5261A62B">
      <w:pPr>
        <w:rPr>
          <w:rFonts w:ascii="Calibri" w:hAnsi="Calibri" w:eastAsia="Calibri" w:cs="Calibri"/>
          <w:b w:val="0"/>
          <w:bCs w:val="0"/>
          <w:i w:val="0"/>
          <w:iCs w:val="0"/>
          <w:caps w:val="0"/>
          <w:smallCaps w:val="0"/>
          <w:noProof w:val="0"/>
          <w:color w:val="222222"/>
          <w:sz w:val="22"/>
          <w:szCs w:val="22"/>
          <w:lang w:val="en-GB"/>
        </w:rPr>
      </w:pPr>
      <w:r w:rsidRPr="632C2814" w:rsidR="3CFC1D64">
        <w:rPr>
          <w:rFonts w:ascii="Calibri" w:hAnsi="Calibri" w:eastAsia="Calibri" w:cs="Calibri"/>
          <w:b w:val="0"/>
          <w:bCs w:val="0"/>
          <w:i w:val="0"/>
          <w:iCs w:val="0"/>
          <w:caps w:val="0"/>
          <w:smallCaps w:val="0"/>
          <w:noProof w:val="0"/>
          <w:color w:val="222222"/>
          <w:sz w:val="22"/>
          <w:szCs w:val="22"/>
          <w:lang w:val="en-GB"/>
        </w:rPr>
        <w:t xml:space="preserve">Total unit-level net cashflow is defined as total charge cashflow plus total discharge cashflow (after capacity normalisation). Total charge/discharge cashflows are the sum of cashflows across all markets the unit </w:t>
      </w:r>
      <w:r w:rsidRPr="632C2814" w:rsidR="3CFC1D64">
        <w:rPr>
          <w:rFonts w:ascii="Calibri" w:hAnsi="Calibri" w:eastAsia="Calibri" w:cs="Calibri"/>
          <w:b w:val="0"/>
          <w:bCs w:val="0"/>
          <w:i w:val="0"/>
          <w:iCs w:val="0"/>
          <w:caps w:val="0"/>
          <w:smallCaps w:val="0"/>
          <w:noProof w:val="0"/>
          <w:color w:val="222222"/>
          <w:sz w:val="22"/>
          <w:szCs w:val="22"/>
          <w:lang w:val="en-GB"/>
        </w:rPr>
        <w:t>participated</w:t>
      </w:r>
      <w:r w:rsidRPr="632C2814" w:rsidR="3CFC1D64">
        <w:rPr>
          <w:rFonts w:ascii="Calibri" w:hAnsi="Calibri" w:eastAsia="Calibri" w:cs="Calibri"/>
          <w:b w:val="0"/>
          <w:bCs w:val="0"/>
          <w:i w:val="0"/>
          <w:iCs w:val="0"/>
          <w:caps w:val="0"/>
          <w:smallCaps w:val="0"/>
          <w:noProof w:val="0"/>
          <w:color w:val="222222"/>
          <w:sz w:val="22"/>
          <w:szCs w:val="22"/>
          <w:lang w:val="en-GB"/>
        </w:rPr>
        <w:t xml:space="preserve"> in. An active unit is defined as a unit with any non-</w:t>
      </w:r>
      <w:r w:rsidRPr="632C2814" w:rsidR="3CFC1D64">
        <w:rPr>
          <w:rFonts w:ascii="Calibri" w:hAnsi="Calibri" w:eastAsia="Calibri" w:cs="Calibri"/>
          <w:b w:val="0"/>
          <w:bCs w:val="0"/>
          <w:i w:val="0"/>
          <w:iCs w:val="0"/>
          <w:caps w:val="0"/>
          <w:smallCaps w:val="0"/>
          <w:noProof w:val="0"/>
          <w:color w:val="222222"/>
          <w:sz w:val="22"/>
          <w:szCs w:val="22"/>
          <w:lang w:val="en-GB"/>
        </w:rPr>
        <w:t>z</w:t>
      </w:r>
      <w:r w:rsidRPr="632C2814" w:rsidR="3CFC1D64">
        <w:rPr>
          <w:rFonts w:ascii="Calibri" w:hAnsi="Calibri" w:eastAsia="Calibri" w:cs="Calibri"/>
          <w:b w:val="0"/>
          <w:bCs w:val="0"/>
          <w:i w:val="0"/>
          <w:iCs w:val="0"/>
          <w:caps w:val="0"/>
          <w:smallCaps w:val="0"/>
          <w:noProof w:val="0"/>
          <w:color w:val="222222"/>
          <w:sz w:val="22"/>
          <w:szCs w:val="22"/>
          <w:lang w:val="en-GB"/>
        </w:rPr>
        <w:t>ero market volume in that period. The index is calculated as the sum of active-unit net cashflows divided by the number of active units.</w:t>
      </w:r>
    </w:p>
    <w:p w:rsidR="3CFC1D64" w:rsidP="632C2814" w:rsidRDefault="3CFC1D64" w14:paraId="1C9AAF0C" w14:textId="156E69BF">
      <w:pPr>
        <w:rPr>
          <w:rFonts w:ascii="Calibri" w:hAnsi="Calibri" w:eastAsia="Calibri" w:cs="Calibri"/>
          <w:b w:val="0"/>
          <w:bCs w:val="0"/>
          <w:i w:val="0"/>
          <w:iCs w:val="0"/>
          <w:caps w:val="0"/>
          <w:smallCaps w:val="0"/>
          <w:noProof w:val="0"/>
          <w:color w:val="222222"/>
          <w:sz w:val="22"/>
          <w:szCs w:val="22"/>
          <w:lang w:val="en-GB"/>
        </w:rPr>
      </w:pPr>
      <w:r w:rsidRPr="632C2814" w:rsidR="3CFC1D64">
        <w:rPr>
          <w:rFonts w:ascii="Calibri" w:hAnsi="Calibri" w:eastAsia="Calibri" w:cs="Calibri"/>
          <w:b w:val="0"/>
          <w:bCs w:val="0"/>
          <w:i w:val="0"/>
          <w:iCs w:val="0"/>
          <w:caps w:val="0"/>
          <w:smallCaps w:val="0"/>
          <w:noProof w:val="0"/>
          <w:color w:val="222222"/>
          <w:sz w:val="22"/>
          <w:szCs w:val="22"/>
          <w:lang w:val="en-GB"/>
        </w:rPr>
        <w:t xml:space="preserve"> </w:t>
      </w:r>
    </w:p>
    <w:p w:rsidR="3CFC1D64" w:rsidP="632C2814" w:rsidRDefault="3CFC1D64" w14:paraId="37B9853E" w14:textId="0CD5EBC0">
      <w:pPr>
        <w:rPr>
          <w:rFonts w:ascii="Calibri" w:hAnsi="Calibri" w:eastAsia="Calibri" w:cs="Calibri"/>
          <w:b w:val="0"/>
          <w:bCs w:val="0"/>
          <w:i w:val="0"/>
          <w:iCs w:val="0"/>
          <w:caps w:val="0"/>
          <w:smallCaps w:val="0"/>
          <w:noProof w:val="0"/>
          <w:color w:val="222222"/>
          <w:sz w:val="22"/>
          <w:szCs w:val="22"/>
          <w:lang w:val="en-GB"/>
        </w:rPr>
      </w:pPr>
      <w:r w:rsidRPr="632C2814" w:rsidR="3CFC1D64">
        <w:rPr>
          <w:rFonts w:ascii="Calibri" w:hAnsi="Calibri" w:eastAsia="Calibri" w:cs="Calibri"/>
          <w:b w:val="0"/>
          <w:bCs w:val="0"/>
          <w:i w:val="0"/>
          <w:iCs w:val="0"/>
          <w:caps w:val="0"/>
          <w:smallCaps w:val="0"/>
          <w:noProof w:val="0"/>
          <w:color w:val="222222"/>
          <w:sz w:val="22"/>
          <w:szCs w:val="22"/>
          <w:lang w:val="en-GB"/>
        </w:rPr>
        <w:t xml:space="preserve">Because unit cashflows are already normalised by installed capacity, no </w:t>
      </w:r>
      <w:r w:rsidRPr="632C2814" w:rsidR="3CFC1D64">
        <w:rPr>
          <w:rFonts w:ascii="Calibri" w:hAnsi="Calibri" w:eastAsia="Calibri" w:cs="Calibri"/>
          <w:b w:val="0"/>
          <w:bCs w:val="0"/>
          <w:i w:val="0"/>
          <w:iCs w:val="0"/>
          <w:caps w:val="0"/>
          <w:smallCaps w:val="0"/>
          <w:noProof w:val="0"/>
          <w:color w:val="222222"/>
          <w:sz w:val="22"/>
          <w:szCs w:val="22"/>
          <w:lang w:val="en-GB"/>
        </w:rPr>
        <w:t>additional</w:t>
      </w:r>
      <w:r w:rsidRPr="632C2814" w:rsidR="3CFC1D64">
        <w:rPr>
          <w:rFonts w:ascii="Calibri" w:hAnsi="Calibri" w:eastAsia="Calibri" w:cs="Calibri"/>
          <w:b w:val="0"/>
          <w:bCs w:val="0"/>
          <w:i w:val="0"/>
          <w:iCs w:val="0"/>
          <w:caps w:val="0"/>
          <w:smallCaps w:val="0"/>
          <w:noProof w:val="0"/>
          <w:color w:val="222222"/>
          <w:sz w:val="22"/>
          <w:szCs w:val="22"/>
          <w:lang w:val="en-GB"/>
        </w:rPr>
        <w:t xml:space="preserve"> capacity normalisation is applied at the peer-group stage.</w:t>
      </w:r>
    </w:p>
    <w:p w:rsidR="002C3C59" w:rsidRDefault="001D7557" w14:paraId="528316FF" w14:textId="050E9160">
      <w:pPr>
        <w:spacing w:before="320" w:after="120"/>
      </w:pPr>
      <w:r w:rsidRPr="632C2814" w:rsidR="001D7557">
        <w:rPr>
          <w:b w:val="1"/>
          <w:bCs w:val="1"/>
          <w:color w:val="2E5FA3"/>
          <w:sz w:val="28"/>
          <w:szCs w:val="28"/>
        </w:rPr>
        <w:t>2.</w:t>
      </w:r>
      <w:r w:rsidRPr="632C2814" w:rsidR="7AC3A78E">
        <w:rPr>
          <w:b w:val="1"/>
          <w:bCs w:val="1"/>
          <w:color w:val="2E5FA3"/>
          <w:sz w:val="28"/>
          <w:szCs w:val="28"/>
        </w:rPr>
        <w:t>4</w:t>
      </w:r>
      <w:r w:rsidRPr="632C2814" w:rsidR="001D7557">
        <w:rPr>
          <w:b w:val="1"/>
          <w:bCs w:val="1"/>
          <w:color w:val="2E5FA3"/>
          <w:sz w:val="28"/>
          <w:szCs w:val="28"/>
        </w:rPr>
        <w:t xml:space="preserve"> Asset inclusion criteria</w:t>
      </w:r>
    </w:p>
    <w:p w:rsidR="002C3C59" w:rsidRDefault="001D7557" w14:paraId="0A1608E4" w14:textId="77777777">
      <w:pPr>
        <w:spacing w:after="120"/>
      </w:pPr>
      <w:r>
        <w:t>To be included in the benchmark, BESS assets must meet the following criteria, which are applied consistently across all markets:</w:t>
      </w:r>
    </w:p>
    <w:p w:rsidR="002C3C59" w:rsidRDefault="001D7557" w14:paraId="0A5FDBA9" w14:textId="6DD38106">
      <w:pPr>
        <w:pStyle w:val="ListParagraph"/>
        <w:numPr>
          <w:ilvl w:val="0"/>
          <w:numId w:val="2"/>
        </w:numPr>
        <w:spacing w:after="80"/>
      </w:pPr>
      <w:r>
        <w:rPr>
          <w:b/>
          <w:bCs/>
        </w:rPr>
        <w:t>Registration</w:t>
      </w:r>
      <w:r>
        <w:t xml:space="preserve"> — </w:t>
      </w:r>
      <w:commentRangeStart w:id="7"/>
      <w:commentRangeStart w:id="8"/>
      <w:r>
        <w:t>assets must be registered with their respective market operator (for example; as a Balancing Mechanism Unit (BMU) in Great Britain, or the local market equivalent), as only registered assets provide sufficient operational data visibility through regulatory reporting requirements.</w:t>
      </w:r>
      <w:commentRangeEnd w:id="7"/>
      <w:r>
        <w:rPr>
          <w:rStyle w:val="CommentReference"/>
          <w:sz w:val="22"/>
          <w:szCs w:val="22"/>
        </w:rPr>
        <w:commentReference w:id="7"/>
      </w:r>
      <w:commentRangeEnd w:id="8"/>
      <w:r>
        <w:rPr>
          <w:rStyle w:val="CommentReference"/>
        </w:rPr>
        <w:commentReference w:id="8"/>
      </w:r>
    </w:p>
    <w:p w:rsidR="002C3C59" w:rsidRDefault="001D7557" w14:paraId="1A7AAB27" w14:textId="77777777">
      <w:pPr>
        <w:pStyle w:val="ListParagraph"/>
        <w:numPr>
          <w:ilvl w:val="0"/>
          <w:numId w:val="2"/>
        </w:numPr>
        <w:spacing w:after="80"/>
      </w:pPr>
      <w:r>
        <w:rPr>
          <w:b/>
          <w:bCs/>
        </w:rPr>
        <w:t>Market activity</w:t>
      </w:r>
      <w:r>
        <w:t xml:space="preserve"> — assets must have recorded market activity in the relevant period as defined in section 2.4.</w:t>
      </w:r>
    </w:p>
    <w:p w:rsidR="002C3C59" w:rsidRDefault="001D7557" w14:paraId="6F04B8F4" w14:textId="77777777">
      <w:pPr>
        <w:pStyle w:val="ListParagraph"/>
        <w:numPr>
          <w:ilvl w:val="0"/>
          <w:numId w:val="2"/>
        </w:numPr>
        <w:spacing w:after="80"/>
      </w:pPr>
      <w:r>
        <w:rPr>
          <w:b/>
          <w:bCs/>
        </w:rPr>
        <w:t>Asset register inclusion</w:t>
      </w:r>
      <w:r>
        <w:t xml:space="preserve"> — assets must be listed in </w:t>
      </w:r>
      <w:commentRangeStart w:id="9"/>
      <w:commentRangeStart w:id="10"/>
      <w:commentRangeStart w:id="11"/>
      <w:r>
        <w:t xml:space="preserve">Aurora's curated asset register </w:t>
      </w:r>
      <w:commentRangeEnd w:id="9"/>
      <w:r>
        <w:rPr>
          <w:rStyle w:val="CommentReference"/>
          <w:sz w:val="22"/>
          <w:szCs w:val="22"/>
        </w:rPr>
        <w:commentReference w:id="9"/>
      </w:r>
      <w:commentRangeEnd w:id="10"/>
      <w:r>
        <w:rPr>
          <w:rStyle w:val="CommentReference"/>
        </w:rPr>
        <w:commentReference w:id="10"/>
      </w:r>
      <w:commentRangeEnd w:id="11"/>
      <w:r>
        <w:rPr>
          <w:rStyle w:val="CommentReference"/>
        </w:rPr>
        <w:commentReference w:id="11"/>
      </w:r>
      <w:r>
        <w:t>for the relevant market.</w:t>
      </w:r>
    </w:p>
    <w:p w:rsidR="002C3C59" w:rsidRDefault="002C3C59" w14:paraId="233854EA" w14:textId="77777777">
      <w:pPr>
        <w:spacing w:after="80"/>
      </w:pPr>
    </w:p>
    <w:p w:rsidR="002C3C59" w:rsidRDefault="001D7557" w14:paraId="431E5A9E" w14:textId="77777777">
      <w:pPr>
        <w:spacing w:after="120"/>
      </w:pPr>
      <w:r>
        <w:t>Market-specific inclusion criteria (such as minimum asset size thresholds or co-location rules) are documented in the country-specific sections.</w:t>
      </w:r>
    </w:p>
    <w:p w:rsidR="001D7557" w:rsidP="632C2814" w:rsidRDefault="001D7557" w14:paraId="3C9B2E26" w14:textId="3FD4EBDE">
      <w:pPr>
        <w:spacing w:before="320" w:after="120"/>
      </w:pPr>
      <w:r w:rsidRPr="632C2814" w:rsidR="001D7557">
        <w:rPr>
          <w:b w:val="1"/>
          <w:bCs w:val="1"/>
          <w:color w:val="2E5FA3"/>
          <w:sz w:val="28"/>
          <w:szCs w:val="28"/>
        </w:rPr>
        <w:t>2.</w:t>
      </w:r>
      <w:r w:rsidRPr="632C2814" w:rsidR="67148F51">
        <w:rPr>
          <w:b w:val="1"/>
          <w:bCs w:val="1"/>
          <w:color w:val="2E5FA3"/>
          <w:sz w:val="28"/>
          <w:szCs w:val="28"/>
        </w:rPr>
        <w:t>5</w:t>
      </w:r>
      <w:r w:rsidRPr="632C2814" w:rsidR="001D7557">
        <w:rPr>
          <w:b w:val="1"/>
          <w:bCs w:val="1"/>
          <w:color w:val="2E5FA3"/>
          <w:sz w:val="28"/>
          <w:szCs w:val="28"/>
        </w:rPr>
        <w:t xml:space="preserve"> Asset availability and activity</w:t>
      </w:r>
    </w:p>
    <w:p w:rsidR="54325D1F" w:rsidP="632C2814" w:rsidRDefault="54325D1F" w14:paraId="6DF43674" w14:textId="13B754E3">
      <w:pPr>
        <w:pStyle w:val="Normal"/>
        <w:spacing w:after="120"/>
      </w:pPr>
      <w:r w:rsidR="54325D1F">
        <w:rPr/>
        <w:t xml:space="preserve">Assets are eligible for inclusion from the first full calendar month following their registered online date. For each </w:t>
      </w:r>
      <w:r w:rsidR="54325D1F">
        <w:rPr/>
        <w:t>subsequent</w:t>
      </w:r>
      <w:r w:rsidR="54325D1F">
        <w:rPr/>
        <w:t xml:space="preserve"> month, an asset is included in benchmark calculations only if it records at least one non-zero observation during the relevant period. This definition applies across all revenue streams unless a market-specific rule, as specified in the country-specific </w:t>
      </w:r>
      <w:r w:rsidR="54325D1F">
        <w:rPr/>
        <w:t>methodology</w:t>
      </w:r>
      <w:r w:rsidR="54325D1F">
        <w:rPr/>
        <w:t xml:space="preserve"> section, </w:t>
      </w:r>
      <w:r w:rsidR="54325D1F">
        <w:rPr/>
        <w:t>takes precedence</w:t>
      </w:r>
      <w:r w:rsidR="54325D1F">
        <w:rPr/>
        <w:t>.</w:t>
      </w:r>
    </w:p>
    <w:p w:rsidR="54325D1F" w:rsidP="632C2814" w:rsidRDefault="54325D1F" w14:paraId="1E0DE0F0" w14:textId="506F4CC2">
      <w:pPr>
        <w:pStyle w:val="Normal"/>
        <w:spacing w:after="120"/>
      </w:pPr>
      <w:r w:rsidR="54325D1F">
        <w:rPr/>
        <w:t>By requiring evidence of market participation, the methodology avoids diluting benchmark values with newly commissioned or inactive assets.</w:t>
      </w:r>
    </w:p>
    <w:p w:rsidR="002C3C59" w:rsidRDefault="001D7557" w14:paraId="4CC5D719" w14:textId="1E66CD98">
      <w:pPr>
        <w:spacing w:before="320" w:after="120"/>
      </w:pPr>
      <w:r w:rsidRPr="632C2814" w:rsidR="001D7557">
        <w:rPr>
          <w:b w:val="1"/>
          <w:bCs w:val="1"/>
          <w:color w:val="2E5FA3"/>
          <w:sz w:val="28"/>
          <w:szCs w:val="28"/>
        </w:rPr>
        <w:t>2.</w:t>
      </w:r>
      <w:r w:rsidRPr="632C2814" w:rsidR="08D3E3F3">
        <w:rPr>
          <w:b w:val="1"/>
          <w:bCs w:val="1"/>
          <w:color w:val="2E5FA3"/>
          <w:sz w:val="28"/>
          <w:szCs w:val="28"/>
        </w:rPr>
        <w:t>6</w:t>
      </w:r>
      <w:r w:rsidRPr="632C2814" w:rsidR="001D7557">
        <w:rPr>
          <w:b w:val="1"/>
          <w:bCs w:val="1"/>
          <w:color w:val="2E5FA3"/>
          <w:sz w:val="28"/>
          <w:szCs w:val="28"/>
        </w:rPr>
        <w:t xml:space="preserve"> </w:t>
      </w:r>
      <w:commentRangeStart w:id="14"/>
      <w:r w:rsidRPr="632C2814" w:rsidR="001D7557">
        <w:rPr>
          <w:b w:val="1"/>
          <w:bCs w:val="1"/>
          <w:color w:val="2E5FA3"/>
          <w:sz w:val="28"/>
          <w:szCs w:val="28"/>
        </w:rPr>
        <w:t>Asset register maintenance</w:t>
      </w:r>
      <w:commentRangeEnd w:id="14"/>
      <w:r>
        <w:rPr>
          <w:rStyle w:val="CommentReference"/>
        </w:rPr>
        <w:commentReference w:id="14"/>
      </w:r>
    </w:p>
    <w:p w:rsidR="002C3C59" w:rsidRDefault="001D7557" w14:paraId="5CD9C933" w14:textId="77777777">
      <w:pPr>
        <w:spacing w:after="120"/>
      </w:pPr>
      <w:r>
        <w:t>Aurora maintains a curated asset register for each covered market. The register maps each qualifying asset to its installed capacity (MW), battery duration class, and geographic sub-region. The register is updated monthly as new assets enter the market.</w:t>
      </w:r>
    </w:p>
    <w:p w:rsidR="002C3C59" w:rsidRDefault="001D7557" w14:paraId="2A0891AE" w14:textId="77777777">
      <w:pPr>
        <w:spacing w:after="120"/>
      </w:pPr>
      <w:r>
        <w:t>Newly commissioned assets may experience a short lag between their registration date and inclusion in the benchmark. Aurora monitors market registration data for each covered market and aims to incorporate new BESS assets within the monthly update cycle. Where an asset's characteristics (capacity, duration) change due to augmentation, the updated values are applied from the date of the change.</w:t>
      </w:r>
    </w:p>
    <w:p w:rsidR="002C3C59" w:rsidRDefault="002C3C59" w14:paraId="25C9861F" w14:textId="77777777">
      <w:pPr>
        <w:spacing w:after="120"/>
      </w:pPr>
    </w:p>
    <w:p w:rsidR="002C3C59" w:rsidRDefault="001D7557" w14:paraId="3F2B18CC" w14:textId="77777777">
      <w:r>
        <w:br w:type="page"/>
      </w:r>
    </w:p>
    <w:p w:rsidR="002C3C59" w:rsidRDefault="001D7557" w14:paraId="73631329" w14:textId="77777777">
      <w:pPr>
        <w:pBdr>
          <w:bottom w:val="single" w:color="1B3A6B" w:sz="8" w:space="0"/>
        </w:pBdr>
        <w:spacing w:before="480" w:after="160"/>
      </w:pPr>
      <w:r>
        <w:rPr>
          <w:b/>
          <w:bCs/>
          <w:color w:val="1B3A6B"/>
          <w:sz w:val="36"/>
          <w:szCs w:val="36"/>
        </w:rPr>
        <w:lastRenderedPageBreak/>
        <w:t>3. Governance &amp; Updates</w:t>
      </w:r>
    </w:p>
    <w:p w:rsidR="002C3C59" w:rsidRDefault="001D7557" w14:paraId="3AE30FEB" w14:textId="77777777">
      <w:pPr>
        <w:pBdr>
          <w:left w:val="single" w:color="2E5FA3" w:sz="20" w:space="0"/>
        </w:pBdr>
        <w:shd w:val="clear" w:color="auto" w:fill="EAF0F8"/>
        <w:spacing w:after="200"/>
        <w:ind w:left="180"/>
      </w:pPr>
      <w:r>
        <w:rPr>
          <w:i/>
          <w:iCs/>
          <w:color w:val="2E5FA3"/>
          <w:sz w:val="18"/>
          <w:szCs w:val="18"/>
        </w:rPr>
        <w:t>🌐  UNIVERSAL — applies identically to all markets</w:t>
      </w:r>
    </w:p>
    <w:p w:rsidR="002C3C59" w:rsidRDefault="001D7557" w14:paraId="33E6864F" w14:textId="77777777">
      <w:pPr>
        <w:spacing w:before="320" w:after="120"/>
      </w:pPr>
      <w:r w:rsidRPr="632C2814" w:rsidR="001D7557">
        <w:rPr>
          <w:b w:val="1"/>
          <w:bCs w:val="1"/>
          <w:color w:val="2E5FA3"/>
          <w:sz w:val="28"/>
          <w:szCs w:val="28"/>
        </w:rPr>
        <w:t>3.1 Methodology review process</w:t>
      </w:r>
    </w:p>
    <w:p w:rsidR="673D7DC6" w:rsidP="632C2814" w:rsidRDefault="673D7DC6" w14:paraId="7C8ACF3B" w14:textId="7FEDA26B">
      <w:pPr>
        <w:spacing w:after="120"/>
        <w:rPr>
          <w:rFonts w:ascii="Calibri" w:hAnsi="Calibri" w:eastAsia="Calibri" w:cs="Calibri"/>
          <w:noProof w:val="0"/>
          <w:sz w:val="22"/>
          <w:szCs w:val="22"/>
          <w:lang w:val="en-GB"/>
        </w:rPr>
      </w:pPr>
      <w:r w:rsidRPr="632C2814" w:rsidR="673D7DC6">
        <w:rPr>
          <w:rFonts w:ascii="Calibri" w:hAnsi="Calibri" w:eastAsia="Calibri" w:cs="Calibri"/>
          <w:b w:val="0"/>
          <w:bCs w:val="0"/>
          <w:i w:val="0"/>
          <w:iCs w:val="0"/>
          <w:caps w:val="0"/>
          <w:smallCaps w:val="0"/>
          <w:noProof w:val="0"/>
          <w:color w:val="222222"/>
          <w:sz w:val="22"/>
          <w:szCs w:val="22"/>
          <w:lang w:val="en-GB"/>
        </w:rPr>
        <w:t xml:space="preserve">Aurora reviews this </w:t>
      </w:r>
      <w:r w:rsidRPr="632C2814" w:rsidR="673D7DC6">
        <w:rPr>
          <w:rFonts w:ascii="Calibri" w:hAnsi="Calibri" w:eastAsia="Calibri" w:cs="Calibri"/>
          <w:b w:val="0"/>
          <w:bCs w:val="0"/>
          <w:i w:val="0"/>
          <w:iCs w:val="0"/>
          <w:caps w:val="0"/>
          <w:smallCaps w:val="0"/>
          <w:noProof w:val="0"/>
          <w:color w:val="222222"/>
          <w:sz w:val="22"/>
          <w:szCs w:val="22"/>
          <w:lang w:val="en-GB"/>
        </w:rPr>
        <w:t>methodology</w:t>
      </w:r>
      <w:r w:rsidRPr="632C2814" w:rsidR="673D7DC6">
        <w:rPr>
          <w:rFonts w:ascii="Calibri" w:hAnsi="Calibri" w:eastAsia="Calibri" w:cs="Calibri"/>
          <w:b w:val="0"/>
          <w:bCs w:val="0"/>
          <w:i w:val="0"/>
          <w:iCs w:val="0"/>
          <w:caps w:val="0"/>
          <w:smallCaps w:val="0"/>
          <w:noProof w:val="0"/>
          <w:color w:val="222222"/>
          <w:sz w:val="22"/>
          <w:szCs w:val="22"/>
          <w:lang w:val="en-GB"/>
        </w:rPr>
        <w:t xml:space="preserve"> on an annual basis to ensure it </w:t>
      </w:r>
      <w:r w:rsidRPr="632C2814" w:rsidR="673D7DC6">
        <w:rPr>
          <w:rFonts w:ascii="Calibri" w:hAnsi="Calibri" w:eastAsia="Calibri" w:cs="Calibri"/>
          <w:b w:val="0"/>
          <w:bCs w:val="0"/>
          <w:i w:val="0"/>
          <w:iCs w:val="0"/>
          <w:caps w:val="0"/>
          <w:smallCaps w:val="0"/>
          <w:noProof w:val="0"/>
          <w:color w:val="222222"/>
          <w:sz w:val="22"/>
          <w:szCs w:val="22"/>
          <w:lang w:val="en-GB"/>
        </w:rPr>
        <w:t>remains</w:t>
      </w:r>
      <w:r w:rsidRPr="632C2814" w:rsidR="673D7DC6">
        <w:rPr>
          <w:rFonts w:ascii="Calibri" w:hAnsi="Calibri" w:eastAsia="Calibri" w:cs="Calibri"/>
          <w:b w:val="0"/>
          <w:bCs w:val="0"/>
          <w:i w:val="0"/>
          <w:iCs w:val="0"/>
          <w:caps w:val="0"/>
          <w:smallCaps w:val="0"/>
          <w:noProof w:val="0"/>
          <w:color w:val="222222"/>
          <w:sz w:val="22"/>
          <w:szCs w:val="22"/>
          <w:lang w:val="en-GB"/>
        </w:rPr>
        <w:t xml:space="preserve"> aligned with evolving market conditions, regulatory requirements, and data availability. </w:t>
      </w:r>
    </w:p>
    <w:p w:rsidR="002C3C59" w:rsidRDefault="001D7557" w14:paraId="3714D5D8" w14:textId="77777777">
      <w:pPr>
        <w:spacing w:before="320" w:after="120"/>
      </w:pPr>
      <w:r w:rsidRPr="632C2814" w:rsidR="001D7557">
        <w:rPr>
          <w:b w:val="1"/>
          <w:bCs w:val="1"/>
          <w:color w:val="2E5FA3"/>
          <w:sz w:val="28"/>
          <w:szCs w:val="28"/>
        </w:rPr>
        <w:t>3.2 Notification of changes</w:t>
      </w:r>
    </w:p>
    <w:p w:rsidR="03046EC3" w:rsidP="632C2814" w:rsidRDefault="03046EC3" w14:paraId="68C13B94" w14:textId="5F82244E">
      <w:pPr>
        <w:spacing w:after="120"/>
        <w:rPr>
          <w:rFonts w:ascii="Calibri" w:hAnsi="Calibri" w:eastAsia="Calibri" w:cs="Calibri"/>
          <w:b w:val="0"/>
          <w:bCs w:val="0"/>
          <w:i w:val="0"/>
          <w:iCs w:val="0"/>
          <w:caps w:val="0"/>
          <w:smallCaps w:val="0"/>
          <w:noProof w:val="0"/>
          <w:color w:val="222222"/>
          <w:sz w:val="22"/>
          <w:szCs w:val="22"/>
          <w:lang w:val="en-GB"/>
        </w:rPr>
      </w:pPr>
      <w:r w:rsidRPr="632C2814" w:rsidR="03046EC3">
        <w:rPr>
          <w:rFonts w:ascii="Calibri" w:hAnsi="Calibri" w:eastAsia="Calibri" w:cs="Calibri"/>
          <w:b w:val="0"/>
          <w:bCs w:val="0"/>
          <w:i w:val="0"/>
          <w:iCs w:val="0"/>
          <w:caps w:val="0"/>
          <w:smallCaps w:val="0"/>
          <w:noProof w:val="0"/>
          <w:color w:val="222222"/>
          <w:sz w:val="22"/>
          <w:szCs w:val="22"/>
          <w:lang w:val="en-GB"/>
        </w:rPr>
        <w:t xml:space="preserve">Significant methodology changes will be communicated to clients with advance notice prior to implementation. </w:t>
      </w:r>
    </w:p>
    <w:p w:rsidR="03046EC3" w:rsidP="632C2814" w:rsidRDefault="03046EC3" w14:paraId="09066073" w14:textId="39312A1A">
      <w:pPr>
        <w:spacing w:after="120"/>
        <w:rPr>
          <w:rFonts w:ascii="Calibri" w:hAnsi="Calibri" w:eastAsia="Calibri" w:cs="Calibri"/>
          <w:b w:val="0"/>
          <w:bCs w:val="0"/>
          <w:i w:val="0"/>
          <w:iCs w:val="0"/>
          <w:caps w:val="0"/>
          <w:smallCaps w:val="0"/>
          <w:noProof w:val="0"/>
          <w:color w:val="222222"/>
          <w:sz w:val="22"/>
          <w:szCs w:val="22"/>
          <w:lang w:val="en-GB"/>
        </w:rPr>
      </w:pPr>
      <w:r w:rsidRPr="632C2814" w:rsidR="03046EC3">
        <w:rPr>
          <w:rFonts w:ascii="Calibri" w:hAnsi="Calibri" w:eastAsia="Calibri" w:cs="Calibri"/>
          <w:b w:val="0"/>
          <w:bCs w:val="0"/>
          <w:i w:val="0"/>
          <w:iCs w:val="0"/>
          <w:caps w:val="0"/>
          <w:smallCaps w:val="0"/>
          <w:noProof w:val="0"/>
          <w:color w:val="222222"/>
          <w:sz w:val="22"/>
          <w:szCs w:val="22"/>
          <w:lang w:val="en-GB"/>
        </w:rPr>
        <w:t xml:space="preserve">Minor clarifications that do not affect the calculation </w:t>
      </w:r>
      <w:r w:rsidRPr="632C2814" w:rsidR="03046EC3">
        <w:rPr>
          <w:rFonts w:ascii="Calibri" w:hAnsi="Calibri" w:eastAsia="Calibri" w:cs="Calibri"/>
          <w:b w:val="0"/>
          <w:bCs w:val="0"/>
          <w:i w:val="0"/>
          <w:iCs w:val="0"/>
          <w:caps w:val="0"/>
          <w:smallCaps w:val="0"/>
          <w:noProof w:val="0"/>
          <w:color w:val="222222"/>
          <w:sz w:val="22"/>
          <w:szCs w:val="22"/>
          <w:lang w:val="en-GB"/>
        </w:rPr>
        <w:t>methodology</w:t>
      </w:r>
      <w:r w:rsidRPr="632C2814" w:rsidR="03046EC3">
        <w:rPr>
          <w:rFonts w:ascii="Calibri" w:hAnsi="Calibri" w:eastAsia="Calibri" w:cs="Calibri"/>
          <w:b w:val="0"/>
          <w:bCs w:val="0"/>
          <w:i w:val="0"/>
          <w:iCs w:val="0"/>
          <w:caps w:val="0"/>
          <w:smallCaps w:val="0"/>
          <w:noProof w:val="0"/>
          <w:color w:val="222222"/>
          <w:sz w:val="22"/>
          <w:szCs w:val="22"/>
          <w:lang w:val="en-GB"/>
        </w:rPr>
        <w:t xml:space="preserve"> will be incorporated into this document without prior notice and logged in the version log.</w:t>
      </w:r>
    </w:p>
    <w:p w:rsidR="002C3C59" w:rsidRDefault="001D7557" w14:paraId="1FE0F1BC" w14:textId="77777777">
      <w:pPr>
        <w:spacing w:before="320" w:after="120"/>
      </w:pPr>
      <w:r>
        <w:rPr>
          <w:b/>
          <w:bCs/>
          <w:color w:val="2E5FA3"/>
          <w:sz w:val="28"/>
          <w:szCs w:val="28"/>
        </w:rPr>
        <w:t>3.3 Methodology version log</w:t>
      </w:r>
    </w:p>
    <w:p w:rsidR="002C3C59" w:rsidRDefault="001D7557" w14:paraId="13A682A8" w14:textId="77777777">
      <w:pPr>
        <w:spacing w:after="120"/>
      </w:pPr>
      <w:r>
        <w:t>All methodology changes are tracked in the table below. This log is maintained from the initial publication date and records every change to ensure historical comparability.</w:t>
      </w:r>
    </w:p>
    <w:p w:rsidR="002C3C59" w:rsidRDefault="002C3C59" w14:paraId="75EF13D6"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1800"/>
        <w:gridCol w:w="2880"/>
        <w:gridCol w:w="3080"/>
      </w:tblGrid>
      <w:tr w:rsidR="002C3C59" w:rsidTr="632C2814" w14:paraId="6F934EA5" w14:textId="77777777">
        <w:trPr>
          <w:tblHeader/>
        </w:trPr>
        <w:tc>
          <w:tcPr>
            <w:tcW w:w="160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6FD8EA68" w14:textId="77777777">
            <w:r>
              <w:rPr>
                <w:b/>
                <w:bCs/>
                <w:color w:val="FFFFFF"/>
                <w:sz w:val="20"/>
                <w:szCs w:val="20"/>
              </w:rPr>
              <w:t>Version</w:t>
            </w:r>
          </w:p>
        </w:tc>
        <w:tc>
          <w:tcPr>
            <w:tcW w:w="180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6FA586BF" w14:textId="77777777">
            <w:r>
              <w:rPr>
                <w:b/>
                <w:bCs/>
                <w:color w:val="FFFFFF"/>
                <w:sz w:val="20"/>
                <w:szCs w:val="20"/>
              </w:rPr>
              <w:t>Effective date</w:t>
            </w:r>
          </w:p>
        </w:tc>
        <w:tc>
          <w:tcPr>
            <w:tcW w:w="288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3C2F4E0A" w14:textId="77777777">
            <w:r>
              <w:rPr>
                <w:b/>
                <w:bCs/>
                <w:color w:val="FFFFFF"/>
                <w:sz w:val="20"/>
                <w:szCs w:val="20"/>
              </w:rPr>
              <w:t>Change summary</w:t>
            </w:r>
          </w:p>
        </w:tc>
        <w:tc>
          <w:tcPr>
            <w:tcW w:w="308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7DD1AAD3" w14:textId="77777777">
            <w:r>
              <w:rPr>
                <w:b/>
                <w:bCs/>
                <w:color w:val="FFFFFF"/>
                <w:sz w:val="20"/>
                <w:szCs w:val="20"/>
              </w:rPr>
              <w:t>Sections affected</w:t>
            </w:r>
          </w:p>
        </w:tc>
      </w:tr>
      <w:tr w:rsidR="002C3C59" w:rsidTr="632C2814" w14:paraId="1FBB7DD7" w14:textId="77777777">
        <w:tc>
          <w:tcPr>
            <w:tcW w:w="16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013D02A9" w14:textId="77777777">
            <w:r>
              <w:rPr>
                <w:sz w:val="20"/>
                <w:szCs w:val="20"/>
              </w:rPr>
              <w:t>1.0</w:t>
            </w:r>
          </w:p>
        </w:tc>
        <w:tc>
          <w:tcPr>
            <w:tcW w:w="1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1C9BC478" w14:textId="3EF2A0AF">
            <w:r w:rsidRPr="632C2814" w:rsidR="60419195">
              <w:rPr>
                <w:sz w:val="20"/>
                <w:szCs w:val="20"/>
              </w:rPr>
              <w:t>15/07/2026</w:t>
            </w:r>
          </w:p>
        </w:tc>
        <w:tc>
          <w:tcPr>
            <w:tcW w:w="288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1ECCF67B" w14:textId="77777777">
            <w:r>
              <w:rPr>
                <w:sz w:val="20"/>
                <w:szCs w:val="20"/>
              </w:rPr>
              <w:t>Initial publication — Great Britain methodology.</w:t>
            </w:r>
          </w:p>
        </w:tc>
        <w:tc>
          <w:tcPr>
            <w:tcW w:w="308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38188538" w14:textId="77777777">
            <w:r>
              <w:rPr>
                <w:sz w:val="20"/>
                <w:szCs w:val="20"/>
              </w:rPr>
              <w:t>All</w:t>
            </w:r>
          </w:p>
        </w:tc>
      </w:tr>
      <w:tr w:rsidR="002C3C59" w:rsidTr="632C2814" w14:paraId="2E9484E2"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P="632C2814" w:rsidRDefault="001D7557" w14:paraId="76D75DA5" w14:textId="490FC73C">
            <w:pPr>
              <w:rPr>
                <w:sz w:val="20"/>
                <w:szCs w:val="20"/>
              </w:rPr>
            </w:pPr>
            <w:r w:rsidRPr="632C2814" w:rsidR="4F3C7E0F">
              <w:rPr>
                <w:sz w:val="20"/>
                <w:szCs w:val="20"/>
              </w:rPr>
              <w:t>1</w:t>
            </w:r>
            <w:r w:rsidRPr="632C2814" w:rsidR="001D7557">
              <w:rPr>
                <w:sz w:val="20"/>
                <w:szCs w:val="20"/>
              </w:rPr>
              <w:t>.</w:t>
            </w:r>
            <w:r w:rsidRPr="632C2814" w:rsidR="1ADC734E">
              <w:rPr>
                <w:sz w:val="20"/>
                <w:szCs w:val="20"/>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3F307A27" w14:textId="5486127B">
            <w:r w:rsidRPr="632C2814" w:rsidR="4F0379FE">
              <w:rPr>
                <w:sz w:val="20"/>
                <w:szCs w:val="20"/>
              </w:rPr>
              <w:t>18/08/2026</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0002D77B" w14:textId="03209F9B">
            <w:r w:rsidRPr="632C2814" w:rsidR="4F0379FE">
              <w:rPr>
                <w:sz w:val="20"/>
                <w:szCs w:val="20"/>
              </w:rPr>
              <w:t>Added universal sections: 1,2,3,4,5,10,11</w:t>
            </w:r>
          </w:p>
          <w:p w:rsidR="002C3C59" w:rsidRDefault="001D7557" w14:paraId="41CB03B5" w14:textId="39578EB8">
            <w:r w:rsidRPr="632C2814" w:rsidR="4F0379FE">
              <w:rPr>
                <w:sz w:val="20"/>
                <w:szCs w:val="20"/>
              </w:rPr>
              <w:t xml:space="preserve">Added </w:t>
            </w:r>
            <w:r w:rsidRPr="632C2814" w:rsidR="4F0379FE">
              <w:rPr>
                <w:sz w:val="20"/>
                <w:szCs w:val="20"/>
              </w:rPr>
              <w:t>contry</w:t>
            </w:r>
            <w:r w:rsidRPr="632C2814" w:rsidR="4F0379FE">
              <w:rPr>
                <w:sz w:val="20"/>
                <w:szCs w:val="20"/>
              </w:rPr>
              <w:t>-specific details for Italy</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P="632C2814" w:rsidRDefault="001D7557" w14:paraId="044A0946" w14:textId="7A5FFC77">
            <w:pPr>
              <w:pStyle w:val="Normal"/>
            </w:pPr>
            <w:r w:rsidRPr="632C2814" w:rsidR="2C05F391">
              <w:rPr>
                <w:sz w:val="20"/>
                <w:szCs w:val="20"/>
              </w:rPr>
              <w:t>All</w:t>
            </w:r>
          </w:p>
          <w:p w:rsidR="002C3C59" w:rsidP="632C2814" w:rsidRDefault="001D7557" w14:paraId="0CF076E6" w14:textId="74FD7786">
            <w:pPr>
              <w:pStyle w:val="Normal"/>
              <w:rPr>
                <w:sz w:val="20"/>
                <w:szCs w:val="20"/>
              </w:rPr>
            </w:pPr>
          </w:p>
          <w:p w:rsidR="002C3C59" w:rsidP="632C2814" w:rsidRDefault="001D7557" w14:paraId="245A12EB" w14:textId="1E4C6DEC">
            <w:pPr>
              <w:pStyle w:val="Normal"/>
              <w:rPr>
                <w:sz w:val="20"/>
                <w:szCs w:val="20"/>
              </w:rPr>
            </w:pPr>
          </w:p>
        </w:tc>
      </w:tr>
    </w:tbl>
    <w:p w:rsidR="002C3C59" w:rsidRDefault="002C3C59" w14:paraId="12BA9ED5" w14:textId="77777777">
      <w:pPr>
        <w:spacing w:after="120"/>
      </w:pPr>
    </w:p>
    <w:p w:rsidR="002C3C59" w:rsidRDefault="001D7557" w14:paraId="1C6C04DB" w14:textId="77777777">
      <w:r>
        <w:br w:type="page"/>
      </w:r>
    </w:p>
    <w:p w:rsidR="002C3C59" w:rsidRDefault="001D7557" w14:paraId="7703173A" w14:textId="77777777">
      <w:r>
        <w:lastRenderedPageBreak/>
        <w:br w:type="page"/>
      </w:r>
    </w:p>
    <w:p w:rsidR="75042028" w:rsidP="75042028" w:rsidRDefault="001D7557" w14:paraId="600069E7" w14:textId="60E04B81">
      <w:pPr>
        <w:pBdr>
          <w:bottom w:val="single" w:color="1B3A6B" w:sz="8" w:space="0"/>
        </w:pBdr>
        <w:spacing w:before="480" w:after="160"/>
      </w:pPr>
      <w:r>
        <w:rPr>
          <w:b/>
          <w:bCs/>
          <w:color w:val="1B3A6B"/>
          <w:sz w:val="36"/>
          <w:szCs w:val="36"/>
        </w:rPr>
        <w:lastRenderedPageBreak/>
        <w:t xml:space="preserve">4. Data Management  </w:t>
      </w:r>
    </w:p>
    <w:p w:rsidR="6AD9587B" w:rsidP="66EF9BF8" w:rsidRDefault="6AD9587B" w14:paraId="11FC7778" w14:textId="77777777">
      <w:pPr>
        <w:pBdr>
          <w:left w:val="single" w:color="2E5FA3" w:sz="20" w:space="0"/>
        </w:pBdr>
        <w:shd w:val="clear" w:color="auto" w:fill="EAF0F8"/>
        <w:spacing w:after="200"/>
        <w:ind w:left="180"/>
      </w:pPr>
      <w:r>
        <w:rPr>
          <w:i/>
          <w:iCs/>
          <w:color w:val="2E5FA3"/>
          <w:sz w:val="18"/>
          <w:szCs w:val="18"/>
        </w:rPr>
        <w:t>🌐  UNIVERSAL — applies identically to all markets</w:t>
      </w:r>
    </w:p>
    <w:p w:rsidR="7D2828B3" w:rsidP="2C786225" w:rsidRDefault="7D2828B3" w14:paraId="6186C8C6" w14:textId="3A8C51CD">
      <w:pPr>
        <w:spacing w:before="200" w:after="80"/>
      </w:pPr>
      <w:r w:rsidRPr="632C2814" w:rsidR="7D2828B3">
        <w:rPr>
          <w:b w:val="1"/>
          <w:bCs w:val="1"/>
          <w:color w:val="444444"/>
          <w:sz w:val="24"/>
          <w:szCs w:val="24"/>
        </w:rPr>
        <w:t>4.1.</w:t>
      </w:r>
      <w:r w:rsidRPr="632C2814" w:rsidR="6038E6D7">
        <w:rPr>
          <w:b w:val="1"/>
          <w:bCs w:val="1"/>
          <w:color w:val="444444"/>
          <w:sz w:val="24"/>
          <w:szCs w:val="24"/>
        </w:rPr>
        <w:t>1</w:t>
      </w:r>
      <w:r w:rsidRPr="632C2814" w:rsidR="7D2828B3">
        <w:rPr>
          <w:b w:val="1"/>
          <w:bCs w:val="1"/>
          <w:color w:val="444444"/>
          <w:sz w:val="24"/>
          <w:szCs w:val="24"/>
        </w:rPr>
        <w:t xml:space="preserve"> </w:t>
      </w:r>
      <w:commentRangeStart w:id="15"/>
      <w:commentRangeStart w:id="16"/>
      <w:r w:rsidRPr="632C2814" w:rsidR="7D2828B3">
        <w:rPr>
          <w:b w:val="1"/>
          <w:bCs w:val="1"/>
          <w:color w:val="444444"/>
          <w:sz w:val="24"/>
          <w:szCs w:val="24"/>
        </w:rPr>
        <w:t>Historical coverage</w:t>
      </w:r>
      <w:commentRangeEnd w:id="15"/>
      <w:r>
        <w:rPr>
          <w:rStyle w:val="CommentReference"/>
        </w:rPr>
        <w:commentReference w:id="15"/>
      </w:r>
      <w:commentRangeEnd w:id="16"/>
      <w:r>
        <w:rPr>
          <w:rStyle w:val="CommentReference"/>
        </w:rPr>
        <w:commentReference w:id="16"/>
      </w:r>
    </w:p>
    <w:p w:rsidR="7D2828B3" w:rsidP="2C786225" w:rsidRDefault="7D2828B3" w14:paraId="0F2AA49B" w14:textId="77777777">
      <w:pPr>
        <w:spacing w:after="120"/>
      </w:pPr>
      <w:r>
        <w:t>Data is available for the previous one year on a rolling basis. Only observations occurring after each asset's registered online date are included, ensuring that pre-commissioning or test data does not affect the benchmark.</w:t>
      </w:r>
    </w:p>
    <w:p w:rsidR="7D2828B3" w:rsidP="2C786225" w:rsidRDefault="7D2828B3" w14:paraId="53058B01" w14:textId="6C3E4F97">
      <w:pPr>
        <w:spacing w:before="200" w:after="80"/>
      </w:pPr>
      <w:r w:rsidRPr="632C2814" w:rsidR="7D2828B3">
        <w:rPr>
          <w:b w:val="1"/>
          <w:bCs w:val="1"/>
          <w:color w:val="444444"/>
          <w:sz w:val="24"/>
          <w:szCs w:val="24"/>
        </w:rPr>
        <w:t>4.1.</w:t>
      </w:r>
      <w:r w:rsidRPr="632C2814" w:rsidR="47A48881">
        <w:rPr>
          <w:b w:val="1"/>
          <w:bCs w:val="1"/>
          <w:color w:val="444444"/>
          <w:sz w:val="24"/>
          <w:szCs w:val="24"/>
        </w:rPr>
        <w:t xml:space="preserve">2 </w:t>
      </w:r>
      <w:commentRangeStart w:id="18"/>
      <w:r w:rsidRPr="632C2814" w:rsidR="7D2828B3">
        <w:rPr>
          <w:b w:val="1"/>
          <w:bCs w:val="1"/>
          <w:color w:val="444444"/>
          <w:sz w:val="24"/>
          <w:szCs w:val="24"/>
        </w:rPr>
        <w:t>Data quality and validation</w:t>
      </w:r>
      <w:commentRangeEnd w:id="18"/>
      <w:r>
        <w:rPr>
          <w:rStyle w:val="CommentReference"/>
        </w:rPr>
        <w:commentReference w:id="18"/>
      </w:r>
    </w:p>
    <w:p w:rsidR="7D2828B3" w:rsidP="2C786225" w:rsidRDefault="7D2828B3" w14:paraId="500544DD" w14:textId="77777777">
      <w:pPr>
        <w:spacing w:after="120"/>
      </w:pPr>
      <w:r>
        <w:t>Aurora employs automated data collection and validation processes to maintain benchmark accuracy. Key validation measures include:</w:t>
      </w:r>
    </w:p>
    <w:p w:rsidR="7D2828B3" w:rsidP="2C786225" w:rsidRDefault="7D2828B3" w14:paraId="3DFC9FED" w14:textId="77777777">
      <w:pPr>
        <w:pStyle w:val="ListParagraph"/>
        <w:numPr>
          <w:ilvl w:val="0"/>
          <w:numId w:val="2"/>
        </w:numPr>
        <w:spacing w:after="80"/>
      </w:pPr>
      <w:r>
        <w:rPr>
          <w:b/>
          <w:bCs/>
        </w:rPr>
        <w:t>Automated data collection</w:t>
      </w:r>
      <w:r>
        <w:t xml:space="preserve"> — reduces manual errors and ensures consistent updates across all settlement periods.</w:t>
      </w:r>
    </w:p>
    <w:p w:rsidR="7D2828B3" w:rsidP="2C786225" w:rsidRDefault="7D2828B3" w14:paraId="6113D619" w14:textId="77777777">
      <w:pPr>
        <w:pStyle w:val="ListParagraph"/>
        <w:numPr>
          <w:ilvl w:val="0"/>
          <w:numId w:val="2"/>
        </w:numPr>
        <w:spacing w:after="80"/>
      </w:pPr>
      <w:r>
        <w:rPr>
          <w:b/>
          <w:bCs/>
        </w:rPr>
        <w:t>Cross-verification</w:t>
      </w:r>
      <w:r>
        <w:t xml:space="preserve"> — data is checked against expected values and prior periods. Missing data periods and outliers are flagged for review.</w:t>
      </w:r>
    </w:p>
    <w:p w:rsidR="7D2828B3" w:rsidP="2C786225" w:rsidRDefault="7D2828B3" w14:paraId="11463F16" w14:textId="77777777">
      <w:pPr>
        <w:pStyle w:val="ListParagraph"/>
        <w:numPr>
          <w:ilvl w:val="0"/>
          <w:numId w:val="2"/>
        </w:numPr>
        <w:spacing w:after="80"/>
      </w:pPr>
      <w:r>
        <w:rPr>
          <w:b/>
          <w:bCs/>
        </w:rPr>
        <w:t>Ongoing monitoring</w:t>
      </w:r>
      <w:r>
        <w:t xml:space="preserve"> — continuous assessment of data quality, with alerts triggered for inconsistencies requiring further investigation.</w:t>
      </w:r>
    </w:p>
    <w:p w:rsidR="7D2828B3" w:rsidP="2C786225" w:rsidRDefault="7D2828B3" w14:paraId="0441AD69" w14:textId="2703B0A2">
      <w:pPr>
        <w:spacing w:before="200" w:after="80"/>
      </w:pPr>
      <w:r w:rsidRPr="632C2814" w:rsidR="7D2828B3">
        <w:rPr>
          <w:b w:val="1"/>
          <w:bCs w:val="1"/>
          <w:color w:val="444444"/>
          <w:sz w:val="24"/>
          <w:szCs w:val="24"/>
        </w:rPr>
        <w:t>4.1.</w:t>
      </w:r>
      <w:r w:rsidRPr="632C2814" w:rsidR="3DF66A1F">
        <w:rPr>
          <w:b w:val="1"/>
          <w:bCs w:val="1"/>
          <w:color w:val="444444"/>
          <w:sz w:val="24"/>
          <w:szCs w:val="24"/>
        </w:rPr>
        <w:t>3</w:t>
      </w:r>
      <w:r w:rsidRPr="632C2814" w:rsidR="7D2828B3">
        <w:rPr>
          <w:b w:val="1"/>
          <w:bCs w:val="1"/>
          <w:color w:val="444444"/>
          <w:sz w:val="24"/>
          <w:szCs w:val="24"/>
        </w:rPr>
        <w:t xml:space="preserve"> </w:t>
      </w:r>
      <w:commentRangeStart w:id="19"/>
      <w:r w:rsidRPr="632C2814" w:rsidR="7D2828B3">
        <w:rPr>
          <w:b w:val="1"/>
          <w:bCs w:val="1"/>
          <w:color w:val="444444"/>
          <w:sz w:val="24"/>
          <w:szCs w:val="24"/>
        </w:rPr>
        <w:t>Data prioritisation</w:t>
      </w:r>
      <w:commentRangeEnd w:id="19"/>
      <w:r>
        <w:rPr>
          <w:rStyle w:val="CommentReference"/>
        </w:rPr>
        <w:commentReference w:id="19"/>
      </w:r>
    </w:p>
    <w:p w:rsidR="7D2828B3" w:rsidP="2C786225" w:rsidRDefault="7D2828B3" w14:paraId="57223463" w14:textId="04B1D7E5">
      <w:pPr>
        <w:spacing w:after="120"/>
      </w:pPr>
      <w:r>
        <w:t>Where settlement data is subject to revision (for example, for Great Britain indexes following Elexon's reconciliation runs), Aurora uses the most recently available settled data. Index values may be retrospectively updated as more accurate data becomes available. Clients are notified of any material retrospective revisions.</w:t>
      </w:r>
    </w:p>
    <w:p w:rsidR="7D2828B3" w:rsidP="2C786225" w:rsidRDefault="7D2828B3" w14:paraId="1A63A105" w14:textId="27C60D17">
      <w:pPr>
        <w:spacing w:before="200" w:after="80"/>
      </w:pPr>
      <w:r w:rsidRPr="632C2814" w:rsidR="7D2828B3">
        <w:rPr>
          <w:b w:val="1"/>
          <w:bCs w:val="1"/>
          <w:color w:val="444444"/>
          <w:sz w:val="24"/>
          <w:szCs w:val="24"/>
        </w:rPr>
        <w:t>4.1.</w:t>
      </w:r>
      <w:r w:rsidRPr="632C2814" w:rsidR="0439D73C">
        <w:rPr>
          <w:b w:val="1"/>
          <w:bCs w:val="1"/>
          <w:color w:val="444444"/>
          <w:sz w:val="24"/>
          <w:szCs w:val="24"/>
        </w:rPr>
        <w:t>4</w:t>
      </w:r>
      <w:r w:rsidRPr="632C2814" w:rsidR="7D2828B3">
        <w:rPr>
          <w:b w:val="1"/>
          <w:bCs w:val="1"/>
          <w:color w:val="444444"/>
          <w:sz w:val="24"/>
          <w:szCs w:val="24"/>
        </w:rPr>
        <w:t xml:space="preserve"> </w:t>
      </w:r>
      <w:commentRangeStart w:id="20"/>
      <w:r w:rsidRPr="632C2814" w:rsidR="7D2828B3">
        <w:rPr>
          <w:b w:val="1"/>
          <w:bCs w:val="1"/>
          <w:color w:val="444444"/>
          <w:sz w:val="24"/>
          <w:szCs w:val="24"/>
        </w:rPr>
        <w:t>Use of discretion</w:t>
      </w:r>
      <w:commentRangeEnd w:id="20"/>
      <w:r>
        <w:rPr>
          <w:rStyle w:val="CommentReference"/>
        </w:rPr>
        <w:commentReference w:id="20"/>
      </w:r>
    </w:p>
    <w:p w:rsidR="7D2828B3" w:rsidP="2C786225" w:rsidRDefault="7D2828B3" w14:paraId="3A8004E9" w14:textId="77777777">
      <w:pPr>
        <w:spacing w:after="120"/>
      </w:pPr>
      <w:r>
        <w:t>Aurora applies discretion strictly within predefined parameters. Discretion is exercised only in the following circumstances:</w:t>
      </w:r>
    </w:p>
    <w:p w:rsidR="7D2828B3" w:rsidP="2C786225" w:rsidRDefault="7D2828B3" w14:paraId="54969FA3" w14:textId="77777777">
      <w:pPr>
        <w:pStyle w:val="ListParagraph"/>
        <w:numPr>
          <w:ilvl w:val="0"/>
          <w:numId w:val="2"/>
        </w:numPr>
        <w:spacing w:after="80"/>
      </w:pPr>
      <w:r>
        <w:rPr>
          <w:b/>
          <w:bCs/>
        </w:rPr>
        <w:t>Asset sizing</w:t>
      </w:r>
      <w:r>
        <w:t xml:space="preserve"> — where publicly available data on installed capacity is insufficient, additional validation may be sought from market registration data or regulatory announcements.</w:t>
      </w:r>
    </w:p>
    <w:p w:rsidR="7D2828B3" w:rsidP="2C786225" w:rsidRDefault="7D2828B3" w14:paraId="02699B17" w14:textId="01264E9A">
      <w:pPr>
        <w:pStyle w:val="ListParagraph"/>
        <w:numPr>
          <w:ilvl w:val="0"/>
          <w:numId w:val="2"/>
        </w:numPr>
        <w:spacing w:after="80"/>
      </w:pPr>
      <w:r>
        <w:rPr>
          <w:b/>
          <w:bCs/>
        </w:rPr>
        <w:t>Asset identification</w:t>
      </w:r>
      <w:r>
        <w:t xml:space="preserve"> — where published market identifiers are ambiguous, Aurora cross-checks across multiple public sources to verify the correct mapping.</w:t>
      </w:r>
    </w:p>
    <w:p w:rsidR="2C786225" w:rsidP="2C786225" w:rsidRDefault="2C786225" w14:paraId="00871197" w14:textId="77777777">
      <w:pPr>
        <w:spacing w:after="80"/>
      </w:pPr>
    </w:p>
    <w:p w:rsidR="7D2828B3" w:rsidP="2C786225" w:rsidRDefault="7D2828B3" w14:paraId="10CEF7E9" w14:textId="77777777">
      <w:pPr>
        <w:spacing w:after="120"/>
      </w:pPr>
      <w:r>
        <w:t>All discretionary decisions are documented internally and applied consistently. They do not affect the calculation methodology itself.</w:t>
      </w:r>
    </w:p>
    <w:p w:rsidR="2C786225" w:rsidP="2C786225" w:rsidRDefault="2C786225" w14:paraId="6F44BC64" w14:textId="77777777">
      <w:pPr>
        <w:spacing w:after="120"/>
      </w:pPr>
    </w:p>
    <w:p w:rsidR="7D2828B3" w:rsidRDefault="7D2828B3" w14:paraId="51E6A14C" w14:textId="77777777">
      <w:r>
        <w:br w:type="page"/>
      </w:r>
    </w:p>
    <w:p w:rsidR="2C786225" w:rsidP="2C786225" w:rsidRDefault="2C786225" w14:paraId="7E57374A" w14:textId="0B63BA19">
      <w:pPr>
        <w:pBdr>
          <w:bottom w:val="single" w:color="1B3A6B" w:sz="8" w:space="0"/>
        </w:pBdr>
        <w:spacing w:before="480" w:after="160"/>
      </w:pPr>
    </w:p>
    <w:p w:rsidR="3967A00D" w:rsidP="632C2814" w:rsidRDefault="3967A00D" w14:paraId="0691346F" w14:textId="2A9F980A">
      <w:pPr>
        <w:pBdr>
          <w:bottom w:val="single" w:color="1B3A6B" w:sz="8" w:space="0"/>
        </w:pBdr>
        <w:spacing w:before="480" w:after="160" w:line="259" w:lineRule="auto"/>
        <w:rPr>
          <w:b w:val="1"/>
          <w:bCs w:val="1"/>
          <w:color w:val="1B3A6B"/>
          <w:sz w:val="36"/>
          <w:szCs w:val="36"/>
        </w:rPr>
      </w:pPr>
      <w:r w:rsidRPr="632C2814" w:rsidR="3967A00D">
        <w:rPr>
          <w:b w:val="1"/>
          <w:bCs w:val="1"/>
          <w:color w:val="1B3A6B"/>
          <w:sz w:val="36"/>
          <w:szCs w:val="36"/>
        </w:rPr>
        <w:t>5. General Limitations</w:t>
      </w:r>
    </w:p>
    <w:p w:rsidR="36078B73" w:rsidP="5DA75153" w:rsidRDefault="36078B73" w14:paraId="7FB5A7DD" w14:textId="77777777">
      <w:pPr>
        <w:pBdr>
          <w:left w:val="single" w:color="2E5FA3" w:sz="20" w:space="0"/>
        </w:pBdr>
        <w:shd w:val="clear" w:color="auto" w:fill="EAF0F8"/>
        <w:spacing w:after="200"/>
        <w:ind w:left="180"/>
      </w:pPr>
      <w:r>
        <w:rPr>
          <w:i/>
          <w:iCs/>
          <w:color w:val="2E5FA3"/>
          <w:sz w:val="18"/>
          <w:szCs w:val="18"/>
        </w:rPr>
        <w:t>🌐  UNIVERSAL — applies identically to all markets</w:t>
      </w:r>
    </w:p>
    <w:p w:rsidR="36078B73" w:rsidP="5DA75153" w:rsidRDefault="36078B73" w14:paraId="5F7B7541" w14:textId="77777777">
      <w:pPr>
        <w:spacing w:after="120"/>
      </w:pPr>
      <w:r>
        <w:t>The following limitations apply to the RPB across all markets:</w:t>
      </w:r>
    </w:p>
    <w:p w:rsidR="36078B73" w:rsidP="5DA75153" w:rsidRDefault="36078B73" w14:paraId="568541B1" w14:textId="77777777">
      <w:pPr>
        <w:spacing w:after="120"/>
        <w:ind w:left="360"/>
      </w:pPr>
      <w:r>
        <w:rPr>
          <w:b/>
          <w:bCs/>
        </w:rPr>
        <w:t xml:space="preserve">1.  Based on public data only. </w:t>
      </w:r>
      <w:r>
        <w:t>The benchmark is constructed entirely from publicly available settlement and procurement data. It does not incorporate proprietary trading information, internal optimiser strategies, or bilateral contract structures. Actual revenues realised by individual assets may differ due to commercial arrangements not visible in public data.</w:t>
      </w:r>
    </w:p>
    <w:p w:rsidR="36078B73" w:rsidP="5DA75153" w:rsidRDefault="36078B73" w14:paraId="60A07501" w14:textId="77777777">
      <w:pPr>
        <w:spacing w:after="120"/>
        <w:ind w:left="360"/>
      </w:pPr>
      <w:r>
        <w:rPr>
          <w:b/>
          <w:bCs/>
        </w:rPr>
        <w:t xml:space="preserve">2.  Gross revenues only. </w:t>
      </w:r>
      <w:r>
        <w:t>All figures represent gross cashflows from market participation. Operating costs, battery degradation costs, network charges, and other cost items are not deducted. The benchmark reflects market earning potential rather than net profitability.</w:t>
      </w:r>
    </w:p>
    <w:p w:rsidR="36078B73" w:rsidP="5DA75153" w:rsidRDefault="36078B73" w14:paraId="0F72B366" w14:textId="77777777">
      <w:pPr>
        <w:spacing w:after="120"/>
        <w:ind w:left="360"/>
      </w:pPr>
      <w:r>
        <w:rPr>
          <w:b/>
          <w:bCs/>
        </w:rPr>
        <w:t xml:space="preserve">3.  Annualisation is a simple scaling. </w:t>
      </w:r>
      <w:r>
        <w:t>The annualised view multiplies monthly figures by 12 to provide an indicative run-rate. This does not account for seasonal variation in market conditions and should not be interpreted as a forecast of annual revenues.</w:t>
      </w:r>
    </w:p>
    <w:p w:rsidR="36078B73" w:rsidP="5DA75153" w:rsidRDefault="36078B73" w14:paraId="1359A391" w14:textId="77777777">
      <w:pPr>
        <w:spacing w:after="120"/>
        <w:ind w:left="360"/>
      </w:pPr>
      <w:r>
        <w:rPr>
          <w:b/>
          <w:bCs/>
        </w:rPr>
        <w:t xml:space="preserve">4.  Performance penalties not included. </w:t>
      </w:r>
      <w:r>
        <w:t>Penalties for underperformance in ancillary service contracts are not reflected in the benchmark, as performance monitoring data is not made publicly available in most markets.</w:t>
      </w:r>
    </w:p>
    <w:p w:rsidR="36078B73" w:rsidP="5DA75153" w:rsidRDefault="36078B73" w14:paraId="1EC00C99" w14:textId="77777777">
      <w:pPr>
        <w:spacing w:after="120"/>
        <w:ind w:left="360"/>
      </w:pPr>
      <w:r>
        <w:rPr>
          <w:b/>
          <w:bCs/>
        </w:rPr>
        <w:t xml:space="preserve">5.  Nameplate capacity used. </w:t>
      </w:r>
      <w:r>
        <w:t>Asset capacity figures reflect nameplate ratings and are not adjusted for real-world degradation over time. An asset whose usable energy capacity has declined due to cycling will still appear in the benchmark at its nameplate duration class.</w:t>
      </w:r>
    </w:p>
    <w:p w:rsidR="3841442A" w:rsidP="07560237" w:rsidRDefault="36078B73" w14:paraId="0F7E58F9" w14:textId="084845C4">
      <w:pPr>
        <w:spacing w:after="120"/>
        <w:ind w:left="360"/>
      </w:pPr>
      <w:r>
        <w:rPr>
          <w:b/>
          <w:bCs/>
        </w:rPr>
        <w:t xml:space="preserve">6.  Asset register lag. </w:t>
      </w:r>
      <w:r>
        <w:t>Newly commissioned assets may experience a short lag before inclusion in the benchmark. Assets added to the register in future may affect historical indices for peer groups that include them.</w:t>
      </w:r>
    </w:p>
    <w:p w:rsidR="6AD9587B" w:rsidP="21EDD9F4" w:rsidRDefault="3967A00D" w14:paraId="513F68D9" w14:textId="296E7A38">
      <w:pPr>
        <w:pBdr>
          <w:bottom w:val="single" w:color="1B3A6B" w:sz="8" w:space="0"/>
        </w:pBdr>
        <w:spacing w:before="480" w:after="160"/>
        <w:rPr>
          <w:b/>
          <w:bCs/>
          <w:color w:val="1B3A6B"/>
          <w:sz w:val="36"/>
          <w:szCs w:val="36"/>
        </w:rPr>
      </w:pPr>
      <w:r>
        <w:rPr>
          <w:b/>
          <w:bCs/>
          <w:color w:val="1B3A6B"/>
          <w:sz w:val="36"/>
          <w:szCs w:val="36"/>
        </w:rPr>
        <w:t>6. Data Sources</w:t>
      </w:r>
    </w:p>
    <w:p w:rsidR="3B618403" w:rsidP="41348015" w:rsidRDefault="6AD9587B" w14:paraId="4BB0AA19" w14:textId="67E63935">
      <w:pPr>
        <w:pBdr>
          <w:left w:val="single" w:color="D97706" w:sz="20" w:space="0"/>
        </w:pBdr>
        <w:shd w:val="clear" w:color="auto" w:fill="FFF4E5"/>
        <w:spacing w:after="200"/>
        <w:ind w:left="180"/>
      </w:pPr>
      <w:r w:rsidRPr="41348015" w:rsidR="29936FEC">
        <w:rPr>
          <w:i w:val="1"/>
          <w:iCs w:val="1"/>
          <w:color w:val="D97706"/>
          <w:sz w:val="18"/>
          <w:szCs w:val="18"/>
        </w:rPr>
        <w:t>🗺️  COUNTRY-SPECIFIC — complete separately for each market</w:t>
      </w:r>
    </w:p>
    <w:p w:rsidR="002C3C59" w:rsidRDefault="4C4F7557" w14:paraId="5B5B425C" w14:textId="78A18E9B">
      <w:pPr>
        <w:spacing w:before="320" w:after="120"/>
      </w:pPr>
      <w:r>
        <w:rPr>
          <w:b/>
          <w:bCs/>
          <w:color w:val="2E5FA3"/>
          <w:sz w:val="28"/>
          <w:szCs w:val="28"/>
        </w:rPr>
        <w:t>6.1 Great Britain</w:t>
      </w:r>
    </w:p>
    <w:p w:rsidR="002C3C59" w:rsidRDefault="69E7BB56" w14:paraId="570DB1A4" w14:textId="78D0C547">
      <w:pPr>
        <w:spacing w:before="200" w:after="80"/>
      </w:pPr>
      <w:r>
        <w:rPr>
          <w:b/>
          <w:bCs/>
          <w:color w:val="444444"/>
          <w:sz w:val="24"/>
          <w:szCs w:val="24"/>
        </w:rPr>
        <w:t>6.1.1 Market data sources</w:t>
      </w:r>
    </w:p>
    <w:p w:rsidR="002C3C59" w:rsidRDefault="001D7557" w14:paraId="4364C1D6" w14:textId="77777777">
      <w:pPr>
        <w:spacing w:after="120"/>
      </w:pPr>
      <w:r>
        <w:t>All data is sourced from Elexon's public settlement systems and NESO's ancillary services procurement platforms. The following table summarises the data source and inputs used for each revenue stream.</w:t>
      </w:r>
    </w:p>
    <w:p w:rsidR="002C3C59" w:rsidRDefault="002C3C59" w14:paraId="0B6CFFBE"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000"/>
        <w:gridCol w:w="3960"/>
      </w:tblGrid>
      <w:tr w:rsidR="002C3C59" w:rsidTr="70ADE64C" w14:paraId="19CBDDAD" w14:textId="77777777">
        <w:trPr>
          <w:tblHeader/>
        </w:trPr>
        <w:tc>
          <w:tcPr>
            <w:tcW w:w="240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6F9BDD0F" w14:textId="77777777">
            <w:r>
              <w:rPr>
                <w:b/>
                <w:bCs/>
                <w:color w:val="FFFFFF"/>
                <w:sz w:val="20"/>
                <w:szCs w:val="20"/>
              </w:rPr>
              <w:t>Revenue stream</w:t>
            </w:r>
          </w:p>
        </w:tc>
        <w:tc>
          <w:tcPr>
            <w:tcW w:w="300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497C7BC3" w14:textId="77777777">
            <w:r>
              <w:rPr>
                <w:b/>
                <w:bCs/>
                <w:color w:val="FFFFFF"/>
                <w:sz w:val="20"/>
                <w:szCs w:val="20"/>
              </w:rPr>
              <w:t>Data source</w:t>
            </w:r>
          </w:p>
        </w:tc>
        <w:tc>
          <w:tcPr>
            <w:tcW w:w="396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47A4D6A9" w14:textId="77777777">
            <w:r>
              <w:rPr>
                <w:b/>
                <w:bCs/>
                <w:color w:val="FFFFFF"/>
                <w:sz w:val="20"/>
                <w:szCs w:val="20"/>
              </w:rPr>
              <w:t>Data inputs</w:t>
            </w:r>
          </w:p>
        </w:tc>
      </w:tr>
      <w:tr w:rsidR="002C3C59" w:rsidTr="70ADE64C" w14:paraId="605DE526"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D03E5E1" w14:textId="356D5544">
            <w:r>
              <w:rPr>
                <w:b/>
                <w:bCs/>
                <w:sz w:val="20"/>
                <w:szCs w:val="20"/>
              </w:rPr>
              <w:t>Wholesale Market (WM)</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5996ACC6" w14:textId="77777777">
            <w:r>
              <w:rPr>
                <w:sz w:val="20"/>
                <w:szCs w:val="20"/>
              </w:rPr>
              <w:t>Elexon settlement data; wholesale market index price</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046EFF13" w14:textId="77777777">
            <w:pPr>
              <w:spacing w:after="40"/>
            </w:pPr>
            <w:r>
              <w:rPr>
                <w:sz w:val="20"/>
                <w:szCs w:val="20"/>
              </w:rPr>
              <w:t>Final Physical Notification (MW)</w:t>
            </w:r>
          </w:p>
          <w:p w:rsidR="002C3C59" w:rsidRDefault="001D7557" w14:paraId="313C38E5" w14:textId="77777777">
            <w:pPr>
              <w:spacing w:after="40"/>
            </w:pPr>
            <w:r>
              <w:rPr>
                <w:sz w:val="20"/>
                <w:szCs w:val="20"/>
              </w:rPr>
              <w:t>Wholesale market index price (£/MWh)</w:t>
            </w:r>
          </w:p>
          <w:p w:rsidR="002C3C59" w:rsidRDefault="001D7557" w14:paraId="6E5F7D7C" w14:textId="77777777">
            <w:r>
              <w:rPr>
                <w:sz w:val="20"/>
                <w:szCs w:val="20"/>
              </w:rPr>
              <w:t>Installed capacity (MW)</w:t>
            </w:r>
          </w:p>
        </w:tc>
      </w:tr>
      <w:tr w:rsidR="002C3C59" w:rsidTr="70ADE64C" w14:paraId="7AAD68C0"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D2CBA40" w14:textId="77777777">
            <w:r>
              <w:rPr>
                <w:b/>
                <w:bCs/>
                <w:sz w:val="20"/>
                <w:szCs w:val="20"/>
              </w:rPr>
              <w:t>Balancing Mechanism — Energy (BME)</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7F1DBC1" w14:textId="77777777">
            <w:r>
              <w:rPr>
                <w:sz w:val="20"/>
                <w:szCs w:val="20"/>
              </w:rPr>
              <w:t>Elexon BM dispatch data (non-SO actions)</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64883EEC" w14:textId="77777777">
            <w:pPr>
              <w:spacing w:after="40"/>
            </w:pPr>
            <w:r>
              <w:rPr>
                <w:sz w:val="20"/>
                <w:szCs w:val="20"/>
              </w:rPr>
              <w:t>Accepted volume (MWh)</w:t>
            </w:r>
          </w:p>
          <w:p w:rsidR="002C3C59" w:rsidRDefault="001D7557" w14:paraId="59E2CC55" w14:textId="77777777">
            <w:pPr>
              <w:spacing w:after="40"/>
            </w:pPr>
            <w:r>
              <w:rPr>
                <w:sz w:val="20"/>
                <w:szCs w:val="20"/>
              </w:rPr>
              <w:t>Offer/bid price (£/MWh)</w:t>
            </w:r>
          </w:p>
          <w:p w:rsidR="002C3C59" w:rsidRDefault="001D7557" w14:paraId="6CC5C898" w14:textId="77777777">
            <w:r>
              <w:rPr>
                <w:sz w:val="20"/>
                <w:szCs w:val="20"/>
              </w:rPr>
              <w:t>Installed capacity (MW)</w:t>
            </w:r>
          </w:p>
        </w:tc>
      </w:tr>
      <w:tr w:rsidR="002C3C59" w:rsidTr="70ADE64C" w14:paraId="519D393A"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69987F90" w14:textId="77777777">
            <w:r>
              <w:rPr>
                <w:b/>
                <w:bCs/>
                <w:sz w:val="20"/>
                <w:szCs w:val="20"/>
              </w:rPr>
              <w:lastRenderedPageBreak/>
              <w:t>Balancing Mechanism — System (BMS)</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1A62B438" w14:textId="77777777">
            <w:r>
              <w:rPr>
                <w:sz w:val="20"/>
                <w:szCs w:val="20"/>
              </w:rPr>
              <w:t>Elexon BM dispatch data (SO actions)</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57A89A50" w14:textId="77777777">
            <w:pPr>
              <w:spacing w:after="40"/>
            </w:pPr>
            <w:r>
              <w:rPr>
                <w:sz w:val="20"/>
                <w:szCs w:val="20"/>
              </w:rPr>
              <w:t>Accepted volume (MWh)</w:t>
            </w:r>
          </w:p>
          <w:p w:rsidR="002C3C59" w:rsidRDefault="001D7557" w14:paraId="7A34E452" w14:textId="77777777">
            <w:pPr>
              <w:spacing w:after="40"/>
            </w:pPr>
            <w:r>
              <w:rPr>
                <w:sz w:val="20"/>
                <w:szCs w:val="20"/>
              </w:rPr>
              <w:t>Offer/bid price (£/MWh)</w:t>
            </w:r>
          </w:p>
          <w:p w:rsidR="002C3C59" w:rsidRDefault="001D7557" w14:paraId="5A282841" w14:textId="77777777">
            <w:r>
              <w:rPr>
                <w:sz w:val="20"/>
                <w:szCs w:val="20"/>
              </w:rPr>
              <w:t>Installed capacity (MW)</w:t>
            </w:r>
          </w:p>
        </w:tc>
      </w:tr>
      <w:tr w:rsidR="002C3C59" w:rsidTr="70ADE64C" w14:paraId="78E26F93"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17A94A54" w14:textId="77777777">
            <w:r>
              <w:rPr>
                <w:b/>
                <w:bCs/>
                <w:sz w:val="20"/>
                <w:szCs w:val="20"/>
              </w:rPr>
              <w:t>Dynamic Containment (DC)</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54952D57" w14:textId="77777777">
            <w:r>
              <w:rPr>
                <w:sz w:val="20"/>
                <w:szCs w:val="20"/>
              </w:rPr>
              <w:t>NESO frequency response procurement (EFA blocks)</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79F93E9D" w14:textId="77777777">
            <w:pPr>
              <w:spacing w:after="40"/>
            </w:pPr>
            <w:r>
              <w:rPr>
                <w:sz w:val="20"/>
                <w:szCs w:val="20"/>
              </w:rPr>
              <w:t>Cleared volume (MW)</w:t>
            </w:r>
          </w:p>
          <w:p w:rsidR="002C3C59" w:rsidRDefault="001D7557" w14:paraId="69E40F55" w14:textId="77777777">
            <w:pPr>
              <w:spacing w:after="40"/>
            </w:pPr>
            <w:r>
              <w:rPr>
                <w:sz w:val="20"/>
                <w:szCs w:val="20"/>
              </w:rPr>
              <w:t>Clearing price (£/MW)</w:t>
            </w:r>
          </w:p>
          <w:p w:rsidR="002C3C59" w:rsidRDefault="001D7557" w14:paraId="6D2D2B49" w14:textId="77777777">
            <w:r>
              <w:rPr>
                <w:sz w:val="20"/>
                <w:szCs w:val="20"/>
              </w:rPr>
              <w:t>High + Low frequency components</w:t>
            </w:r>
          </w:p>
        </w:tc>
      </w:tr>
      <w:tr w:rsidR="002C3C59" w:rsidTr="70ADE64C" w14:paraId="7B7DBC3A"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21DF5583" w14:textId="77777777">
            <w:r>
              <w:rPr>
                <w:b/>
                <w:bCs/>
                <w:sz w:val="20"/>
                <w:szCs w:val="20"/>
              </w:rPr>
              <w:t>Dynamic Moderation (DM)</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0FE046DA" w14:textId="77777777">
            <w:r>
              <w:rPr>
                <w:sz w:val="20"/>
                <w:szCs w:val="20"/>
              </w:rPr>
              <w:t>NESO frequency response procurement (EFA blocks)</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2A0ADEE1" w14:textId="77777777">
            <w:pPr>
              <w:spacing w:after="40"/>
            </w:pPr>
            <w:r>
              <w:rPr>
                <w:sz w:val="20"/>
                <w:szCs w:val="20"/>
              </w:rPr>
              <w:t>Cleared volume (MW)</w:t>
            </w:r>
          </w:p>
          <w:p w:rsidR="002C3C59" w:rsidRDefault="001D7557" w14:paraId="7E1534BA" w14:textId="77777777">
            <w:pPr>
              <w:spacing w:after="40"/>
            </w:pPr>
            <w:r>
              <w:rPr>
                <w:sz w:val="20"/>
                <w:szCs w:val="20"/>
              </w:rPr>
              <w:t>Clearing price (£/MW)</w:t>
            </w:r>
          </w:p>
          <w:p w:rsidR="002C3C59" w:rsidRDefault="001D7557" w14:paraId="0E94BF5B" w14:textId="77777777">
            <w:r>
              <w:rPr>
                <w:sz w:val="20"/>
                <w:szCs w:val="20"/>
              </w:rPr>
              <w:t>High + Low frequency components</w:t>
            </w:r>
          </w:p>
        </w:tc>
      </w:tr>
      <w:tr w:rsidR="002C3C59" w:rsidTr="70ADE64C" w14:paraId="4E332AEC"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21AB09CA" w14:textId="77777777">
            <w:r>
              <w:rPr>
                <w:b/>
                <w:bCs/>
                <w:sz w:val="20"/>
                <w:szCs w:val="20"/>
              </w:rPr>
              <w:t>Dynamic Regulation (DR)</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39A342A8" w14:textId="77777777">
            <w:r>
              <w:rPr>
                <w:sz w:val="20"/>
                <w:szCs w:val="20"/>
              </w:rPr>
              <w:t>NESO frequency response procurement (EFA blocks)</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4740EA51" w14:textId="77777777">
            <w:pPr>
              <w:spacing w:after="40"/>
            </w:pPr>
            <w:r>
              <w:rPr>
                <w:sz w:val="20"/>
                <w:szCs w:val="20"/>
              </w:rPr>
              <w:t>Cleared volume (MW)</w:t>
            </w:r>
          </w:p>
          <w:p w:rsidR="002C3C59" w:rsidRDefault="001D7557" w14:paraId="206A039D" w14:textId="77777777">
            <w:pPr>
              <w:spacing w:after="40"/>
            </w:pPr>
            <w:r>
              <w:rPr>
                <w:sz w:val="20"/>
                <w:szCs w:val="20"/>
              </w:rPr>
              <w:t>Clearing price (£/MW)</w:t>
            </w:r>
          </w:p>
          <w:p w:rsidR="002C3C59" w:rsidRDefault="001D7557" w14:paraId="1E195DE0" w14:textId="77777777">
            <w:r>
              <w:rPr>
                <w:sz w:val="20"/>
                <w:szCs w:val="20"/>
              </w:rPr>
              <w:t>High + Low frequency components</w:t>
            </w:r>
          </w:p>
        </w:tc>
      </w:tr>
      <w:tr w:rsidR="002C3C59" w:rsidTr="70ADE64C" w14:paraId="3FC5BE77"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1C0283B1" w14:textId="77777777">
            <w:r>
              <w:rPr>
                <w:b/>
                <w:bCs/>
                <w:sz w:val="20"/>
                <w:szCs w:val="20"/>
              </w:rPr>
              <w:t>Balancing Reserve (BR)</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2782DC9E" w14:textId="77777777">
            <w:r>
              <w:rPr>
                <w:sz w:val="20"/>
                <w:szCs w:val="20"/>
              </w:rPr>
              <w:t>NESO reserve procurement</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62565F88" w14:textId="77777777">
            <w:pPr>
              <w:spacing w:after="40"/>
            </w:pPr>
            <w:r>
              <w:rPr>
                <w:sz w:val="20"/>
                <w:szCs w:val="20"/>
              </w:rPr>
              <w:t>Executed quantity (MW)</w:t>
            </w:r>
          </w:p>
          <w:p w:rsidR="002C3C59" w:rsidRDefault="001D7557" w14:paraId="269BBED9" w14:textId="77777777">
            <w:pPr>
              <w:spacing w:after="40"/>
            </w:pPr>
            <w:r>
              <w:rPr>
                <w:sz w:val="20"/>
                <w:szCs w:val="20"/>
              </w:rPr>
              <w:t>Clearing price (£/MW)</w:t>
            </w:r>
          </w:p>
          <w:p w:rsidR="002C3C59" w:rsidRDefault="001D7557" w14:paraId="3FF54786" w14:textId="77777777">
            <w:r>
              <w:rPr>
                <w:sz w:val="20"/>
                <w:szCs w:val="20"/>
              </w:rPr>
              <w:t>Positive + Negative reserve combined</w:t>
            </w:r>
          </w:p>
        </w:tc>
      </w:tr>
      <w:tr w:rsidR="002C3C59" w:rsidTr="70ADE64C" w14:paraId="2650C06E"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2028AC74" w14:textId="77777777">
            <w:r>
              <w:rPr>
                <w:b/>
                <w:bCs/>
                <w:sz w:val="20"/>
                <w:szCs w:val="20"/>
              </w:rPr>
              <w:t>Quick Reserve (QR)</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536CB415" w14:textId="77777777">
            <w:r>
              <w:rPr>
                <w:sz w:val="20"/>
                <w:szCs w:val="20"/>
              </w:rPr>
              <w:t>NESO reserve procurement</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C457095" w14:textId="77777777">
            <w:pPr>
              <w:spacing w:after="40"/>
            </w:pPr>
            <w:r>
              <w:rPr>
                <w:sz w:val="20"/>
                <w:szCs w:val="20"/>
              </w:rPr>
              <w:t>Executed quantity (MW)</w:t>
            </w:r>
          </w:p>
          <w:p w:rsidR="002C3C59" w:rsidRDefault="001D7557" w14:paraId="5EFCCDA2" w14:textId="77777777">
            <w:pPr>
              <w:spacing w:after="40"/>
            </w:pPr>
            <w:r>
              <w:rPr>
                <w:sz w:val="20"/>
                <w:szCs w:val="20"/>
              </w:rPr>
              <w:t>Clearing price (£/MW)</w:t>
            </w:r>
          </w:p>
          <w:p w:rsidR="002C3C59" w:rsidRDefault="001D7557" w14:paraId="2369A0F6" w14:textId="77777777">
            <w:r>
              <w:rPr>
                <w:sz w:val="20"/>
                <w:szCs w:val="20"/>
              </w:rPr>
              <w:t>Positive + Negative reserve combined</w:t>
            </w:r>
          </w:p>
        </w:tc>
      </w:tr>
    </w:tbl>
    <w:p w:rsidR="00414CC0" w:rsidRDefault="007326D6" w14:paraId="2E971AA7" w14:textId="77777777">
      <w:pPr>
        <w:spacing w:before="320" w:after="120"/>
      </w:pPr>
      <w:r>
        <w:rPr>
          <w:b/>
          <w:bCs/>
          <w:color w:val="2E5FA3"/>
          <w:sz w:val="28"/>
          <w:szCs w:val="28"/>
        </w:rPr>
        <w:t>6.2 Italy</w:t>
      </w:r>
    </w:p>
    <w:p w:rsidR="00414CC0" w:rsidRDefault="007326D6" w14:paraId="75E6459E" w14:textId="77777777">
      <w:pPr>
        <w:spacing w:before="200" w:after="80"/>
      </w:pPr>
      <w:r>
        <w:rPr>
          <w:b/>
          <w:bCs/>
          <w:color w:val="444444"/>
          <w:sz w:val="24"/>
          <w:szCs w:val="24"/>
        </w:rPr>
        <w:t>6.2.1 Market data sources</w:t>
      </w:r>
    </w:p>
    <w:p w:rsidR="00414CC0" w:rsidRDefault="007326D6" w14:paraId="1E09AD25" w14:textId="668E9E3A">
      <w:pPr>
        <w:spacing w:after="120"/>
      </w:pPr>
      <w:r>
        <w:t>All data is sourced from GME's public electricity market results (</w:t>
      </w:r>
      <w:r w:rsidRPr="00D144CD">
        <w:rPr>
          <w:i/>
          <w:iCs/>
        </w:rPr>
        <w:t>esiti pubblici del mercato elettrico</w:t>
      </w:r>
      <w:r>
        <w:t>). The following table summarises the data source and inputs used for each revenue stream.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000"/>
        <w:gridCol w:w="3960"/>
      </w:tblGrid>
      <w:tr w:rsidR="00414CC0" w14:paraId="20733BAC" w14:textId="77777777">
        <w:trPr>
          <w:tblHeader/>
        </w:trPr>
        <w:tc>
          <w:tcPr>
            <w:tcW w:w="240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744429E6" w14:textId="77777777">
            <w:r>
              <w:rPr>
                <w:b/>
                <w:bCs/>
                <w:color w:val="FFFFFF"/>
                <w:sz w:val="20"/>
                <w:szCs w:val="20"/>
              </w:rPr>
              <w:t>Revenue stream</w:t>
            </w:r>
          </w:p>
        </w:tc>
        <w:tc>
          <w:tcPr>
            <w:tcW w:w="300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76084500" w14:textId="77777777">
            <w:r>
              <w:rPr>
                <w:b/>
                <w:bCs/>
                <w:color w:val="FFFFFF"/>
                <w:sz w:val="20"/>
                <w:szCs w:val="20"/>
              </w:rPr>
              <w:t>Data source</w:t>
            </w:r>
          </w:p>
        </w:tc>
        <w:tc>
          <w:tcPr>
            <w:tcW w:w="396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364C194C" w14:textId="77777777">
            <w:r>
              <w:rPr>
                <w:b/>
                <w:bCs/>
                <w:color w:val="FFFFFF"/>
                <w:sz w:val="20"/>
                <w:szCs w:val="20"/>
              </w:rPr>
              <w:t>Data inputs</w:t>
            </w:r>
          </w:p>
        </w:tc>
      </w:tr>
      <w:tr w:rsidR="00414CC0" w14:paraId="5E7AA6CC"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7FC4FEC3" w14:textId="77777777">
            <w:r>
              <w:rPr>
                <w:b/>
                <w:bCs/>
                <w:sz w:val="20"/>
                <w:szCs w:val="20"/>
              </w:rPr>
              <w:t>Day-Ahead Market (MGP)</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436E7168" w14:textId="77777777">
            <w:r>
              <w:rPr>
                <w:sz w:val="20"/>
                <w:szCs w:val="20"/>
              </w:rPr>
              <w:t>GME public market results (MGP — day-ahead)</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7F017247" w14:textId="77777777">
            <w:pPr>
              <w:spacing w:after="40"/>
            </w:pPr>
            <w:r>
              <w:rPr>
                <w:sz w:val="20"/>
                <w:szCs w:val="20"/>
              </w:rPr>
              <w:t>Awarded quantity (MWh until 30/09/2025; MW per 15-min slot from 01/10/2025)</w:t>
            </w:r>
          </w:p>
          <w:p w:rsidRPr="0087666B" w:rsidR="0087666B" w:rsidP="001A2A6B" w:rsidRDefault="007326D6" w14:paraId="4AACB3CD" w14:textId="73D78809">
            <w:pPr>
              <w:spacing w:after="40"/>
              <w:rPr>
                <w:sz w:val="20"/>
                <w:szCs w:val="20"/>
              </w:rPr>
            </w:pPr>
            <w:r>
              <w:rPr>
                <w:sz w:val="20"/>
                <w:szCs w:val="20"/>
              </w:rPr>
              <w:t>Awarded price (€/MWh)</w:t>
            </w:r>
          </w:p>
        </w:tc>
      </w:tr>
      <w:tr w:rsidR="00414CC0" w14:paraId="73841CDC"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Pr="0072298E" w:rsidR="00414CC0" w:rsidRDefault="007326D6" w14:paraId="225DCC75" w14:textId="77777777">
            <w:pPr>
              <w:rPr>
                <w:lang w:val="it-IT"/>
              </w:rPr>
            </w:pPr>
            <w:r w:rsidRPr="0072298E">
              <w:rPr>
                <w:b/>
                <w:bCs/>
                <w:sz w:val="20"/>
                <w:szCs w:val="20"/>
                <w:lang w:val="it-IT"/>
              </w:rPr>
              <w:t>Intraday Auctions (MI-A1, MI-A2, MI-A3)</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3797102" w14:textId="2BE051F2">
            <w:r>
              <w:rPr>
                <w:sz w:val="20"/>
                <w:szCs w:val="20"/>
              </w:rPr>
              <w:t>GME public market results (MI auctions)</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64F11EA9" w14:textId="77777777">
            <w:pPr>
              <w:spacing w:after="40"/>
            </w:pPr>
            <w:r>
              <w:rPr>
                <w:sz w:val="20"/>
                <w:szCs w:val="20"/>
              </w:rPr>
              <w:t>Awarded quantity (MWh until 31/12/2024; MW per 15-min slot from 01/01/2025)</w:t>
            </w:r>
          </w:p>
          <w:p w:rsidR="00414CC0" w:rsidP="001A2A6B" w:rsidRDefault="007326D6" w14:paraId="49B9AF3A" w14:textId="5A9C6185">
            <w:pPr>
              <w:spacing w:after="40"/>
            </w:pPr>
            <w:r>
              <w:rPr>
                <w:sz w:val="20"/>
                <w:szCs w:val="20"/>
              </w:rPr>
              <w:t>Awarded price (€/MWh)</w:t>
            </w:r>
          </w:p>
        </w:tc>
      </w:tr>
      <w:tr w:rsidR="00414CC0" w14:paraId="46F1C1D6"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2E540721" w14:textId="77777777">
            <w:r>
              <w:rPr>
                <w:b/>
                <w:bCs/>
                <w:sz w:val="20"/>
                <w:szCs w:val="20"/>
              </w:rPr>
              <w:t>Intraday Continuous (MI-XBID)</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68A24358" w14:textId="77777777">
            <w:r>
              <w:rPr>
                <w:sz w:val="20"/>
                <w:szCs w:val="20"/>
              </w:rPr>
              <w:t>GME public market results (MI-XBID continuous trading)</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33FE7650" w14:textId="77777777">
            <w:pPr>
              <w:spacing w:after="40"/>
            </w:pPr>
            <w:r>
              <w:rPr>
                <w:sz w:val="20"/>
                <w:szCs w:val="20"/>
              </w:rPr>
              <w:t>Awarded quantity (MWh for 60-min product; MW per 15-min slot for 15-min product)</w:t>
            </w:r>
          </w:p>
          <w:p w:rsidR="00414CC0" w:rsidP="001A2A6B" w:rsidRDefault="007326D6" w14:paraId="5C691905" w14:textId="5503446C">
            <w:pPr>
              <w:spacing w:after="40"/>
            </w:pPr>
            <w:r>
              <w:rPr>
                <w:sz w:val="20"/>
                <w:szCs w:val="20"/>
              </w:rPr>
              <w:t>Awarded price (€/MWh)</w:t>
            </w:r>
          </w:p>
        </w:tc>
      </w:tr>
      <w:tr w:rsidR="00414CC0" w14:paraId="295DBE32"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43A61399" w14:textId="77777777">
            <w:r>
              <w:rPr>
                <w:b/>
                <w:bCs/>
                <w:sz w:val="20"/>
                <w:szCs w:val="20"/>
              </w:rPr>
              <w:t>Ancillary Services ex-ante (MSD ex-ante)</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554A9ACA" w14:textId="60820DCB">
            <w:r>
              <w:rPr>
                <w:sz w:val="20"/>
                <w:szCs w:val="20"/>
              </w:rPr>
              <w:t>GME public market results (MSD ex-ante)</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2A2118CB" w14:textId="77777777">
            <w:pPr>
              <w:spacing w:after="40"/>
            </w:pPr>
            <w:r>
              <w:rPr>
                <w:sz w:val="20"/>
                <w:szCs w:val="20"/>
              </w:rPr>
              <w:t>Awarded quantity (MWh until 31/12/2024; MW per 15-min slot from 01/01/2025)</w:t>
            </w:r>
          </w:p>
          <w:p w:rsidR="00414CC0" w:rsidP="001A2A6B" w:rsidRDefault="007326D6" w14:paraId="4BD0EE96" w14:textId="5AD06796">
            <w:pPr>
              <w:spacing w:after="40"/>
            </w:pPr>
            <w:r>
              <w:rPr>
                <w:sz w:val="20"/>
                <w:szCs w:val="20"/>
              </w:rPr>
              <w:t>Awarded price (€/MWh)</w:t>
            </w:r>
          </w:p>
        </w:tc>
      </w:tr>
      <w:tr w:rsidR="00414CC0" w14:paraId="61684186"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C564581" w14:textId="77777777">
            <w:r>
              <w:rPr>
                <w:b/>
                <w:bCs/>
                <w:sz w:val="20"/>
                <w:szCs w:val="20"/>
              </w:rPr>
              <w:t>Balancing Market (MB)</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64B52853" w14:textId="7E875624">
            <w:r>
              <w:rPr>
                <w:sz w:val="20"/>
                <w:szCs w:val="20"/>
              </w:rPr>
              <w:t>GME public market results (MB)</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14D8D66A" w14:textId="77777777">
            <w:pPr>
              <w:spacing w:after="40"/>
            </w:pPr>
            <w:r>
              <w:rPr>
                <w:sz w:val="20"/>
                <w:szCs w:val="20"/>
              </w:rPr>
              <w:t>Awarded quantity (MWh until 31/12/2024; MW per 15-min slot from 01/01/2025)</w:t>
            </w:r>
          </w:p>
          <w:p w:rsidR="00414CC0" w:rsidP="001A2A6B" w:rsidRDefault="007326D6" w14:paraId="53D65ADA" w14:textId="7961418C">
            <w:pPr>
              <w:spacing w:after="40"/>
            </w:pPr>
            <w:r>
              <w:rPr>
                <w:sz w:val="20"/>
                <w:szCs w:val="20"/>
              </w:rPr>
              <w:t>Awarded price (€/MWh)</w:t>
            </w:r>
          </w:p>
        </w:tc>
      </w:tr>
      <w:tr w:rsidR="00472B8E" w:rsidTr="00B369B1" w14:paraId="0306C6D9" w14:textId="77777777">
        <w:trPr>
          <w:trHeight w:val="602"/>
        </w:trPr>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72B8E" w:rsidP="00472B8E" w:rsidRDefault="00472B8E" w14:paraId="0CF736BD" w14:textId="7EEA5D7E">
            <w:pPr>
              <w:rPr>
                <w:b/>
                <w:bCs/>
                <w:sz w:val="20"/>
                <w:szCs w:val="20"/>
              </w:rPr>
            </w:pPr>
            <w:r>
              <w:rPr>
                <w:b/>
                <w:bCs/>
                <w:sz w:val="20"/>
                <w:szCs w:val="20"/>
              </w:rPr>
              <w:t>aFRR (PICASSO)</w:t>
            </w:r>
          </w:p>
        </w:tc>
        <w:tc>
          <w:tcPr>
            <w:tcW w:w="3000" w:type="dxa"/>
            <w:tcBorders>
              <w:top w:val="single" w:color="CCCCCC" w:sz="4" w:space="0"/>
              <w:left w:val="single" w:color="CCCCCC" w:sz="4" w:space="0"/>
              <w:bottom w:val="single" w:color="CCCCCC" w:sz="4" w:space="0"/>
              <w:right w:val="single" w:color="CCCCCC" w:sz="4" w:space="0"/>
            </w:tcBorders>
            <w:shd w:val="clear" w:color="auto" w:fill="F0F4FA"/>
          </w:tcPr>
          <w:p w:rsidR="00472B8E" w:rsidP="00472B8E" w:rsidRDefault="00472B8E" w14:paraId="02FBA5DD" w14:textId="63F21C2D">
            <w:pPr>
              <w:rPr>
                <w:sz w:val="20"/>
                <w:szCs w:val="20"/>
              </w:rPr>
            </w:pPr>
            <w:r>
              <w:rPr>
                <w:sz w:val="20"/>
                <w:szCs w:val="20"/>
              </w:rPr>
              <w:t>GME public market results (</w:t>
            </w:r>
            <w:r w:rsidR="00EC197B">
              <w:rPr>
                <w:sz w:val="20"/>
                <w:szCs w:val="20"/>
              </w:rPr>
              <w:t>aFRR</w:t>
            </w:r>
            <w:r>
              <w:rPr>
                <w:sz w:val="20"/>
                <w:szCs w:val="20"/>
              </w:rPr>
              <w:t>)</w:t>
            </w:r>
          </w:p>
        </w:tc>
        <w:tc>
          <w:tcPr>
            <w:tcW w:w="3960" w:type="dxa"/>
            <w:tcBorders>
              <w:top w:val="single" w:color="CCCCCC" w:sz="4" w:space="0"/>
              <w:left w:val="single" w:color="CCCCCC" w:sz="4" w:space="0"/>
              <w:bottom w:val="single" w:color="CCCCCC" w:sz="4" w:space="0"/>
              <w:right w:val="single" w:color="CCCCCC" w:sz="4" w:space="0"/>
            </w:tcBorders>
            <w:shd w:val="clear" w:color="auto" w:fill="F0F4FA"/>
          </w:tcPr>
          <w:p w:rsidR="00F11E28" w:rsidP="00F11E28" w:rsidRDefault="00F11E28" w14:paraId="6759B4B0" w14:textId="156C3036">
            <w:pPr>
              <w:spacing w:after="40"/>
            </w:pPr>
            <w:r>
              <w:rPr>
                <w:sz w:val="20"/>
                <w:szCs w:val="20"/>
              </w:rPr>
              <w:t>Awarded quantity (MW)</w:t>
            </w:r>
          </w:p>
          <w:p w:rsidR="00472B8E" w:rsidP="00F11E28" w:rsidRDefault="00F11E28" w14:paraId="0B16C16A" w14:textId="7775BC7E">
            <w:pPr>
              <w:spacing w:after="40"/>
              <w:rPr>
                <w:sz w:val="20"/>
                <w:szCs w:val="20"/>
              </w:rPr>
            </w:pPr>
            <w:r>
              <w:rPr>
                <w:sz w:val="20"/>
                <w:szCs w:val="20"/>
              </w:rPr>
              <w:t>Awarded price (€/MWh)</w:t>
            </w:r>
          </w:p>
        </w:tc>
      </w:tr>
    </w:tbl>
    <w:p w:rsidR="00DA017D" w:rsidRDefault="00DA017D" w14:paraId="1540E30F" w14:textId="77777777">
      <w:pPr>
        <w:pBdr>
          <w:bottom w:val="single" w:color="1B3A6B" w:sz="8" w:space="0"/>
        </w:pBdr>
        <w:spacing w:before="480" w:after="160"/>
        <w:rPr>
          <w:b/>
          <w:bCs/>
          <w:color w:val="1B3A6B"/>
          <w:sz w:val="36"/>
          <w:szCs w:val="36"/>
        </w:rPr>
      </w:pPr>
    </w:p>
    <w:p w:rsidR="00DA017D" w:rsidRDefault="00DA017D" w14:paraId="1CE55155" w14:textId="77777777">
      <w:pPr>
        <w:pBdr>
          <w:bottom w:val="single" w:color="1B3A6B" w:sz="8" w:space="0"/>
        </w:pBdr>
        <w:spacing w:before="480" w:after="160"/>
        <w:rPr>
          <w:b/>
          <w:bCs/>
          <w:color w:val="1B3A6B"/>
          <w:sz w:val="36"/>
          <w:szCs w:val="36"/>
        </w:rPr>
      </w:pPr>
    </w:p>
    <w:p w:rsidR="002C3C59" w:rsidRDefault="01355D1E" w14:paraId="34F0A097" w14:textId="75536F64">
      <w:pPr>
        <w:pBdr>
          <w:bottom w:val="single" w:color="1B3A6B" w:sz="8" w:space="0"/>
        </w:pBdr>
        <w:spacing w:before="480" w:after="160"/>
      </w:pPr>
      <w:r>
        <w:rPr>
          <w:b/>
          <w:bCs/>
          <w:color w:val="1B3A6B"/>
          <w:sz w:val="36"/>
          <w:szCs w:val="36"/>
        </w:rPr>
        <w:lastRenderedPageBreak/>
        <w:t>7. Input Assumptions</w:t>
      </w:r>
    </w:p>
    <w:p w:rsidR="002C3C59" w:rsidRDefault="001D7557" w14:paraId="0E4D9C45" w14:textId="77777777">
      <w:pPr>
        <w:pBdr>
          <w:left w:val="single" w:color="D97706" w:sz="20" w:space="0"/>
        </w:pBdr>
        <w:shd w:val="clear" w:color="auto" w:fill="FFF4E5"/>
        <w:spacing w:after="200"/>
        <w:ind w:left="180"/>
      </w:pPr>
      <w:r>
        <w:rPr>
          <w:i/>
          <w:iCs/>
          <w:color w:val="D97706"/>
          <w:sz w:val="18"/>
          <w:szCs w:val="18"/>
        </w:rPr>
        <w:t>🗺️  COUNTRY-SPECIFIC — complete separately for each market</w:t>
      </w:r>
    </w:p>
    <w:p w:rsidR="002C3C59" w:rsidRDefault="16DAD471" w14:paraId="5270CD9F" w14:textId="7B3B6D28">
      <w:pPr>
        <w:spacing w:before="320" w:after="120"/>
      </w:pPr>
      <w:r>
        <w:rPr>
          <w:b/>
          <w:bCs/>
          <w:color w:val="2E5FA3"/>
          <w:sz w:val="28"/>
          <w:szCs w:val="28"/>
        </w:rPr>
        <w:t>7.1 Great Britain</w:t>
      </w:r>
    </w:p>
    <w:p w:rsidR="002C3C59" w:rsidRDefault="16DAD471" w14:paraId="4C8D1C56" w14:textId="6DADDBD7">
      <w:pPr>
        <w:spacing w:before="200" w:after="80"/>
      </w:pPr>
      <w:r w:rsidRPr="41348015" w:rsidR="1798A9E5">
        <w:rPr>
          <w:b w:val="1"/>
          <w:bCs w:val="1"/>
          <w:color w:val="444444"/>
          <w:sz w:val="24"/>
          <w:szCs w:val="24"/>
        </w:rPr>
        <w:t xml:space="preserve">7.1.1 </w:t>
      </w:r>
      <w:r w:rsidRPr="41348015" w:rsidR="1798A9E5">
        <w:rPr>
          <w:b w:val="1"/>
          <w:bCs w:val="1"/>
          <w:color w:val="444444"/>
          <w:sz w:val="24"/>
          <w:szCs w:val="24"/>
        </w:rPr>
        <w:t>Asset register</w:t>
      </w:r>
    </w:p>
    <w:p w:rsidR="002C3C59" w:rsidRDefault="001D7557" w14:paraId="5C84E555" w14:textId="4076AE9D">
      <w:pPr>
        <w:spacing w:after="120"/>
      </w:pPr>
      <w:r>
        <w:t>The GB BESS asset register maps each qualifying Balancing Market Unit (BMU) to:</w:t>
      </w:r>
    </w:p>
    <w:p w:rsidR="002C3C59" w:rsidRDefault="001D7557" w14:paraId="715EE2C4" w14:textId="77777777">
      <w:pPr>
        <w:pStyle w:val="ListParagraph"/>
        <w:numPr>
          <w:ilvl w:val="0"/>
          <w:numId w:val="2"/>
        </w:numPr>
        <w:spacing w:after="80"/>
      </w:pPr>
      <w:r>
        <w:rPr>
          <w:b/>
          <w:bCs/>
        </w:rPr>
        <w:t>Installed capacity (MW)</w:t>
      </w:r>
      <w:r>
        <w:t xml:space="preserve"> — nameplate capacity, not grid connection size. Where augmentation occurs, the updated capacity is applied from the date of the change.</w:t>
      </w:r>
    </w:p>
    <w:p w:rsidR="002C3C59" w:rsidRDefault="001D7557" w14:paraId="602E60D4" w14:textId="77777777">
      <w:pPr>
        <w:pStyle w:val="ListParagraph"/>
        <w:numPr>
          <w:ilvl w:val="0"/>
          <w:numId w:val="2"/>
        </w:numPr>
        <w:spacing w:after="80"/>
      </w:pPr>
      <w:r>
        <w:rPr>
          <w:b/>
          <w:bCs/>
        </w:rPr>
        <w:t>Battery duration class</w:t>
      </w:r>
      <w:r>
        <w:t xml:space="preserve"> — one of: 0.5h, 1h, 1.5h, 2h, 2.5h, or 3h, based on nameplate energy capacity divided by rated power.</w:t>
      </w:r>
    </w:p>
    <w:p w:rsidR="002C3C59" w:rsidRDefault="001D7557" w14:paraId="6E4586F2" w14:textId="77777777">
      <w:pPr>
        <w:pStyle w:val="ListParagraph"/>
        <w:numPr>
          <w:ilvl w:val="0"/>
          <w:numId w:val="2"/>
        </w:numPr>
        <w:spacing w:after="80"/>
      </w:pPr>
      <w:r>
        <w:rPr>
          <w:b/>
          <w:bCs/>
        </w:rPr>
        <w:t>Geographic region</w:t>
      </w:r>
      <w:r>
        <w:t xml:space="preserve"> — one of seven regions: North Scotland, South Scotland, North England, North England &amp; Wales, South England and Wales, East Anglia, and South England.</w:t>
      </w:r>
    </w:p>
    <w:p w:rsidR="002C3C59" w:rsidRDefault="002C3C59" w14:paraId="7C56DB43" w14:textId="77777777">
      <w:pPr>
        <w:spacing w:after="80"/>
      </w:pPr>
    </w:p>
    <w:p w:rsidR="6CAE7B53" w:rsidP="41348015" w:rsidRDefault="6CAE7B53" w14:paraId="722F666A" w14:textId="01F4E775">
      <w:pPr>
        <w:spacing w:before="200" w:after="120"/>
      </w:pPr>
      <w:commentRangeStart w:id="29"/>
      <w:commentRangeStart w:id="30"/>
      <w:r w:rsidR="589B833A">
        <w:rPr/>
        <w:t xml:space="preserve">The register is updated monthly. Assets are added following confirmation of their registration on the </w:t>
      </w:r>
      <w:r w:rsidR="589B833A">
        <w:rPr/>
        <w:t>Elexon</w:t>
      </w:r>
      <w:r w:rsidR="589B833A">
        <w:rPr/>
        <w:t xml:space="preserve"> BMU database. The register does not adjust for battery degradation </w:t>
      </w:r>
      <w:r w:rsidR="58D5FDDD">
        <w:rPr/>
        <w:t>and</w:t>
      </w:r>
      <w:r w:rsidR="589B833A">
        <w:rPr/>
        <w:t xml:space="preserve"> capacity figures reflect nameplate ratings.</w:t>
      </w:r>
      <w:commentRangeEnd w:id="29"/>
      <w:r>
        <w:rPr>
          <w:rStyle w:val="CommentReference"/>
        </w:rPr>
        <w:commentReference w:id="29"/>
      </w:r>
      <w:commentRangeEnd w:id="30"/>
      <w:r>
        <w:rPr>
          <w:rStyle w:val="CommentReference"/>
        </w:rPr>
        <w:commentReference w:id="30"/>
      </w:r>
    </w:p>
    <w:p w:rsidR="6CAE7B53" w:rsidP="6CAE7B53" w:rsidRDefault="6CAE7B53" w14:paraId="17F12168" w14:textId="44A9423A">
      <w:pPr>
        <w:spacing w:before="200" w:after="80"/>
        <w:rPr>
          <w:b/>
          <w:bCs/>
          <w:color w:val="444444"/>
          <w:sz w:val="24"/>
          <w:szCs w:val="24"/>
        </w:rPr>
      </w:pPr>
    </w:p>
    <w:p w:rsidR="6166E7E0" w:rsidP="6CAE7B53" w:rsidRDefault="6166E7E0" w14:paraId="5976A99A" w14:textId="149DF2B6">
      <w:pPr>
        <w:spacing w:before="200" w:after="80"/>
      </w:pPr>
      <w:r w:rsidRPr="41348015" w:rsidR="691C8486">
        <w:rPr>
          <w:b w:val="1"/>
          <w:bCs w:val="1"/>
          <w:color w:val="444444"/>
          <w:sz w:val="24"/>
          <w:szCs w:val="24"/>
        </w:rPr>
        <w:t>7.1.2 Index composition</w:t>
      </w:r>
    </w:p>
    <w:p w:rsidR="5DED5861" w:rsidP="41348015" w:rsidRDefault="5DED5861" w14:paraId="37881074" w14:textId="4264E209">
      <w:pPr>
        <w:spacing w:before="200" w:beforeAutospacing="off" w:after="80" w:afterAutospacing="off" w:line="259" w:lineRule="auto"/>
        <w:ind w:left="0" w:right="0"/>
        <w:jc w:val="left"/>
        <w:rPr>
          <w:rFonts w:ascii="Calibri" w:hAnsi="Calibri" w:eastAsia="Calibri" w:cs="Calibri"/>
          <w:noProof w:val="0"/>
          <w:sz w:val="22"/>
          <w:szCs w:val="22"/>
          <w:lang w:val="en-GB"/>
        </w:rPr>
      </w:pPr>
      <w:r w:rsidRPr="41348015" w:rsidR="5DED5861">
        <w:rPr>
          <w:rFonts w:ascii="Calibri" w:hAnsi="Calibri" w:eastAsia="Calibri" w:cs="Calibri"/>
          <w:b w:val="0"/>
          <w:bCs w:val="0"/>
          <w:i w:val="0"/>
          <w:iCs w:val="0"/>
          <w:caps w:val="0"/>
          <w:smallCaps w:val="0"/>
          <w:noProof w:val="0"/>
          <w:color w:val="222222"/>
          <w:sz w:val="22"/>
          <w:szCs w:val="22"/>
          <w:lang w:val="en-GB"/>
        </w:rPr>
        <w:t>The standard indices for the GB market are constructed using qualifying BESS assets with a minimum installed capacity of 5</w:t>
      </w:r>
      <w:r w:rsidRPr="41348015" w:rsidR="5DED5861">
        <w:rPr>
          <w:rFonts w:ascii="Calibri" w:hAnsi="Calibri" w:eastAsia="Calibri" w:cs="Calibri"/>
          <w:b w:val="0"/>
          <w:bCs w:val="0"/>
          <w:i w:val="0"/>
          <w:iCs w:val="0"/>
          <w:caps w:val="0"/>
          <w:smallCaps w:val="0"/>
          <w:noProof w:val="0"/>
          <w:color w:val="222222"/>
          <w:sz w:val="22"/>
          <w:szCs w:val="22"/>
          <w:lang w:val="en-GB"/>
        </w:rPr>
        <w:t>MW, according to the following asset duration bands:</w:t>
      </w:r>
    </w:p>
    <w:p w:rsidR="6166E7E0" w:rsidP="6CAE7B53" w:rsidRDefault="6166E7E0" w14:paraId="2632F2EA" w14:textId="7BE47219">
      <w:pPr>
        <w:pStyle w:val="ListParagraph"/>
        <w:numPr>
          <w:ilvl w:val="0"/>
          <w:numId w:val="1"/>
        </w:numPr>
        <w:spacing w:after="120"/>
        <w:rPr/>
      </w:pPr>
      <w:commentRangeStart w:id="1000541627"/>
      <w:r w:rsidR="691C8486">
        <w:rPr/>
        <w:t>All-BESS index — includes all qualifying BESS assets in the market, regardless of duration.</w:t>
      </w:r>
    </w:p>
    <w:p w:rsidR="6166E7E0" w:rsidP="6CAE7B53" w:rsidRDefault="6166E7E0" w14:paraId="6625A29B" w14:textId="474676DD">
      <w:pPr>
        <w:pStyle w:val="ListParagraph"/>
        <w:numPr>
          <w:ilvl w:val="0"/>
          <w:numId w:val="1"/>
        </w:numPr>
        <w:spacing w:after="120"/>
      </w:pPr>
      <w:r>
        <w:t>1H index — includes qualifying assets with a system duration of 0.7 to 1.4 hours (inclusive).</w:t>
      </w:r>
    </w:p>
    <w:p w:rsidR="6166E7E0" w:rsidP="6CAE7B53" w:rsidRDefault="6166E7E0" w14:paraId="6EC25902" w14:textId="2B698C7A">
      <w:pPr>
        <w:pStyle w:val="ListParagraph"/>
        <w:numPr>
          <w:ilvl w:val="0"/>
          <w:numId w:val="1"/>
        </w:numPr>
        <w:spacing w:after="120"/>
        <w:rPr/>
      </w:pPr>
      <w:r w:rsidR="691C8486">
        <w:rPr/>
        <w:t>2H index — includes qualifying assets with a system duration of 1.7 to 2.4 hours (inclusive).</w:t>
      </w:r>
      <w:commentRangeEnd w:id="1000541627"/>
      <w:r>
        <w:rPr>
          <w:rStyle w:val="CommentReference"/>
        </w:rPr>
        <w:commentReference w:id="1000541627"/>
      </w:r>
    </w:p>
    <w:p w:rsidR="002C3C59" w:rsidRDefault="154D0016" w14:paraId="7F5C6397" w14:textId="04D100BF">
      <w:pPr>
        <w:spacing w:before="200" w:after="80"/>
      </w:pPr>
      <w:r>
        <w:rPr>
          <w:b/>
          <w:bCs/>
          <w:color w:val="444444"/>
          <w:sz w:val="24"/>
          <w:szCs w:val="24"/>
        </w:rPr>
        <w:t>7.1.3 Capacity weighting</w:t>
      </w:r>
    </w:p>
    <w:p w:rsidR="002C3C59" w:rsidRDefault="001D7557" w14:paraId="16658BFF" w14:textId="77777777">
      <w:pPr>
        <w:spacing w:after="120"/>
      </w:pPr>
      <w:r>
        <w:t>All revenue metrics are expressed as £/MW of installed capacity. The normalisation denominator for each period is the sum of installed capacities of all unique BMUs that were active (i.e. had at least one non-zero observation) in that period. This is recalculated each month to reflect the changing asset population.</w:t>
      </w:r>
    </w:p>
    <w:p w:rsidR="002C3C59" w:rsidRDefault="002C3C59" w14:paraId="50B87E17" w14:textId="77777777">
      <w:pPr>
        <w:spacing w:after="120"/>
      </w:pPr>
    </w:p>
    <w:p w:rsidR="002C3C59" w:rsidRDefault="001D7557" w14:paraId="50CA2AFF" w14:textId="77777777">
      <w:r>
        <w:br w:type="page"/>
      </w:r>
    </w:p>
    <w:p w:rsidR="00414CC0" w:rsidRDefault="007326D6" w14:paraId="092EC09F" w14:textId="77777777">
      <w:pPr>
        <w:spacing w:before="320" w:after="120"/>
      </w:pPr>
      <w:r>
        <w:rPr>
          <w:b/>
          <w:bCs/>
          <w:color w:val="2E5FA3"/>
          <w:sz w:val="28"/>
          <w:szCs w:val="28"/>
        </w:rPr>
        <w:lastRenderedPageBreak/>
        <w:t>7.2 Italy</w:t>
      </w:r>
    </w:p>
    <w:p w:rsidR="00414CC0" w:rsidRDefault="007326D6" w14:paraId="61A051BA" w14:textId="77777777">
      <w:pPr>
        <w:spacing w:before="200" w:after="80"/>
      </w:pPr>
      <w:r>
        <w:rPr>
          <w:b/>
          <w:bCs/>
          <w:color w:val="444444"/>
          <w:sz w:val="24"/>
          <w:szCs w:val="24"/>
        </w:rPr>
        <w:t>7.2.1 Asset register</w:t>
      </w:r>
    </w:p>
    <w:p w:rsidR="00414CC0" w:rsidRDefault="007326D6" w14:paraId="5E6C2EBA" w14:textId="77777777">
      <w:pPr>
        <w:spacing w:after="120"/>
      </w:pPr>
      <w:r>
        <w:t>The Italian BESS asset register maps each qualifying production/dispatch unit (</w:t>
      </w:r>
      <w:r w:rsidRPr="00CC1302">
        <w:rPr>
          <w:i/>
          <w:iCs/>
        </w:rPr>
        <w:t>Unità di Produzione, UP</w:t>
      </w:r>
      <w:r>
        <w:t>) enabled for the wholesale and ancillary services markets to:</w:t>
      </w:r>
    </w:p>
    <w:p w:rsidRPr="008D2801" w:rsidR="00414CC0" w:rsidP="008D2801" w:rsidRDefault="007326D6" w14:paraId="77496D75" w14:textId="4F5F4864">
      <w:pPr>
        <w:pStyle w:val="ListParagraph"/>
        <w:numPr>
          <w:ilvl w:val="0"/>
          <w:numId w:val="2"/>
        </w:numPr>
        <w:spacing w:after="80"/>
        <w:rPr>
          <w:lang w:val="en-US"/>
        </w:rPr>
      </w:pPr>
      <w:r>
        <w:rPr>
          <w:b/>
          <w:bCs/>
        </w:rPr>
        <w:t>Installed capacity (MW)</w:t>
      </w:r>
      <w:r>
        <w:t xml:space="preserve"> — </w:t>
      </w:r>
      <w:r w:rsidRPr="008D2801" w:rsidR="008D2801">
        <w:rPr>
          <w:lang w:val="en-US"/>
        </w:rPr>
        <w:t>nameplate capacity based on Capacity Market auction results (where available) and desk research, cross-checked with the maximum wholesale market bid</w:t>
      </w:r>
      <w:r w:rsidR="008D2801">
        <w:rPr>
          <w:lang w:val="en-US"/>
        </w:rPr>
        <w:t>.</w:t>
      </w:r>
    </w:p>
    <w:p w:rsidRPr="00421E72" w:rsidR="00421E72" w:rsidP="00421E72" w:rsidRDefault="007326D6" w14:paraId="3BB81F87" w14:textId="77777777">
      <w:pPr>
        <w:pStyle w:val="ListParagraph"/>
        <w:numPr>
          <w:ilvl w:val="0"/>
          <w:numId w:val="2"/>
        </w:numPr>
        <w:spacing w:after="80"/>
      </w:pPr>
      <w:r w:rsidRPr="00421E72">
        <w:rPr>
          <w:b/>
          <w:bCs/>
        </w:rPr>
        <w:t>Battery duration</w:t>
      </w:r>
      <w:r w:rsidRPr="00421E72">
        <w:t xml:space="preserve">— </w:t>
      </w:r>
      <w:r w:rsidRPr="00421E72" w:rsidR="00421E72">
        <w:rPr>
          <w:lang w:val="en-US"/>
        </w:rPr>
        <w:t>any duration value between the minimum and maximum available duration.</w:t>
      </w:r>
    </w:p>
    <w:p w:rsidRPr="00421E72" w:rsidR="007E712E" w:rsidP="00421E72" w:rsidRDefault="007E712E" w14:paraId="3FED3C8C" w14:textId="272B1B04">
      <w:pPr>
        <w:pStyle w:val="ListParagraph"/>
        <w:numPr>
          <w:ilvl w:val="0"/>
          <w:numId w:val="2"/>
        </w:numPr>
        <w:spacing w:after="80"/>
      </w:pPr>
      <w:r w:rsidRPr="00421E72">
        <w:rPr>
          <w:b/>
          <w:bCs/>
        </w:rPr>
        <w:t>Market zone</w:t>
      </w:r>
      <w:r w:rsidRPr="00421E72">
        <w:t xml:space="preserve"> — one of the seven Italian market zones: No</w:t>
      </w:r>
      <w:r w:rsidRPr="00421E72" w:rsidR="002C22ED">
        <w:t>rth</w:t>
      </w:r>
      <w:r w:rsidRPr="00421E72">
        <w:t>, C</w:t>
      </w:r>
      <w:r w:rsidRPr="00421E72" w:rsidR="003F00E0">
        <w:t>entre</w:t>
      </w:r>
      <w:r w:rsidRPr="00421E72" w:rsidR="00E80760">
        <w:t>-</w:t>
      </w:r>
      <w:r w:rsidRPr="00421E72" w:rsidR="002C22ED">
        <w:t>North</w:t>
      </w:r>
      <w:r w:rsidRPr="00421E72">
        <w:t>, C</w:t>
      </w:r>
      <w:r w:rsidRPr="00421E72" w:rsidR="00E80760">
        <w:t>entre-</w:t>
      </w:r>
      <w:r w:rsidRPr="00421E72" w:rsidR="0008416A">
        <w:t>S</w:t>
      </w:r>
      <w:r w:rsidRPr="00421E72" w:rsidR="002C22ED">
        <w:t>outh</w:t>
      </w:r>
      <w:r w:rsidRPr="00421E72">
        <w:t>, S</w:t>
      </w:r>
      <w:r w:rsidRPr="00421E72" w:rsidR="0008416A">
        <w:t>outh</w:t>
      </w:r>
      <w:r w:rsidRPr="00421E72">
        <w:t>, Calabria, Sicil</w:t>
      </w:r>
      <w:r w:rsidRPr="00421E72" w:rsidR="0008416A">
        <w:t>y</w:t>
      </w:r>
      <w:r w:rsidRPr="00421E72">
        <w:t>, and Sar</w:t>
      </w:r>
      <w:r w:rsidRPr="00421E72" w:rsidR="00DC3CA4">
        <w:t>dinia</w:t>
      </w:r>
      <w:r w:rsidRPr="00421E72">
        <w:t>.</w:t>
      </w:r>
    </w:p>
    <w:p w:rsidRPr="008C0517" w:rsidR="0087666B" w:rsidP="00060AD2" w:rsidRDefault="007E712E" w14:paraId="4DFC92C0" w14:textId="3C43533B">
      <w:pPr>
        <w:pStyle w:val="ListParagraph"/>
        <w:numPr>
          <w:ilvl w:val="0"/>
          <w:numId w:val="2"/>
        </w:numPr>
        <w:spacing w:after="80"/>
        <w:rPr>
          <w:lang w:val="en-US"/>
        </w:rPr>
      </w:pPr>
      <w:r w:rsidRPr="008C0517">
        <w:rPr>
          <w:b/>
          <w:bCs/>
        </w:rPr>
        <w:t>Province</w:t>
      </w:r>
      <w:r w:rsidRPr="008C0517">
        <w:t xml:space="preserve">: </w:t>
      </w:r>
      <w:r w:rsidRPr="008C0517" w:rsidR="0087666B">
        <w:t>one of the 107 Italian provinces;</w:t>
      </w:r>
      <w:r w:rsidRPr="008C0517" w:rsidR="0087666B">
        <w:rPr>
          <w:b/>
          <w:bCs/>
        </w:rPr>
        <w:t xml:space="preserve"> </w:t>
      </w:r>
    </w:p>
    <w:p w:rsidRPr="0087666B" w:rsidR="00C824B4" w:rsidP="00060AD2" w:rsidRDefault="00AE130B" w14:paraId="3B492B64" w14:textId="786ECEB3">
      <w:pPr>
        <w:pStyle w:val="ListParagraph"/>
        <w:numPr>
          <w:ilvl w:val="0"/>
          <w:numId w:val="2"/>
        </w:numPr>
        <w:spacing w:after="80"/>
        <w:rPr>
          <w:lang w:val="en-US"/>
        </w:rPr>
      </w:pPr>
      <w:r w:rsidRPr="0087666B">
        <w:rPr>
          <w:b/>
          <w:bCs/>
        </w:rPr>
        <w:t>Owner</w:t>
      </w:r>
      <w:r w:rsidRPr="00AE130B">
        <w:t>-</w:t>
      </w:r>
      <w:r>
        <w:t xml:space="preserve"> </w:t>
      </w:r>
      <w:r w:rsidRPr="0087666B" w:rsidR="00060AD2">
        <w:rPr>
          <w:lang w:val="en-US"/>
        </w:rPr>
        <w:t>entity owning the asset; this may differ from the optimiser.</w:t>
      </w:r>
    </w:p>
    <w:p w:rsidR="00421E72" w:rsidP="00421E72" w:rsidRDefault="00C824B4" w14:paraId="3343AB19" w14:textId="7C45ACAC">
      <w:pPr>
        <w:pStyle w:val="ListParagraph"/>
        <w:numPr>
          <w:ilvl w:val="0"/>
          <w:numId w:val="2"/>
        </w:numPr>
        <w:spacing w:after="120"/>
      </w:pPr>
      <w:r w:rsidRPr="00421E72">
        <w:rPr>
          <w:b/>
          <w:bCs/>
        </w:rPr>
        <w:t xml:space="preserve">Business model </w:t>
      </w:r>
      <w:r w:rsidRPr="00AD63C1">
        <w:t xml:space="preserve">— </w:t>
      </w:r>
      <w:r w:rsidRPr="00C824B4">
        <w:t xml:space="preserve">differentiation by </w:t>
      </w:r>
      <w:r>
        <w:t>business</w:t>
      </w:r>
      <w:r w:rsidRPr="00C824B4">
        <w:t xml:space="preserve"> model, including Capacity Market, Fast Reserve, MACSE, and Merchant assets</w:t>
      </w:r>
      <w:r w:rsidR="00421E72">
        <w:t>.</w:t>
      </w:r>
    </w:p>
    <w:p w:rsidR="00414CC0" w:rsidP="00421E72" w:rsidRDefault="007326D6" w14:paraId="73714B60" w14:textId="252E3EE8">
      <w:pPr>
        <w:spacing w:after="120"/>
      </w:pPr>
      <w:r>
        <w:t xml:space="preserve">The register is updated </w:t>
      </w:r>
      <w:r w:rsidR="00862C28">
        <w:t>monthly</w:t>
      </w:r>
      <w:r>
        <w:t>. The register does not adjust for battery degradation</w:t>
      </w:r>
      <w:r w:rsidR="00C2025B">
        <w:t xml:space="preserve">, </w:t>
      </w:r>
      <w:r>
        <w:t>capacity figures reflect nameplate ratings.</w:t>
      </w:r>
    </w:p>
    <w:p w:rsidRPr="004C0595" w:rsidR="00414CC0" w:rsidRDefault="007326D6" w14:paraId="5C65A2D3" w14:textId="77777777">
      <w:pPr>
        <w:spacing w:before="200" w:after="80"/>
        <w:rPr>
          <w:b/>
          <w:bCs/>
          <w:color w:val="444444"/>
          <w:sz w:val="24"/>
          <w:szCs w:val="24"/>
        </w:rPr>
      </w:pPr>
      <w:r w:rsidRPr="004C0595">
        <w:rPr>
          <w:b/>
          <w:bCs/>
          <w:color w:val="444444"/>
          <w:sz w:val="24"/>
          <w:szCs w:val="24"/>
        </w:rPr>
        <w:t>7.2.2 Index composition</w:t>
      </w:r>
    </w:p>
    <w:p w:rsidR="006E435C" w:rsidP="006E435C" w:rsidRDefault="00DA5D5C" w14:paraId="7448E75E" w14:textId="25F162FC">
      <w:pPr>
        <w:spacing w:after="120"/>
      </w:pPr>
      <w:r w:rsidR="28061A8B">
        <w:rPr/>
        <w:t>The standard indices for the Italian market are constructed according to the following market zones and asset duration bands</w:t>
      </w:r>
      <w:r w:rsidR="710D5707">
        <w:rPr/>
        <w:t>.</w:t>
      </w:r>
      <w:r w:rsidR="710D5707">
        <w:rPr/>
        <w:t xml:space="preserve"> All indices include only qualifying assets larger than 5</w:t>
      </w:r>
      <w:r w:rsidR="710D5707">
        <w:rPr/>
        <w:t>MW</w:t>
      </w:r>
      <w:r w:rsidR="6A0CE527">
        <w:rPr/>
        <w:t>.</w:t>
      </w:r>
    </w:p>
    <w:p w:rsidRPr="006E435C" w:rsidR="008A2BB3" w:rsidP="006E435C" w:rsidRDefault="008A2BB3" w14:paraId="60BF52D2" w14:textId="1CF168A9">
      <w:pPr>
        <w:pStyle w:val="ListParagraph"/>
        <w:numPr>
          <w:ilvl w:val="0"/>
          <w:numId w:val="6"/>
        </w:numPr>
        <w:spacing w:after="120"/>
        <w:rPr>
          <w:lang w:val="en-US"/>
        </w:rPr>
      </w:pPr>
      <w:commentRangeStart w:id="1129933308"/>
      <w:r w:rsidR="4EC3D2DA">
        <w:rPr/>
        <w:t>Italy BESS AER — includes all qualifying BESS assets in the market</w:t>
      </w:r>
      <w:r w:rsidR="51BE010F">
        <w:rPr/>
        <w:t>.</w:t>
      </w:r>
    </w:p>
    <w:p w:rsidR="008A2BB3" w:rsidP="008A2BB3" w:rsidRDefault="0083792D" w14:paraId="26D93528" w14:textId="32AD4650">
      <w:pPr>
        <w:pStyle w:val="ListParagraph"/>
        <w:numPr>
          <w:ilvl w:val="0"/>
          <w:numId w:val="1"/>
        </w:numPr>
        <w:spacing w:after="120"/>
      </w:pPr>
      <w:r>
        <w:t>Italy BESS North</w:t>
      </w:r>
      <w:r w:rsidR="00B63795">
        <w:t xml:space="preserve"> 4h</w:t>
      </w:r>
      <w:r w:rsidR="008A2BB3">
        <w:t xml:space="preserve"> — includes qualifying assets</w:t>
      </w:r>
      <w:r w:rsidR="00500A6D">
        <w:t xml:space="preserve"> located in </w:t>
      </w:r>
      <w:r w:rsidR="00563753">
        <w:t>the</w:t>
      </w:r>
      <w:r w:rsidR="00500A6D">
        <w:t xml:space="preserve"> North</w:t>
      </w:r>
      <w:r w:rsidR="00563753">
        <w:t xml:space="preserve"> market zone</w:t>
      </w:r>
      <w:r w:rsidR="008A2BB3">
        <w:t xml:space="preserve"> with a system duration of </w:t>
      </w:r>
      <w:r w:rsidR="00E738E8">
        <w:t>3.6</w:t>
      </w:r>
      <w:r w:rsidR="008A2BB3">
        <w:t xml:space="preserve"> to </w:t>
      </w:r>
      <w:r w:rsidR="00E738E8">
        <w:t>4.5</w:t>
      </w:r>
      <w:r w:rsidR="008A2BB3">
        <w:t xml:space="preserve"> hours (inclusive).</w:t>
      </w:r>
    </w:p>
    <w:p w:rsidR="00DB5D8E" w:rsidP="00DB5D8E" w:rsidRDefault="0083792D" w14:paraId="451BFF2F" w14:textId="76B363AC">
      <w:pPr>
        <w:pStyle w:val="ListParagraph"/>
        <w:numPr>
          <w:ilvl w:val="0"/>
          <w:numId w:val="1"/>
        </w:numPr>
        <w:spacing w:after="120"/>
        <w:rPr/>
      </w:pPr>
      <w:r w:rsidR="2DE56AA6">
        <w:rPr/>
        <w:t>Italy BESS Sardinia</w:t>
      </w:r>
      <w:r w:rsidR="5DE45827">
        <w:rPr/>
        <w:t xml:space="preserve"> 4h</w:t>
      </w:r>
      <w:r w:rsidR="2DE56AA6">
        <w:rPr/>
        <w:t xml:space="preserve"> </w:t>
      </w:r>
      <w:r w:rsidR="4EC3D2DA">
        <w:rPr/>
        <w:t xml:space="preserve">— includes qualifying assets </w:t>
      </w:r>
      <w:r w:rsidR="11920829">
        <w:rPr/>
        <w:t>located in</w:t>
      </w:r>
      <w:r w:rsidR="54AE730D">
        <w:rPr/>
        <w:t xml:space="preserve"> the</w:t>
      </w:r>
      <w:r w:rsidR="11920829">
        <w:rPr/>
        <w:t xml:space="preserve"> Sardina</w:t>
      </w:r>
      <w:r w:rsidR="54AE730D">
        <w:rPr/>
        <w:t xml:space="preserve"> market zone</w:t>
      </w:r>
      <w:r w:rsidR="154CA944">
        <w:rPr/>
        <w:t xml:space="preserve"> </w:t>
      </w:r>
      <w:r w:rsidR="4EC3D2DA">
        <w:rPr/>
        <w:t xml:space="preserve">with a system duration of </w:t>
      </w:r>
      <w:r w:rsidR="24BFB753">
        <w:rPr/>
        <w:t>3.6</w:t>
      </w:r>
      <w:r w:rsidR="4EC3D2DA">
        <w:rPr/>
        <w:t xml:space="preserve"> to </w:t>
      </w:r>
      <w:r w:rsidR="24BFB753">
        <w:rPr/>
        <w:t>4.5</w:t>
      </w:r>
      <w:r w:rsidR="4EC3D2DA">
        <w:rPr/>
        <w:t xml:space="preserve"> hours (inclusive).</w:t>
      </w:r>
      <w:commentRangeEnd w:id="1129933308"/>
      <w:r>
        <w:rPr>
          <w:rStyle w:val="CommentReference"/>
        </w:rPr>
        <w:commentReference w:id="1129933308"/>
      </w:r>
    </w:p>
    <w:p w:rsidR="00414CC0" w:rsidRDefault="007326D6" w14:paraId="22B125F5" w14:textId="77777777">
      <w:pPr>
        <w:spacing w:before="200" w:after="80"/>
      </w:pPr>
      <w:r>
        <w:rPr>
          <w:b/>
          <w:bCs/>
          <w:color w:val="444444"/>
          <w:sz w:val="24"/>
          <w:szCs w:val="24"/>
        </w:rPr>
        <w:t>7.2.3 Capacity weighting</w:t>
      </w:r>
    </w:p>
    <w:p w:rsidR="00414CC0" w:rsidRDefault="00847988" w14:paraId="0109E0A7" w14:textId="5C22B926">
      <w:pPr>
        <w:spacing w:after="120"/>
      </w:pPr>
      <w:r w:rsidRPr="00847988">
        <w:t>All revenue metrics are expressed as €/kW of installed capacity. Normalisation is performed at the asset level</w:t>
      </w:r>
      <w:r>
        <w:t>,</w:t>
      </w:r>
      <w:r w:rsidRPr="00847988">
        <w:t xml:space="preserve"> each asset's revenues and volumes are normalised by its own installed capacity before aggregation</w:t>
      </w:r>
      <w:r>
        <w:t xml:space="preserve">, </w:t>
      </w:r>
      <w:r w:rsidRPr="00847988">
        <w:t>so that individual asset metrics are not contaminated by fleet-wide capacity.</w:t>
      </w:r>
    </w:p>
    <w:p w:rsidR="002C3C59" w:rsidRDefault="4066DC2B" w14:paraId="76E04F07" w14:textId="3CF29BA7">
      <w:pPr>
        <w:pBdr>
          <w:bottom w:val="single" w:color="1B3A6B" w:sz="8" w:space="0"/>
        </w:pBdr>
        <w:spacing w:before="480" w:after="160"/>
      </w:pPr>
      <w:r>
        <w:rPr>
          <w:b/>
          <w:bCs/>
          <w:color w:val="1B3A6B"/>
          <w:sz w:val="36"/>
          <w:szCs w:val="36"/>
        </w:rPr>
        <w:t>8. Revenue Streams</w:t>
      </w:r>
    </w:p>
    <w:p w:rsidR="002C3C59" w:rsidRDefault="001D7557" w14:paraId="1644A9F2" w14:textId="77777777">
      <w:pPr>
        <w:pBdr>
          <w:left w:val="single" w:color="D97706" w:sz="20" w:space="0"/>
        </w:pBdr>
        <w:shd w:val="clear" w:color="auto" w:fill="FFF4E5"/>
        <w:spacing w:after="200"/>
        <w:ind w:left="180"/>
      </w:pPr>
      <w:r>
        <w:rPr>
          <w:i/>
          <w:iCs/>
          <w:color w:val="D97706"/>
          <w:sz w:val="18"/>
          <w:szCs w:val="18"/>
        </w:rPr>
        <w:t>🗺️  COUNTRY-SPECIFIC — complete separately for each market</w:t>
      </w:r>
    </w:p>
    <w:p w:rsidR="002C3C59" w:rsidRDefault="6694E2A5" w14:paraId="633859B1" w14:textId="38CA7C72">
      <w:pPr>
        <w:spacing w:before="320" w:after="120"/>
      </w:pPr>
      <w:r>
        <w:rPr>
          <w:b/>
          <w:bCs/>
          <w:color w:val="2E5FA3"/>
          <w:sz w:val="28"/>
          <w:szCs w:val="28"/>
        </w:rPr>
        <w:t>8.1 Great Britain</w:t>
      </w:r>
    </w:p>
    <w:p w:rsidR="002C3C59" w:rsidRDefault="001D7557" w14:paraId="03D5BEA9" w14:textId="77777777">
      <w:pPr>
        <w:spacing w:before="200" w:after="80"/>
      </w:pPr>
      <w:r>
        <w:rPr>
          <w:b/>
          <w:bCs/>
          <w:color w:val="444444"/>
          <w:sz w:val="24"/>
          <w:szCs w:val="24"/>
        </w:rPr>
        <w:t>6.1.1 Included revenue streams</w:t>
      </w:r>
    </w:p>
    <w:p w:rsidR="002C3C59" w:rsidRDefault="001D7557" w14:paraId="3A000754" w14:textId="555FB05F">
      <w:pPr>
        <w:spacing w:after="120"/>
      </w:pPr>
      <w:r>
        <w:t xml:space="preserve">The GB benchmark decomposes revenue across eight market revenue streams. The table below summarises each stream, including whether it contains </w:t>
      </w:r>
      <w:commentRangeStart w:id="31"/>
      <w:commentRangeStart w:id="32"/>
      <w:commentRangeStart w:id="33"/>
      <w:r>
        <w:t>High or Low components of the Dynamic Suite of ancillary services, including the positive or negative sub-components</w:t>
      </w:r>
      <w:commentRangeEnd w:id="31"/>
      <w:r>
        <w:rPr>
          <w:rStyle w:val="CommentReference"/>
          <w:sz w:val="22"/>
          <w:szCs w:val="22"/>
        </w:rPr>
        <w:commentReference w:id="31"/>
      </w:r>
      <w:commentRangeEnd w:id="32"/>
      <w:r>
        <w:rPr>
          <w:rStyle w:val="CommentReference"/>
        </w:rPr>
        <w:commentReference w:id="32"/>
      </w:r>
      <w:commentRangeEnd w:id="33"/>
      <w:r>
        <w:rPr>
          <w:rStyle w:val="CommentReference"/>
        </w:rPr>
        <w:commentReference w:id="33"/>
      </w:r>
      <w:r>
        <w:t>.</w:t>
      </w:r>
    </w:p>
    <w:p w:rsidR="002C3C59" w:rsidRDefault="002C3C59" w14:paraId="2E25E24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96"/>
        <w:gridCol w:w="2593"/>
        <w:gridCol w:w="2193"/>
        <w:gridCol w:w="2578"/>
      </w:tblGrid>
      <w:tr w:rsidR="002C3C59" w:rsidTr="41348015" w14:paraId="0CB1C261" w14:textId="77777777">
        <w:trPr>
          <w:tblHeader/>
        </w:trPr>
        <w:tc>
          <w:tcPr>
            <w:tcW w:w="120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7E65AF0D" w14:textId="77777777">
            <w:r>
              <w:rPr>
                <w:b/>
                <w:bCs/>
                <w:color w:val="FFFFFF"/>
                <w:sz w:val="20"/>
                <w:szCs w:val="20"/>
              </w:rPr>
              <w:lastRenderedPageBreak/>
              <w:t>Code</w:t>
            </w:r>
          </w:p>
        </w:tc>
        <w:tc>
          <w:tcPr>
            <w:tcW w:w="280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1DF984F4" w14:textId="77777777">
            <w:r>
              <w:rPr>
                <w:b/>
                <w:bCs/>
                <w:color w:val="FFFFFF"/>
                <w:sz w:val="20"/>
                <w:szCs w:val="20"/>
              </w:rPr>
              <w:t>Revenue stream</w:t>
            </w:r>
          </w:p>
        </w:tc>
        <w:tc>
          <w:tcPr>
            <w:tcW w:w="236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086E489B" w14:textId="77777777">
            <w:r>
              <w:rPr>
                <w:b/>
                <w:bCs/>
                <w:color w:val="FFFFFF"/>
                <w:sz w:val="20"/>
                <w:szCs w:val="20"/>
              </w:rPr>
              <w:t>Market mechanism</w:t>
            </w:r>
          </w:p>
        </w:tc>
        <w:tc>
          <w:tcPr>
            <w:tcW w:w="2800" w:type="dxa"/>
            <w:tcBorders>
              <w:top w:val="single" w:color="1B3A6B" w:sz="4" w:space="0"/>
              <w:left w:val="single" w:color="1B3A6B" w:sz="4" w:space="0"/>
              <w:bottom w:val="single" w:color="1B3A6B" w:sz="4" w:space="0"/>
              <w:right w:val="single" w:color="1B3A6B" w:sz="4" w:space="0"/>
            </w:tcBorders>
            <w:shd w:val="clear" w:color="auto" w:fill="1B3A6B"/>
            <w:tcMar/>
          </w:tcPr>
          <w:p w:rsidR="002C3C59" w:rsidRDefault="001D7557" w14:paraId="09E40C1F" w14:textId="77777777">
            <w:r>
              <w:rPr>
                <w:b/>
                <w:bCs/>
                <w:color w:val="FFFFFF"/>
                <w:sz w:val="20"/>
                <w:szCs w:val="20"/>
              </w:rPr>
              <w:t>Notes</w:t>
            </w:r>
          </w:p>
        </w:tc>
      </w:tr>
      <w:tr w:rsidR="002C3C59" w:rsidTr="41348015" w14:paraId="6CCA64B0" w14:textId="77777777">
        <w:tc>
          <w:tcPr>
            <w:tcW w:w="12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1A7AB0CC" w14:textId="2528F9A7">
            <w:pPr>
              <w:rPr>
                <w:b/>
                <w:sz w:val="20"/>
                <w:szCs w:val="20"/>
              </w:rPr>
            </w:pPr>
            <w:commentRangeStart w:id="35"/>
            <w:commentRangeStart w:id="36"/>
            <w:commentRangeStart w:id="37"/>
            <w:r>
              <w:rPr>
                <w:b/>
                <w:bCs/>
                <w:sz w:val="20"/>
                <w:szCs w:val="20"/>
              </w:rPr>
              <w:t>WM</w:t>
            </w:r>
            <w:commentRangeEnd w:id="35"/>
            <w:r>
              <w:rPr>
                <w:rStyle w:val="CommentReference"/>
                <w:b/>
                <w:sz w:val="20"/>
                <w:szCs w:val="20"/>
              </w:rPr>
              <w:commentReference w:id="35"/>
            </w:r>
            <w:commentRangeEnd w:id="36"/>
            <w:r>
              <w:rPr>
                <w:rStyle w:val="CommentReference"/>
              </w:rPr>
              <w:commentReference w:id="36"/>
            </w:r>
            <w:commentRangeEnd w:id="37"/>
            <w:r>
              <w:rPr>
                <w:rStyle w:val="CommentReference"/>
              </w:rPr>
              <w:commentReference w:id="37"/>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6FDD465E" w14:textId="77777777">
            <w:r>
              <w:rPr>
                <w:sz w:val="20"/>
                <w:szCs w:val="20"/>
              </w:rPr>
              <w:t>Wholesale Market</w:t>
            </w:r>
          </w:p>
        </w:tc>
        <w:tc>
          <w:tcPr>
            <w:tcW w:w="236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16E17033" w14:textId="77777777">
            <w:r>
              <w:rPr>
                <w:sz w:val="20"/>
                <w:szCs w:val="20"/>
              </w:rPr>
              <w:t>Wholesale / spot market</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619A054E" w14:textId="77777777">
            <w:r>
              <w:rPr>
                <w:sz w:val="20"/>
                <w:szCs w:val="20"/>
              </w:rPr>
              <w:t>Single component</w:t>
            </w:r>
          </w:p>
        </w:tc>
      </w:tr>
      <w:tr w:rsidR="002C3C59" w:rsidTr="41348015" w14:paraId="0344EB11" w14:textId="77777777">
        <w:tc>
          <w:tcPr>
            <w:tcW w:w="12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2B85AE99" w14:textId="77777777">
            <w:r>
              <w:rPr>
                <w:b/>
                <w:bCs/>
                <w:sz w:val="20"/>
                <w:szCs w:val="20"/>
              </w:rPr>
              <w:t>BME</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4287E465" w14:textId="77777777">
            <w:r>
              <w:rPr>
                <w:sz w:val="20"/>
                <w:szCs w:val="20"/>
              </w:rPr>
              <w:t>Balancing Mechanism — Energy</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7251D519" w14:textId="77777777">
            <w:r>
              <w:rPr>
                <w:sz w:val="20"/>
                <w:szCs w:val="20"/>
              </w:rPr>
              <w:t>Balancing Mechanism</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48691B30" w14:textId="77777777">
            <w:r>
              <w:rPr>
                <w:sz w:val="20"/>
                <w:szCs w:val="20"/>
              </w:rPr>
              <w:t>Non-system-operator actions</w:t>
            </w:r>
          </w:p>
        </w:tc>
      </w:tr>
      <w:tr w:rsidR="002C3C59" w:rsidTr="41348015" w14:paraId="61CCB2E4" w14:textId="77777777">
        <w:tc>
          <w:tcPr>
            <w:tcW w:w="12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05FA8A80" w14:textId="77777777">
            <w:r>
              <w:rPr>
                <w:b/>
                <w:bCs/>
                <w:sz w:val="20"/>
                <w:szCs w:val="20"/>
              </w:rPr>
              <w:t>BMS</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77A00121" w14:textId="77777777">
            <w:r>
              <w:rPr>
                <w:sz w:val="20"/>
                <w:szCs w:val="20"/>
              </w:rPr>
              <w:t>Balancing Mechanism — System</w:t>
            </w:r>
          </w:p>
        </w:tc>
        <w:tc>
          <w:tcPr>
            <w:tcW w:w="236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50583B66" w14:textId="77777777">
            <w:r>
              <w:rPr>
                <w:sz w:val="20"/>
                <w:szCs w:val="20"/>
              </w:rPr>
              <w:t>Balancing Mechanism</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63EBA2AD" w14:textId="77777777">
            <w:r>
              <w:rPr>
                <w:sz w:val="20"/>
                <w:szCs w:val="20"/>
              </w:rPr>
              <w:t>System-operator actions</w:t>
            </w:r>
          </w:p>
        </w:tc>
      </w:tr>
      <w:tr w:rsidR="002C3C59" w:rsidTr="41348015" w14:paraId="4E7F7A5B" w14:textId="77777777">
        <w:tc>
          <w:tcPr>
            <w:tcW w:w="12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04F7D230" w14:textId="77777777">
            <w:r>
              <w:rPr>
                <w:b/>
                <w:bCs/>
                <w:sz w:val="20"/>
                <w:szCs w:val="20"/>
              </w:rPr>
              <w:t>DC</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32472A7E" w14:textId="77777777">
            <w:r>
              <w:rPr>
                <w:sz w:val="20"/>
                <w:szCs w:val="20"/>
              </w:rPr>
              <w:t>Dynamic Containment</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6F36004F" w14:textId="77777777">
            <w:pPr>
              <w:rPr>
                <w:color w:val="4EA72E" w:themeColor="accent6"/>
                <w:sz w:val="20"/>
                <w:szCs w:val="20"/>
                <w:rPrChange w:author="" w16du:dateUtc="2026-07-21T13:06:00Z" w:id="834881839">
                  <w:rPr/>
                </w:rPrChange>
              </w:rPr>
            </w:pPr>
            <w:r w:rsidRPr="41348015" w:rsidR="589B833A">
              <w:rPr>
                <w:color w:val="4EA72E" w:themeColor="accent6" w:themeTint="FF" w:themeShade="FF"/>
                <w:sz w:val="20"/>
                <w:szCs w:val="20"/>
              </w:rPr>
              <w:t>Frequency response</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05B6BD0E" w14:textId="77777777">
            <w:pPr>
              <w:rPr>
                <w:color w:val="4EA72E" w:themeColor="accent6"/>
                <w:sz w:val="20"/>
                <w:szCs w:val="20"/>
                <w:rPrChange w:author="" w16du:dateUtc="2026-07-21T13:06:00Z" w:id="1160467865">
                  <w:rPr/>
                </w:rPrChange>
              </w:rPr>
            </w:pPr>
            <w:r w:rsidRPr="41348015" w:rsidR="589B833A">
              <w:rPr>
                <w:color w:val="4EA72E" w:themeColor="accent6" w:themeTint="FF" w:themeShade="FF"/>
                <w:sz w:val="20"/>
                <w:szCs w:val="20"/>
              </w:rPr>
              <w:t>High + Low frequency combined</w:t>
            </w:r>
          </w:p>
        </w:tc>
      </w:tr>
      <w:tr w:rsidR="002C3C59" w:rsidTr="41348015" w14:paraId="35224568" w14:textId="77777777">
        <w:tc>
          <w:tcPr>
            <w:tcW w:w="12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0B85DEB6" w14:textId="77777777">
            <w:r>
              <w:rPr>
                <w:b/>
                <w:bCs/>
                <w:sz w:val="20"/>
                <w:szCs w:val="20"/>
              </w:rPr>
              <w:t>DM</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29BDA3F1" w14:textId="77777777">
            <w:r>
              <w:rPr>
                <w:sz w:val="20"/>
                <w:szCs w:val="20"/>
              </w:rPr>
              <w:t>Dynamic Moderation</w:t>
            </w:r>
          </w:p>
        </w:tc>
        <w:tc>
          <w:tcPr>
            <w:tcW w:w="236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6B471463" w14:textId="77777777">
            <w:pPr>
              <w:rPr>
                <w:color w:val="4EA72E" w:themeColor="accent6"/>
                <w:sz w:val="20"/>
                <w:szCs w:val="20"/>
                <w:rPrChange w:author="" w16du:dateUtc="2026-07-21T13:06:00Z" w:id="2142892865">
                  <w:rPr/>
                </w:rPrChange>
              </w:rPr>
            </w:pPr>
            <w:r w:rsidRPr="41348015" w:rsidR="589B833A">
              <w:rPr>
                <w:color w:val="4EA72E" w:themeColor="accent6" w:themeTint="FF" w:themeShade="FF"/>
                <w:sz w:val="20"/>
                <w:szCs w:val="20"/>
              </w:rPr>
              <w:t>Frequency response</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20E610E1" w14:textId="77777777">
            <w:pPr>
              <w:rPr>
                <w:color w:val="4EA72E" w:themeColor="accent6"/>
                <w:sz w:val="20"/>
                <w:szCs w:val="20"/>
                <w:rPrChange w:author="" w16du:dateUtc="2026-07-21T13:06:00Z" w:id="1873831227">
                  <w:rPr/>
                </w:rPrChange>
              </w:rPr>
            </w:pPr>
            <w:r w:rsidRPr="41348015" w:rsidR="589B833A">
              <w:rPr>
                <w:color w:val="4EA72E" w:themeColor="accent6" w:themeTint="FF" w:themeShade="FF"/>
                <w:sz w:val="20"/>
                <w:szCs w:val="20"/>
              </w:rPr>
              <w:t>High + Low frequency combined</w:t>
            </w:r>
          </w:p>
        </w:tc>
      </w:tr>
      <w:tr w:rsidR="002C3C59" w:rsidTr="41348015" w14:paraId="4C852017" w14:textId="77777777">
        <w:tc>
          <w:tcPr>
            <w:tcW w:w="12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7ECD6D0F" w14:textId="77777777">
            <w:r>
              <w:rPr>
                <w:b/>
                <w:bCs/>
                <w:sz w:val="20"/>
                <w:szCs w:val="20"/>
              </w:rPr>
              <w:t>DR</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29DDE730" w14:textId="77777777">
            <w:r>
              <w:rPr>
                <w:sz w:val="20"/>
                <w:szCs w:val="20"/>
              </w:rPr>
              <w:t>Dynamic Regulation</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40FAF753" w14:textId="77777777">
            <w:pPr>
              <w:rPr>
                <w:color w:val="4EA72E" w:themeColor="accent6"/>
                <w:sz w:val="20"/>
                <w:szCs w:val="20"/>
                <w:rPrChange w:author="" w16du:dateUtc="2026-07-21T13:06:00Z" w:id="797369534">
                  <w:rPr/>
                </w:rPrChange>
              </w:rPr>
            </w:pPr>
            <w:r w:rsidRPr="41348015" w:rsidR="589B833A">
              <w:rPr>
                <w:color w:val="4EA72E" w:themeColor="accent6" w:themeTint="FF" w:themeShade="FF"/>
                <w:sz w:val="20"/>
                <w:szCs w:val="20"/>
              </w:rPr>
              <w:t>Frequency response</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76EF11A7" w14:textId="77777777">
            <w:pPr>
              <w:rPr>
                <w:color w:val="4EA72E" w:themeColor="accent6"/>
                <w:sz w:val="20"/>
                <w:szCs w:val="20"/>
                <w:rPrChange w:author="" w16du:dateUtc="2026-07-21T13:06:00Z" w:id="1291754598">
                  <w:rPr/>
                </w:rPrChange>
              </w:rPr>
            </w:pPr>
            <w:r w:rsidRPr="41348015" w:rsidR="589B833A">
              <w:rPr>
                <w:color w:val="4EA72E" w:themeColor="accent6" w:themeTint="FF" w:themeShade="FF"/>
                <w:sz w:val="20"/>
                <w:szCs w:val="20"/>
              </w:rPr>
              <w:t>High + Low frequency combined</w:t>
            </w:r>
          </w:p>
        </w:tc>
      </w:tr>
      <w:tr w:rsidR="002C3C59" w:rsidTr="41348015" w14:paraId="44829686" w14:textId="77777777">
        <w:tc>
          <w:tcPr>
            <w:tcW w:w="12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2A2CE5E7" w14:textId="77777777">
            <w:r>
              <w:rPr>
                <w:b/>
                <w:bCs/>
                <w:sz w:val="20"/>
                <w:szCs w:val="20"/>
              </w:rPr>
              <w:t>BR</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177C96B4" w14:textId="77777777">
            <w:r>
              <w:rPr>
                <w:sz w:val="20"/>
                <w:szCs w:val="20"/>
              </w:rPr>
              <w:t>Balancing Reserve</w:t>
            </w:r>
          </w:p>
        </w:tc>
        <w:tc>
          <w:tcPr>
            <w:tcW w:w="236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21AE2B51" w14:textId="77777777">
            <w:pPr>
              <w:rPr>
                <w:color w:val="FF0000"/>
                <w:sz w:val="20"/>
                <w:szCs w:val="20"/>
                <w:rPrChange w:author="" w16du:dateUtc="2026-07-21T13:06:00Z" w:id="1580129971">
                  <w:rPr/>
                </w:rPrChange>
              </w:rPr>
            </w:pPr>
            <w:r w:rsidRPr="41348015" w:rsidR="589B833A">
              <w:rPr>
                <w:color w:val="FF0000"/>
                <w:sz w:val="20"/>
                <w:szCs w:val="20"/>
              </w:rPr>
              <w:t>Reserve services</w:t>
            </w:r>
          </w:p>
        </w:tc>
        <w:tc>
          <w:tcPr>
            <w:tcW w:w="2800" w:type="dxa"/>
            <w:tcBorders>
              <w:top w:val="single" w:color="CCCCCC" w:sz="4" w:space="0"/>
              <w:left w:val="single" w:color="CCCCCC" w:sz="4" w:space="0"/>
              <w:bottom w:val="single" w:color="CCCCCC" w:sz="4" w:space="0"/>
              <w:right w:val="single" w:color="CCCCCC" w:sz="4" w:space="0"/>
            </w:tcBorders>
            <w:shd w:val="clear" w:color="auto" w:fill="F0F4FA"/>
            <w:tcMar/>
          </w:tcPr>
          <w:p w:rsidR="002C3C59" w:rsidRDefault="001D7557" w14:paraId="31C0978C" w14:textId="77777777">
            <w:pPr>
              <w:rPr>
                <w:color w:val="FF0000"/>
                <w:sz w:val="20"/>
                <w:szCs w:val="20"/>
                <w:rPrChange w:author="" w16du:dateUtc="2026-07-21T13:06:00Z" w:id="767064542">
                  <w:rPr/>
                </w:rPrChange>
              </w:rPr>
            </w:pPr>
            <w:r w:rsidRPr="41348015" w:rsidR="589B833A">
              <w:rPr>
                <w:color w:val="FF0000"/>
                <w:sz w:val="20"/>
                <w:szCs w:val="20"/>
              </w:rPr>
              <w:t>Positive + Negative combined</w:t>
            </w:r>
          </w:p>
        </w:tc>
      </w:tr>
      <w:tr w:rsidR="002C3C59" w:rsidTr="41348015" w14:paraId="1BD24128" w14:textId="77777777">
        <w:tc>
          <w:tcPr>
            <w:tcW w:w="12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60D56327" w14:textId="77777777">
            <w:r>
              <w:rPr>
                <w:b/>
                <w:bCs/>
                <w:sz w:val="20"/>
                <w:szCs w:val="20"/>
              </w:rPr>
              <w:t>QR</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7549AC27" w14:textId="77777777">
            <w:r>
              <w:rPr>
                <w:sz w:val="20"/>
                <w:szCs w:val="20"/>
              </w:rPr>
              <w:t>Quick Reserve</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265E3DF8" w14:textId="77777777">
            <w:pPr>
              <w:rPr>
                <w:color w:val="FF0000"/>
                <w:sz w:val="20"/>
                <w:szCs w:val="20"/>
                <w:rPrChange w:author="" w16du:dateUtc="2026-07-21T13:06:00Z" w:id="647296578">
                  <w:rPr/>
                </w:rPrChange>
              </w:rPr>
            </w:pPr>
            <w:r w:rsidRPr="41348015" w:rsidR="589B833A">
              <w:rPr>
                <w:color w:val="FF0000"/>
                <w:sz w:val="20"/>
                <w:szCs w:val="20"/>
              </w:rPr>
              <w:t>Reserve services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C3C59" w:rsidRDefault="001D7557" w14:paraId="087C18DB" w14:textId="095ED524">
            <w:pPr>
              <w:rPr>
                <w:color w:val="FF0000"/>
                <w:sz w:val="20"/>
                <w:szCs w:val="20"/>
                <w:rPrChange w:author="" w16du:dateUtc="2026-07-21T13:06:00Z" w:id="587220848">
                  <w:rPr/>
                </w:rPrChange>
              </w:rPr>
            </w:pPr>
            <w:r w:rsidRPr="41348015" w:rsidR="589B833A">
              <w:rPr>
                <w:color w:val="FF0000"/>
                <w:sz w:val="20"/>
                <w:szCs w:val="20"/>
              </w:rPr>
              <w:t>Positive + Negative combine</w:t>
            </w:r>
            <w:r w:rsidRPr="41348015" w:rsidR="15D56CBE">
              <w:rPr>
                <w:color w:val="FF0000"/>
                <w:sz w:val="20"/>
                <w:szCs w:val="20"/>
              </w:rPr>
              <w:t>d</w:t>
            </w:r>
          </w:p>
        </w:tc>
      </w:tr>
    </w:tbl>
    <w:p w:rsidR="002C3C59" w:rsidRDefault="002C3C59" w14:paraId="6C1A6CD3" w14:textId="77777777">
      <w:pPr>
        <w:spacing w:after="80"/>
      </w:pPr>
    </w:p>
    <w:p w:rsidR="002C3C59" w:rsidRDefault="001D7557" w14:paraId="4CCDDDED" w14:textId="77777777">
      <w:pPr>
        <w:spacing w:after="120"/>
      </w:pPr>
      <w:r>
        <w:t>Where a revenue stream is not applicable for a given period (for example, a service had not yet launched or no assets in a peer group participated), the value is recorded as zero.</w:t>
      </w:r>
    </w:p>
    <w:p w:rsidR="002C3C59" w:rsidRDefault="5F50ECE8" w14:paraId="10C7AFEE" w14:textId="2A7F8806">
      <w:pPr>
        <w:spacing w:before="200" w:after="80"/>
      </w:pPr>
      <w:r>
        <w:rPr>
          <w:b/>
          <w:bCs/>
          <w:color w:val="444444"/>
          <w:sz w:val="24"/>
          <w:szCs w:val="24"/>
        </w:rPr>
        <w:t>8.1.2 Excluded revenue streams</w:t>
      </w:r>
    </w:p>
    <w:p w:rsidR="002C3C59" w:rsidRDefault="001D7557" w14:paraId="57B50757" w14:textId="77777777">
      <w:pPr>
        <w:spacing w:after="120"/>
      </w:pPr>
      <w:r>
        <w:t>The following revenue types are excluded from the GB benchmark, with rationale:</w:t>
      </w:r>
    </w:p>
    <w:p w:rsidR="002C3C59" w:rsidRDefault="001D7557" w14:paraId="56E77231" w14:textId="77777777">
      <w:pPr>
        <w:pStyle w:val="ListParagraph"/>
        <w:numPr>
          <w:ilvl w:val="0"/>
          <w:numId w:val="2"/>
        </w:numPr>
        <w:spacing w:after="80"/>
      </w:pPr>
      <w:r>
        <w:rPr>
          <w:b/>
          <w:bCs/>
        </w:rPr>
        <w:t>Capacity Market payments</w:t>
      </w:r>
      <w:r>
        <w:t xml:space="preserve"> — not currently included in the GB RPB.</w:t>
      </w:r>
    </w:p>
    <w:p w:rsidR="002C3C59" w:rsidRDefault="001D7557" w14:paraId="081496A0" w14:textId="77777777">
      <w:pPr>
        <w:pStyle w:val="ListParagraph"/>
        <w:numPr>
          <w:ilvl w:val="0"/>
          <w:numId w:val="2"/>
        </w:numPr>
        <w:spacing w:after="80"/>
      </w:pPr>
      <w:r>
        <w:rPr>
          <w:b/>
          <w:bCs/>
        </w:rPr>
        <w:t>Imbalance payments</w:t>
      </w:r>
      <w:r>
        <w:t xml:space="preserve"> — not currently included in the GB RPB.</w:t>
      </w:r>
    </w:p>
    <w:p w:rsidR="002C3C59" w:rsidRDefault="001D7557" w14:paraId="18E31CEB" w14:textId="77777777">
      <w:pPr>
        <w:pStyle w:val="ListParagraph"/>
        <w:numPr>
          <w:ilvl w:val="0"/>
          <w:numId w:val="2"/>
        </w:numPr>
        <w:spacing w:after="80"/>
      </w:pPr>
      <w:r>
        <w:rPr>
          <w:b/>
          <w:bCs/>
        </w:rPr>
        <w:t>Voltage and reactive power services</w:t>
      </w:r>
      <w:r>
        <w:t xml:space="preserve"> — data is not publicly available at the asset level.</w:t>
      </w:r>
    </w:p>
    <w:p w:rsidR="002C3C59" w:rsidRDefault="001D7557" w14:paraId="5BD91DF7" w14:textId="77777777">
      <w:pPr>
        <w:pStyle w:val="ListParagraph"/>
        <w:numPr>
          <w:ilvl w:val="0"/>
          <w:numId w:val="2"/>
        </w:numPr>
        <w:spacing w:after="80"/>
      </w:pPr>
      <w:r>
        <w:rPr>
          <w:b/>
          <w:bCs/>
        </w:rPr>
        <w:t>Mandatory Frequency Response (MFR)</w:t>
      </w:r>
      <w:r>
        <w:t xml:space="preserve"> — a legacy service for which granular asset-level data is not available.</w:t>
      </w:r>
    </w:p>
    <w:p w:rsidR="002C3C59" w:rsidRDefault="001D7557" w14:paraId="335F6838" w14:textId="77777777">
      <w:pPr>
        <w:pStyle w:val="ListParagraph"/>
        <w:numPr>
          <w:ilvl w:val="0"/>
          <w:numId w:val="2"/>
        </w:numPr>
        <w:spacing w:after="80"/>
      </w:pPr>
      <w:r>
        <w:rPr>
          <w:b/>
          <w:bCs/>
        </w:rPr>
        <w:t>Distribution-level flexibility markets</w:t>
      </w:r>
      <w:r>
        <w:t xml:space="preserve"> — local flexibility market data is not consistently published across regions.</w:t>
      </w:r>
    </w:p>
    <w:p w:rsidR="002C3C59" w:rsidRDefault="001D7557" w14:paraId="6E2DFDDD" w14:textId="77777777">
      <w:pPr>
        <w:pStyle w:val="ListParagraph"/>
        <w:numPr>
          <w:ilvl w:val="0"/>
          <w:numId w:val="2"/>
        </w:numPr>
        <w:spacing w:after="80"/>
      </w:pPr>
      <w:r>
        <w:rPr>
          <w:b/>
          <w:bCs/>
        </w:rPr>
        <w:t>Bilateral contracts (e.g. PPAs, tolling agreements)</w:t>
      </w:r>
      <w:r>
        <w:t xml:space="preserve"> — commercial contract terms are not publicly available.</w:t>
      </w:r>
    </w:p>
    <w:p w:rsidR="002C3C59" w:rsidRDefault="002C3C59" w14:paraId="7570F919" w14:textId="77777777">
      <w:pPr>
        <w:spacing w:after="80"/>
      </w:pPr>
    </w:p>
    <w:p w:rsidR="002C3C59" w:rsidRDefault="001D7557" w14:paraId="0A1130FE" w14:textId="77777777">
      <w:pPr>
        <w:spacing w:after="120"/>
      </w:pPr>
      <w:r>
        <w:t>Exclusions mean the benchmark reflects market earning potential from publicly visible participation only. Actual revenues realised by individual assets may differ.</w:t>
      </w:r>
    </w:p>
    <w:p w:rsidR="00294D2A" w:rsidP="00DC6995" w:rsidRDefault="007D5FF1" w14:paraId="1F1D0E02" w14:textId="77777777">
      <w:pPr>
        <w:rPr>
          <w:b/>
          <w:bCs/>
          <w:color w:val="2E5FA3"/>
          <w:sz w:val="28"/>
          <w:szCs w:val="28"/>
        </w:rPr>
      </w:pPr>
      <w:r>
        <w:rPr>
          <w:b/>
          <w:bCs/>
          <w:color w:val="2E5FA3"/>
          <w:sz w:val="28"/>
          <w:szCs w:val="28"/>
        </w:rPr>
        <w:tab/>
      </w:r>
    </w:p>
    <w:p w:rsidR="00294D2A" w:rsidP="00DC6995" w:rsidRDefault="00294D2A" w14:paraId="341B2AB7" w14:textId="77777777">
      <w:pPr>
        <w:rPr>
          <w:b/>
          <w:bCs/>
          <w:color w:val="2E5FA3"/>
          <w:sz w:val="28"/>
          <w:szCs w:val="28"/>
        </w:rPr>
      </w:pPr>
    </w:p>
    <w:p w:rsidR="00294D2A" w:rsidP="00DC6995" w:rsidRDefault="00294D2A" w14:paraId="3C1935A4" w14:textId="77777777">
      <w:pPr>
        <w:rPr>
          <w:b/>
          <w:bCs/>
          <w:color w:val="2E5FA3"/>
          <w:sz w:val="28"/>
          <w:szCs w:val="28"/>
        </w:rPr>
      </w:pPr>
    </w:p>
    <w:p w:rsidR="00294D2A" w:rsidP="00DC6995" w:rsidRDefault="00294D2A" w14:paraId="5AE66687" w14:textId="77777777">
      <w:pPr>
        <w:rPr>
          <w:b/>
          <w:bCs/>
          <w:color w:val="2E5FA3"/>
          <w:sz w:val="28"/>
          <w:szCs w:val="28"/>
        </w:rPr>
      </w:pPr>
    </w:p>
    <w:p w:rsidR="00294D2A" w:rsidP="00DC6995" w:rsidRDefault="00294D2A" w14:paraId="72CEF938" w14:textId="77777777">
      <w:pPr>
        <w:rPr>
          <w:b/>
          <w:bCs/>
          <w:color w:val="2E5FA3"/>
          <w:sz w:val="28"/>
          <w:szCs w:val="28"/>
        </w:rPr>
      </w:pPr>
    </w:p>
    <w:p w:rsidR="00294D2A" w:rsidP="00DC6995" w:rsidRDefault="00294D2A" w14:paraId="53B4940B" w14:textId="77777777">
      <w:pPr>
        <w:rPr>
          <w:b/>
          <w:bCs/>
          <w:color w:val="2E5FA3"/>
          <w:sz w:val="28"/>
          <w:szCs w:val="28"/>
        </w:rPr>
      </w:pPr>
    </w:p>
    <w:p w:rsidR="00414CC0" w:rsidP="41348015" w:rsidRDefault="007326D6" w14:paraId="22F82DE3" w14:textId="6A268158">
      <w:pPr>
        <w:pStyle w:val="Normal"/>
        <w:spacing w:before="320" w:after="120"/>
      </w:pPr>
      <w:r w:rsidRPr="41348015" w:rsidR="1D3B8275">
        <w:rPr>
          <w:b w:val="1"/>
          <w:bCs w:val="1"/>
          <w:color w:val="2E5FA3"/>
          <w:sz w:val="28"/>
          <w:szCs w:val="28"/>
        </w:rPr>
        <w:t>8.2 Italy</w:t>
      </w:r>
    </w:p>
    <w:p w:rsidR="00414CC0" w:rsidRDefault="007326D6" w14:paraId="26052E50" w14:textId="77777777">
      <w:pPr>
        <w:spacing w:before="200" w:after="80"/>
      </w:pPr>
      <w:r>
        <w:rPr>
          <w:b/>
          <w:bCs/>
          <w:color w:val="444444"/>
          <w:sz w:val="24"/>
          <w:szCs w:val="24"/>
        </w:rPr>
        <w:t>8.2.1 Included revenue streams</w:t>
      </w:r>
    </w:p>
    <w:p w:rsidR="00414CC0" w:rsidRDefault="007326D6" w14:paraId="2FCE8C87" w14:textId="77777777">
      <w:pPr>
        <w:spacing w:after="120"/>
      </w:pPr>
      <w:r>
        <w:t>The Italian benchmark decomposes revenue across the following market revenue streams, spanning the day-ahead, intraday and ancillary services / balancing markets.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2600"/>
        <w:gridCol w:w="2600"/>
        <w:gridCol w:w="2760"/>
      </w:tblGrid>
      <w:tr w:rsidR="00414CC0" w14:paraId="5110BC54" w14:textId="77777777">
        <w:trPr>
          <w:tblHeader/>
        </w:trPr>
        <w:tc>
          <w:tcPr>
            <w:tcW w:w="140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21F1EC3D" w14:textId="77777777">
            <w:r>
              <w:rPr>
                <w:b/>
                <w:bCs/>
                <w:color w:val="FFFFFF"/>
                <w:sz w:val="20"/>
                <w:szCs w:val="20"/>
              </w:rPr>
              <w:t>Code</w:t>
            </w:r>
          </w:p>
        </w:tc>
        <w:tc>
          <w:tcPr>
            <w:tcW w:w="260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5900A7CA" w14:textId="77777777">
            <w:r>
              <w:rPr>
                <w:b/>
                <w:bCs/>
                <w:color w:val="FFFFFF"/>
                <w:sz w:val="20"/>
                <w:szCs w:val="20"/>
              </w:rPr>
              <w:t>Revenue stream</w:t>
            </w:r>
          </w:p>
        </w:tc>
        <w:tc>
          <w:tcPr>
            <w:tcW w:w="260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0931E31A" w14:textId="77777777">
            <w:r>
              <w:rPr>
                <w:b/>
                <w:bCs/>
                <w:color w:val="FFFFFF"/>
                <w:sz w:val="20"/>
                <w:szCs w:val="20"/>
              </w:rPr>
              <w:t>Market mechanism</w:t>
            </w:r>
          </w:p>
        </w:tc>
        <w:tc>
          <w:tcPr>
            <w:tcW w:w="276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59E21371" w14:textId="77777777">
            <w:r>
              <w:rPr>
                <w:b/>
                <w:bCs/>
                <w:color w:val="FFFFFF"/>
                <w:sz w:val="20"/>
                <w:szCs w:val="20"/>
              </w:rPr>
              <w:t>Notes</w:t>
            </w:r>
          </w:p>
        </w:tc>
      </w:tr>
      <w:tr w:rsidR="00414CC0" w14:paraId="0E475D4C"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A15BA09" w14:textId="77777777">
            <w:r>
              <w:rPr>
                <w:b/>
                <w:bCs/>
                <w:sz w:val="20"/>
                <w:szCs w:val="20"/>
              </w:rPr>
              <w:t>MGP</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7E8EA4BC" w14:textId="77777777">
            <w:r>
              <w:rPr>
                <w:sz w:val="20"/>
                <w:szCs w:val="20"/>
              </w:rPr>
              <w:t>Day-Ahead Market</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4152CCB6" w14:textId="6DCC4E6B">
            <w:r>
              <w:rPr>
                <w:sz w:val="20"/>
                <w:szCs w:val="20"/>
              </w:rPr>
              <w:t>Day-ahead</w:t>
            </w:r>
          </w:p>
        </w:tc>
        <w:tc>
          <w:tcPr>
            <w:tcW w:w="27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414CC0" w14:paraId="20844B3E" w14:textId="55B6D3EA"/>
        </w:tc>
      </w:tr>
      <w:tr w:rsidR="00F95237" w:rsidTr="00FB100F" w14:paraId="404612AE"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62D2E2EE" w14:textId="77777777">
            <w:r w:rsidRPr="007E0477">
              <w:rPr>
                <w:b/>
                <w:bCs/>
                <w:sz w:val="20"/>
                <w:szCs w:val="20"/>
              </w:rPr>
              <w:t>MI-A1</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4F58B8C0" w14:textId="77777777">
            <w:r w:rsidRPr="007E0477">
              <w:rPr>
                <w:sz w:val="20"/>
                <w:szCs w:val="20"/>
              </w:rPr>
              <w:t>Intraday Auction 1</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19B473FF" w14:textId="3EB61657">
            <w:r w:rsidRPr="007E0477">
              <w:rPr>
                <w:sz w:val="20"/>
                <w:szCs w:val="20"/>
              </w:rPr>
              <w:t>Intraday auction</w:t>
            </w:r>
          </w:p>
        </w:tc>
        <w:tc>
          <w:tcPr>
            <w:tcW w:w="2760" w:type="dxa"/>
            <w:vMerge w:val="restart"/>
            <w:tcBorders>
              <w:top w:val="single" w:color="CCCCCC" w:sz="4" w:space="0"/>
              <w:left w:val="single" w:color="CCCCCC" w:sz="4" w:space="0"/>
              <w:right w:val="single" w:color="CCCCCC" w:sz="4" w:space="0"/>
            </w:tcBorders>
            <w:shd w:val="clear" w:color="auto" w:fill="F0F4FA"/>
          </w:tcPr>
          <w:p w:rsidRPr="00DD19F5" w:rsidR="00F95237" w:rsidRDefault="00F95237" w14:paraId="3AD2B3BC" w14:textId="495A8DEE">
            <w:pPr>
              <w:rPr>
                <w:sz w:val="20"/>
                <w:szCs w:val="20"/>
                <w:lang w:val="en-US"/>
              </w:rPr>
            </w:pPr>
            <w:r w:rsidRPr="00DD19F5">
              <w:rPr>
                <w:sz w:val="20"/>
                <w:szCs w:val="20"/>
              </w:rPr>
              <w:t>Aggregated in</w:t>
            </w:r>
            <w:r w:rsidRPr="00DD19F5" w:rsidR="000054F2">
              <w:rPr>
                <w:sz w:val="20"/>
                <w:szCs w:val="20"/>
              </w:rPr>
              <w:t>to the</w:t>
            </w:r>
            <w:r w:rsidRPr="00DD19F5">
              <w:rPr>
                <w:sz w:val="20"/>
                <w:szCs w:val="20"/>
              </w:rPr>
              <w:t xml:space="preserve"> </w:t>
            </w:r>
            <w:r w:rsidRPr="00DD19F5">
              <w:rPr>
                <w:b/>
                <w:bCs/>
                <w:sz w:val="20"/>
                <w:szCs w:val="20"/>
              </w:rPr>
              <w:t xml:space="preserve">MI </w:t>
            </w:r>
            <w:r w:rsidRPr="00DD19F5">
              <w:rPr>
                <w:b/>
                <w:bCs/>
                <w:sz w:val="20"/>
                <w:szCs w:val="20"/>
                <w:lang w:val="en-US"/>
              </w:rPr>
              <w:t>(intraday market- auctions)</w:t>
            </w:r>
            <w:r w:rsidRPr="00DD19F5">
              <w:rPr>
                <w:sz w:val="20"/>
                <w:szCs w:val="20"/>
                <w:lang w:val="en-US"/>
              </w:rPr>
              <w:t xml:space="preserve"> revenue stream</w:t>
            </w:r>
          </w:p>
        </w:tc>
      </w:tr>
      <w:tr w:rsidR="00F95237" w:rsidTr="00FB100F" w14:paraId="0E35297D"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5B477FD1" w14:textId="77777777">
            <w:r w:rsidRPr="007E0477">
              <w:rPr>
                <w:b/>
                <w:bCs/>
                <w:sz w:val="20"/>
                <w:szCs w:val="20"/>
              </w:rPr>
              <w:t>MI-A2</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60FF5043" w14:textId="77777777">
            <w:r w:rsidRPr="007E0477">
              <w:rPr>
                <w:sz w:val="20"/>
                <w:szCs w:val="20"/>
              </w:rPr>
              <w:t>Intraday Auction 2</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3DB7044A" w14:textId="6A83D348">
            <w:r w:rsidRPr="007E0477">
              <w:rPr>
                <w:sz w:val="20"/>
                <w:szCs w:val="20"/>
              </w:rPr>
              <w:t>Intraday auction</w:t>
            </w:r>
          </w:p>
        </w:tc>
        <w:tc>
          <w:tcPr>
            <w:tcW w:w="2760" w:type="dxa"/>
            <w:vMerge/>
            <w:tcBorders>
              <w:left w:val="single" w:color="CCCCCC" w:sz="4" w:space="0"/>
              <w:right w:val="single" w:color="CCCCCC" w:sz="4" w:space="0"/>
            </w:tcBorders>
            <w:shd w:val="clear" w:color="auto" w:fill="F0F4FA"/>
          </w:tcPr>
          <w:p w:rsidR="00F95237" w:rsidRDefault="00F95237" w14:paraId="312C5E94" w14:textId="4D75AE8D"/>
        </w:tc>
      </w:tr>
      <w:tr w:rsidR="00F95237" w:rsidTr="00FB100F" w14:paraId="5E76A1A5"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28854C18" w14:textId="77777777">
            <w:r w:rsidRPr="007E0477">
              <w:rPr>
                <w:b/>
                <w:bCs/>
                <w:sz w:val="20"/>
                <w:szCs w:val="20"/>
              </w:rPr>
              <w:t>MI-A3</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1CC50A97" w14:textId="77777777">
            <w:r w:rsidRPr="007E0477">
              <w:rPr>
                <w:sz w:val="20"/>
                <w:szCs w:val="20"/>
              </w:rPr>
              <w:t>Intraday Auction 3</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7E0477" w:rsidR="00F95237" w:rsidRDefault="00F95237" w14:paraId="4E33FC7A" w14:textId="5E4D5C87">
            <w:r w:rsidRPr="007E0477">
              <w:rPr>
                <w:sz w:val="20"/>
                <w:szCs w:val="20"/>
              </w:rPr>
              <w:t>Intraday auction</w:t>
            </w:r>
          </w:p>
        </w:tc>
        <w:tc>
          <w:tcPr>
            <w:tcW w:w="2760" w:type="dxa"/>
            <w:vMerge/>
            <w:tcBorders>
              <w:left w:val="single" w:color="CCCCCC" w:sz="4" w:space="0"/>
              <w:bottom w:val="single" w:color="CCCCCC" w:sz="4" w:space="0"/>
              <w:right w:val="single" w:color="CCCCCC" w:sz="4" w:space="0"/>
            </w:tcBorders>
            <w:shd w:val="clear" w:color="auto" w:fill="F0F4FA"/>
          </w:tcPr>
          <w:p w:rsidR="00F95237" w:rsidRDefault="00F95237" w14:paraId="3B69A1F2" w14:textId="36B6478B"/>
        </w:tc>
      </w:tr>
      <w:tr w:rsidR="00414CC0" w14:paraId="1FBD0113"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82423E4" w14:textId="77777777">
            <w:r>
              <w:rPr>
                <w:b/>
                <w:bCs/>
                <w:sz w:val="20"/>
                <w:szCs w:val="20"/>
              </w:rPr>
              <w:t>XBID</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6D819959" w14:textId="77777777">
            <w:r>
              <w:rPr>
                <w:sz w:val="20"/>
                <w:szCs w:val="20"/>
              </w:rPr>
              <w:t>Intraday Continuous</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1FE4DC07" w14:textId="77777777">
            <w:r>
              <w:rPr>
                <w:sz w:val="20"/>
                <w:szCs w:val="20"/>
              </w:rPr>
              <w:t>Intraday continuous trading</w:t>
            </w:r>
          </w:p>
        </w:tc>
        <w:tc>
          <w:tcPr>
            <w:tcW w:w="27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414CC0" w14:paraId="29D9B337" w14:textId="09E35DB1"/>
        </w:tc>
      </w:tr>
      <w:tr w:rsidR="00414CC0" w14:paraId="203CD36F"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30DF034E" w14:textId="77777777">
            <w:r>
              <w:rPr>
                <w:b/>
                <w:bCs/>
                <w:sz w:val="20"/>
                <w:szCs w:val="20"/>
              </w:rPr>
              <w:t>MSD</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768E9329" w14:textId="77777777">
            <w:r>
              <w:rPr>
                <w:sz w:val="20"/>
                <w:szCs w:val="20"/>
              </w:rPr>
              <w:t>Ancillary Services ex-ante</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56B08534" w14:textId="77777777">
            <w:r>
              <w:rPr>
                <w:sz w:val="20"/>
                <w:szCs w:val="20"/>
              </w:rPr>
              <w:t>Dispatching services</w:t>
            </w:r>
          </w:p>
        </w:tc>
        <w:tc>
          <w:tcPr>
            <w:tcW w:w="27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414CC0" w14:paraId="4CF2F8BA" w14:textId="728DF9A2"/>
        </w:tc>
      </w:tr>
      <w:tr w:rsidR="00414CC0" w14:paraId="009CDD8F"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58881753" w14:textId="77777777">
            <w:r>
              <w:rPr>
                <w:b/>
                <w:bCs/>
                <w:sz w:val="20"/>
                <w:szCs w:val="20"/>
              </w:rPr>
              <w:t>MB</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77F3A85C" w14:textId="77777777">
            <w:r>
              <w:rPr>
                <w:sz w:val="20"/>
                <w:szCs w:val="20"/>
              </w:rPr>
              <w:t>Balancing Market</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598ED020" w14:textId="77777777">
            <w:r>
              <w:rPr>
                <w:sz w:val="20"/>
                <w:szCs w:val="20"/>
              </w:rPr>
              <w:t>Balancing</w:t>
            </w:r>
          </w:p>
        </w:tc>
        <w:tc>
          <w:tcPr>
            <w:tcW w:w="2760" w:type="dxa"/>
            <w:tcBorders>
              <w:top w:val="single" w:color="CCCCCC" w:sz="4" w:space="0"/>
              <w:left w:val="single" w:color="CCCCCC" w:sz="4" w:space="0"/>
              <w:bottom w:val="single" w:color="CCCCCC" w:sz="4" w:space="0"/>
              <w:right w:val="single" w:color="CCCCCC" w:sz="4" w:space="0"/>
            </w:tcBorders>
            <w:shd w:val="clear" w:color="auto" w:fill="F0F4FA"/>
          </w:tcPr>
          <w:p w:rsidRPr="00DD19F5" w:rsidR="00414CC0" w:rsidRDefault="0085153E" w14:paraId="56D33B75" w14:textId="25B15782">
            <w:pPr>
              <w:rPr>
                <w:sz w:val="20"/>
                <w:szCs w:val="20"/>
                <w:lang w:val="en-US"/>
              </w:rPr>
            </w:pPr>
            <w:r w:rsidRPr="00DD19F5">
              <w:rPr>
                <w:sz w:val="20"/>
                <w:szCs w:val="20"/>
                <w:lang w:val="en-US"/>
              </w:rPr>
              <w:t>Asset-specific trading data is published with an approximate two-month delay.</w:t>
            </w:r>
          </w:p>
        </w:tc>
      </w:tr>
      <w:tr w:rsidR="009115D1" w14:paraId="24751C81" w14:textId="77777777">
        <w:tc>
          <w:tcPr>
            <w:tcW w:w="1400" w:type="dxa"/>
            <w:tcBorders>
              <w:top w:val="single" w:color="CCCCCC" w:sz="4" w:space="0"/>
              <w:left w:val="single" w:color="CCCCCC" w:sz="4" w:space="0"/>
              <w:bottom w:val="single" w:color="CCCCCC" w:sz="4" w:space="0"/>
              <w:right w:val="single" w:color="CCCCCC" w:sz="4" w:space="0"/>
            </w:tcBorders>
            <w:shd w:val="clear" w:color="auto" w:fill="F0F4FA"/>
          </w:tcPr>
          <w:p w:rsidR="009115D1" w:rsidRDefault="009115D1" w14:paraId="17CC2BE3" w14:textId="6D755133">
            <w:pPr>
              <w:rPr>
                <w:b/>
                <w:bCs/>
                <w:sz w:val="20"/>
                <w:szCs w:val="20"/>
              </w:rPr>
            </w:pPr>
            <w:r>
              <w:rPr>
                <w:b/>
                <w:bCs/>
                <w:sz w:val="20"/>
                <w:szCs w:val="20"/>
              </w:rPr>
              <w:t>aFRR</w:t>
            </w:r>
            <w:r w:rsidR="004D331B">
              <w:rPr>
                <w:b/>
                <w:bCs/>
                <w:sz w:val="20"/>
                <w:szCs w:val="20"/>
              </w:rPr>
              <w:t xml:space="preserve"> energy</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917372" w:rsidR="009115D1" w:rsidRDefault="00917372" w14:paraId="0EBC6508" w14:textId="0E61B36B">
            <w:pPr>
              <w:rPr>
                <w:sz w:val="20"/>
                <w:szCs w:val="20"/>
                <w:lang w:val="en-US"/>
              </w:rPr>
            </w:pPr>
            <w:r w:rsidRPr="00917372">
              <w:rPr>
                <w:sz w:val="20"/>
                <w:szCs w:val="20"/>
                <w:lang w:val="en-US"/>
              </w:rPr>
              <w:t>Automatic Frequency Restoration Reserve</w:t>
            </w:r>
          </w:p>
        </w:tc>
        <w:tc>
          <w:tcPr>
            <w:tcW w:w="2600" w:type="dxa"/>
            <w:tcBorders>
              <w:top w:val="single" w:color="CCCCCC" w:sz="4" w:space="0"/>
              <w:left w:val="single" w:color="CCCCCC" w:sz="4" w:space="0"/>
              <w:bottom w:val="single" w:color="CCCCCC" w:sz="4" w:space="0"/>
              <w:right w:val="single" w:color="CCCCCC" w:sz="4" w:space="0"/>
            </w:tcBorders>
            <w:shd w:val="clear" w:color="auto" w:fill="F0F4FA"/>
          </w:tcPr>
          <w:p w:rsidRPr="00091B68" w:rsidR="00091B68" w:rsidP="00091B68" w:rsidRDefault="00091B68" w14:paraId="09529FED" w14:textId="24E0C309">
            <w:pPr>
              <w:rPr>
                <w:sz w:val="20"/>
                <w:szCs w:val="20"/>
                <w:lang w:val="en-US"/>
              </w:rPr>
            </w:pPr>
            <w:r w:rsidRPr="00091B68">
              <w:rPr>
                <w:sz w:val="20"/>
                <w:szCs w:val="20"/>
                <w:lang w:val="en-US"/>
              </w:rPr>
              <w:t xml:space="preserve">Balancing </w:t>
            </w:r>
          </w:p>
          <w:p w:rsidR="009115D1" w:rsidRDefault="009115D1" w14:paraId="6C7C94E8" w14:textId="77777777">
            <w:pPr>
              <w:rPr>
                <w:sz w:val="20"/>
                <w:szCs w:val="20"/>
              </w:rPr>
            </w:pPr>
          </w:p>
        </w:tc>
        <w:tc>
          <w:tcPr>
            <w:tcW w:w="2760" w:type="dxa"/>
            <w:tcBorders>
              <w:top w:val="single" w:color="CCCCCC" w:sz="4" w:space="0"/>
              <w:left w:val="single" w:color="CCCCCC" w:sz="4" w:space="0"/>
              <w:bottom w:val="single" w:color="CCCCCC" w:sz="4" w:space="0"/>
              <w:right w:val="single" w:color="CCCCCC" w:sz="4" w:space="0"/>
            </w:tcBorders>
            <w:shd w:val="clear" w:color="auto" w:fill="F0F4FA"/>
          </w:tcPr>
          <w:p w:rsidRPr="00DD19F5" w:rsidR="0085153E" w:rsidP="0085153E" w:rsidRDefault="004D331B" w14:paraId="0D5088F2" w14:textId="77777777">
            <w:pPr>
              <w:rPr>
                <w:sz w:val="20"/>
                <w:szCs w:val="20"/>
              </w:rPr>
            </w:pPr>
            <w:r w:rsidRPr="00DD19F5">
              <w:rPr>
                <w:sz w:val="20"/>
                <w:szCs w:val="20"/>
              </w:rPr>
              <w:t>PICASSO EU platform</w:t>
            </w:r>
            <w:r w:rsidRPr="00DD19F5" w:rsidR="00B63795">
              <w:rPr>
                <w:sz w:val="20"/>
                <w:szCs w:val="20"/>
              </w:rPr>
              <w:t xml:space="preserve">. </w:t>
            </w:r>
          </w:p>
          <w:p w:rsidRPr="00DD19F5" w:rsidR="009115D1" w:rsidRDefault="0085153E" w14:paraId="0269808C" w14:textId="42D29013">
            <w:pPr>
              <w:rPr>
                <w:sz w:val="20"/>
                <w:szCs w:val="20"/>
                <w:lang w:val="en-US"/>
              </w:rPr>
            </w:pPr>
            <w:r w:rsidRPr="00DD19F5">
              <w:rPr>
                <w:sz w:val="20"/>
                <w:szCs w:val="20"/>
                <w:lang w:val="en-US"/>
              </w:rPr>
              <w:t>Asset-specific trading data is published with an approximate two-month delay.</w:t>
            </w:r>
          </w:p>
        </w:tc>
      </w:tr>
    </w:tbl>
    <w:p w:rsidR="007E0477" w:rsidP="41348015" w:rsidRDefault="007E0477" w14:paraId="78DEF37A" w14:textId="42382005">
      <w:pPr>
        <w:pStyle w:val="Normal"/>
        <w:spacing w:before="200" w:after="120"/>
      </w:pPr>
    </w:p>
    <w:p w:rsidR="00414CC0" w:rsidRDefault="007326D6" w14:paraId="37004F26" w14:textId="00F9592E">
      <w:pPr>
        <w:spacing w:before="200" w:after="80"/>
      </w:pPr>
      <w:r>
        <w:rPr>
          <w:b/>
          <w:bCs/>
          <w:color w:val="444444"/>
          <w:sz w:val="24"/>
          <w:szCs w:val="24"/>
        </w:rPr>
        <w:t>8.2.2 Excluded revenue streams</w:t>
      </w:r>
    </w:p>
    <w:p w:rsidR="00414CC0" w:rsidRDefault="007326D6" w14:paraId="21E92EE0" w14:textId="77777777">
      <w:pPr>
        <w:spacing w:after="120"/>
      </w:pPr>
      <w:r>
        <w:t>The following revenue types are excluded from the Italian benchmark, with rationale:</w:t>
      </w:r>
    </w:p>
    <w:p w:rsidR="00414CC0" w:rsidRDefault="007326D6" w14:paraId="09B7FCE1" w14:textId="4EF581DD">
      <w:pPr>
        <w:pStyle w:val="ListParagraph"/>
        <w:numPr>
          <w:ilvl w:val="0"/>
          <w:numId w:val="2"/>
        </w:numPr>
        <w:spacing w:after="80"/>
      </w:pPr>
      <w:r>
        <w:rPr>
          <w:b/>
          <w:bCs/>
        </w:rPr>
        <w:t>Capacity Market payments</w:t>
      </w:r>
      <w:r>
        <w:t xml:space="preserve"> — not currently included in the IT RPB.</w:t>
      </w:r>
    </w:p>
    <w:p w:rsidR="00414CC0" w:rsidRDefault="007326D6" w14:paraId="578E9F16" w14:textId="77777777">
      <w:pPr>
        <w:pStyle w:val="ListParagraph"/>
        <w:numPr>
          <w:ilvl w:val="0"/>
          <w:numId w:val="2"/>
        </w:numPr>
        <w:spacing w:after="80"/>
      </w:pPr>
      <w:r>
        <w:rPr>
          <w:b/>
          <w:bCs/>
        </w:rPr>
        <w:t>Fast Reserve</w:t>
      </w:r>
      <w:r>
        <w:t xml:space="preserve"> — not currently included in the IT RPB.</w:t>
      </w:r>
    </w:p>
    <w:p w:rsidR="00414CC0" w:rsidRDefault="007326D6" w14:paraId="1579E756" w14:textId="53BEDBDB">
      <w:pPr>
        <w:pStyle w:val="ListParagraph"/>
        <w:numPr>
          <w:ilvl w:val="0"/>
          <w:numId w:val="2"/>
        </w:numPr>
        <w:spacing w:after="80"/>
      </w:pPr>
      <w:r>
        <w:rPr>
          <w:b/>
          <w:bCs/>
        </w:rPr>
        <w:t>Imbalance settlement (</w:t>
      </w:r>
      <w:r w:rsidRPr="006F7335">
        <w:rPr>
          <w:b/>
          <w:bCs/>
          <w:i/>
          <w:iCs/>
        </w:rPr>
        <w:t>sbilanciamenti</w:t>
      </w:r>
      <w:r>
        <w:rPr>
          <w:b/>
          <w:bCs/>
        </w:rPr>
        <w:t>)</w:t>
      </w:r>
    </w:p>
    <w:p w:rsidR="001632F3" w:rsidP="001632F3" w:rsidRDefault="007326D6" w14:paraId="5172E76B" w14:textId="0693C79C">
      <w:pPr>
        <w:pStyle w:val="ListParagraph"/>
        <w:numPr>
          <w:ilvl w:val="0"/>
          <w:numId w:val="2"/>
        </w:numPr>
        <w:spacing w:after="80"/>
      </w:pPr>
      <w:r>
        <w:rPr>
          <w:b/>
          <w:bCs/>
        </w:rPr>
        <w:t>Bilateral contracts (e.g. PPAs, tolling agreements)</w:t>
      </w:r>
      <w:r>
        <w:t xml:space="preserve"> </w:t>
      </w:r>
    </w:p>
    <w:p w:rsidR="001632F3" w:rsidP="001632F3" w:rsidRDefault="001632F3" w14:paraId="0D603A44" w14:textId="77777777">
      <w:pPr>
        <w:pStyle w:val="ListParagraph"/>
        <w:spacing w:after="80"/>
        <w:ind w:left="720"/>
      </w:pPr>
    </w:p>
    <w:p w:rsidR="00414CC0" w:rsidRDefault="007326D6" w14:paraId="210DEBB5" w14:textId="77777777">
      <w:pPr>
        <w:spacing w:after="120"/>
      </w:pPr>
      <w:r>
        <w:t>Exclusions mean the benchmark reflects market earning potential from publicly visible participation only. Actual revenues realised by individual assets may differ.</w:t>
      </w:r>
    </w:p>
    <w:p w:rsidR="00DC6995" w:rsidRDefault="00DC6995" w14:paraId="0532EFD0" w14:textId="77777777">
      <w:pPr>
        <w:spacing w:after="120"/>
      </w:pPr>
    </w:p>
    <w:p w:rsidR="002C3C59" w:rsidRDefault="34AECB6C" w14:paraId="5AAFE9FE" w14:textId="5AE3D5B7">
      <w:pPr>
        <w:pBdr>
          <w:bottom w:val="single" w:color="1B3A6B" w:sz="8" w:space="0"/>
        </w:pBdr>
        <w:spacing w:before="480" w:after="160"/>
      </w:pPr>
      <w:r>
        <w:rPr>
          <w:b/>
          <w:bCs/>
          <w:color w:val="1B3A6B"/>
          <w:sz w:val="36"/>
          <w:szCs w:val="36"/>
        </w:rPr>
        <w:t>9. Calculation Methodology</w:t>
      </w:r>
    </w:p>
    <w:p w:rsidR="002C3C59" w:rsidRDefault="001D7557" w14:paraId="29B0A957" w14:textId="77777777">
      <w:pPr>
        <w:pBdr>
          <w:left w:val="single" w:color="D97706" w:sz="20" w:space="0"/>
        </w:pBdr>
        <w:shd w:val="clear" w:color="auto" w:fill="FFF4E5"/>
        <w:spacing w:after="200"/>
        <w:ind w:left="180"/>
      </w:pPr>
      <w:r>
        <w:rPr>
          <w:i/>
          <w:iCs/>
          <w:color w:val="D97706"/>
          <w:sz w:val="18"/>
          <w:szCs w:val="18"/>
        </w:rPr>
        <w:t>🗺️  COUNTRY-SPECIFIC — complete separately for each market</w:t>
      </w:r>
    </w:p>
    <w:p w:rsidR="002C3C59" w:rsidRDefault="3D358A03" w14:paraId="795D2FF1" w14:textId="59A7A539">
      <w:pPr>
        <w:spacing w:before="320" w:after="120"/>
      </w:pPr>
      <w:r>
        <w:rPr>
          <w:b/>
          <w:bCs/>
          <w:color w:val="2E5FA3"/>
          <w:sz w:val="28"/>
          <w:szCs w:val="28"/>
        </w:rPr>
        <w:t>9.1 Great Britain</w:t>
      </w:r>
    </w:p>
    <w:p w:rsidR="002C3C59" w:rsidRDefault="1E421099" w14:paraId="07051961" w14:textId="3C0637DD">
      <w:pPr>
        <w:spacing w:before="200" w:after="80"/>
      </w:pPr>
      <w:r>
        <w:rPr>
          <w:b/>
          <w:bCs/>
          <w:color w:val="444444"/>
          <w:sz w:val="24"/>
          <w:szCs w:val="24"/>
        </w:rPr>
        <w:t>9.1.1 Core calculation principle</w:t>
      </w:r>
    </w:p>
    <w:p w:rsidR="002C3C59" w:rsidRDefault="001D7557" w14:paraId="69AB5635" w14:textId="77777777">
      <w:pPr>
        <w:spacing w:after="120"/>
      </w:pPr>
      <w:r>
        <w:t>All revenue streams follow a consistent three-step approach: (1) compute cashflow from raw market data for each settlement period, (2) aggregate cashflows to monthly totals, and (3) normalise by the sum of installed capacities across all active BMUs in the relevant peer group for that month.</w:t>
      </w:r>
    </w:p>
    <w:p w:rsidR="002C3C59" w:rsidRDefault="7C474F8F" w14:paraId="6D172364" w14:textId="3C12A003">
      <w:pPr>
        <w:spacing w:before="200" w:after="80"/>
      </w:pPr>
      <w:r>
        <w:rPr>
          <w:b/>
          <w:bCs/>
          <w:color w:val="444444"/>
          <w:sz w:val="24"/>
          <w:szCs w:val="24"/>
        </w:rPr>
        <w:t>9.1.2 Wholesale Market (</w:t>
      </w:r>
      <w:commentRangeStart w:id="61"/>
      <w:r>
        <w:rPr>
          <w:b/>
          <w:bCs/>
          <w:color w:val="444444"/>
          <w:sz w:val="24"/>
          <w:szCs w:val="24"/>
        </w:rPr>
        <w:t>WM</w:t>
      </w:r>
      <w:commentRangeEnd w:id="61"/>
      <w:r>
        <w:rPr>
          <w:rStyle w:val="CommentReference"/>
          <w:b/>
          <w:bCs/>
          <w:color w:val="444444"/>
          <w:sz w:val="24"/>
          <w:szCs w:val="24"/>
        </w:rPr>
        <w:commentReference w:id="61"/>
      </w:r>
      <w:r>
        <w:rPr>
          <w:b/>
          <w:bCs/>
          <w:color w:val="444444"/>
          <w:sz w:val="24"/>
          <w:szCs w:val="24"/>
        </w:rPr>
        <w:t>)</w:t>
      </w:r>
    </w:p>
    <w:p w:rsidR="002C3C59" w:rsidRDefault="001D7557" w14:paraId="2BB5A200" w14:textId="77777777">
      <w:pPr>
        <w:spacing w:after="120"/>
      </w:pPr>
      <w:r>
        <w:lastRenderedPageBreak/>
        <w:t>Wholesale revenue is derived from the Final Physical Notification (FPN) — the last physical position declared by the asset before gate closure — priced against the wholesale market index.</w:t>
      </w:r>
    </w:p>
    <w:p w:rsidR="002C3C59" w:rsidRDefault="001D7557" w14:paraId="7214986A" w14:textId="77777777">
      <w:pPr>
        <w:spacing w:after="120"/>
      </w:pPr>
      <w:r>
        <w:rPr>
          <w:b/>
          <w:bCs/>
          <w:i/>
          <w:iCs/>
        </w:rPr>
        <w:t>Cashflow (£) = FPN (MW) × Wholesale Price (£/MWh) × 0.5</w:t>
      </w:r>
    </w:p>
    <w:p w:rsidR="002C3C59" w:rsidRDefault="001D7557" w14:paraId="1B28001D" w14:textId="77777777">
      <w:pPr>
        <w:spacing w:after="120"/>
      </w:pPr>
      <w:r>
        <w:t>The 0.5 factor converts the half-hourly settlement period to an energy quantity (MW × 0.5h = MWh). Monthly revenue per MW is then:</w:t>
      </w:r>
    </w:p>
    <w:p w:rsidR="002C3C59" w:rsidRDefault="001D7557" w14:paraId="689917B3" w14:textId="443BF93B">
      <w:pPr>
        <w:spacing w:after="120"/>
      </w:pPr>
      <w:r>
        <w:rPr>
          <w:b/>
          <w:bCs/>
          <w:i/>
          <w:iCs/>
        </w:rPr>
        <w:t>WM Revenue (£/MW) = Σ Cashflow / Σ Installed Capacity</w:t>
      </w:r>
    </w:p>
    <w:p w:rsidR="002C3C59" w:rsidRDefault="001D7557" w14:paraId="542F0C96" w14:textId="77777777">
      <w:pPr>
        <w:spacing w:after="120"/>
      </w:pPr>
      <w:r>
        <w:t>Where the denominator is the sum of installed capacities of all unique BMUs actively trading in that month.</w:t>
      </w:r>
    </w:p>
    <w:p w:rsidR="002C3C59" w:rsidRDefault="7928F6FE" w14:paraId="2C02B92D" w14:textId="3A27C163">
      <w:pPr>
        <w:spacing w:before="200" w:after="80"/>
      </w:pPr>
      <w:r>
        <w:rPr>
          <w:b/>
          <w:bCs/>
          <w:color w:val="444444"/>
          <w:sz w:val="24"/>
          <w:szCs w:val="24"/>
        </w:rPr>
        <w:t>9.1.3 Balancing Mechanism — Energy and System (BME / BMS)</w:t>
      </w:r>
    </w:p>
    <w:p w:rsidR="002C3C59" w:rsidRDefault="001D7557" w14:paraId="7F86AF49" w14:textId="77777777">
      <w:pPr>
        <w:spacing w:after="120"/>
      </w:pPr>
      <w:r>
        <w:t>Balancing Mechanism revenues are split into two components:</w:t>
      </w:r>
    </w:p>
    <w:p w:rsidR="002C3C59" w:rsidRDefault="001D7557" w14:paraId="6CFF8FB5" w14:textId="77777777">
      <w:pPr>
        <w:pStyle w:val="ListParagraph"/>
        <w:numPr>
          <w:ilvl w:val="0"/>
          <w:numId w:val="2"/>
        </w:numPr>
        <w:spacing w:after="80"/>
      </w:pPr>
      <w:r>
        <w:rPr>
          <w:b/>
          <w:bCs/>
        </w:rPr>
        <w:t>BME (energy actions)</w:t>
      </w:r>
      <w:r>
        <w:t xml:space="preserve"> — non-system-operator actions.</w:t>
      </w:r>
    </w:p>
    <w:p w:rsidR="002C3C59" w:rsidRDefault="001D7557" w14:paraId="23390D44" w14:textId="77777777">
      <w:pPr>
        <w:pStyle w:val="ListParagraph"/>
        <w:numPr>
          <w:ilvl w:val="0"/>
          <w:numId w:val="2"/>
        </w:numPr>
        <w:spacing w:after="80"/>
      </w:pPr>
      <w:r>
        <w:rPr>
          <w:b/>
          <w:bCs/>
        </w:rPr>
        <w:t>BMS (system actions)</w:t>
      </w:r>
      <w:r>
        <w:t xml:space="preserve"> — actions called by the system operator for system balancing purposes.</w:t>
      </w:r>
    </w:p>
    <w:p w:rsidR="002C3C59" w:rsidRDefault="001D7557" w14:paraId="5EBE9C94" w14:textId="77777777">
      <w:pPr>
        <w:spacing w:after="120"/>
      </w:pPr>
      <w:r>
        <w:rPr>
          <w:b/>
          <w:bCs/>
          <w:i/>
          <w:iCs/>
        </w:rPr>
        <w:t>Cashflow (£) = Accepted Volume (MWh) × Price (£/MWh)</w:t>
      </w:r>
    </w:p>
    <w:p w:rsidR="002C3C59" w:rsidRDefault="001D7557" w14:paraId="5189C06B" w14:textId="77777777">
      <w:pPr>
        <w:spacing w:after="120"/>
      </w:pPr>
      <w:r>
        <w:rPr>
          <w:b/>
          <w:bCs/>
          <w:i/>
          <w:iCs/>
        </w:rPr>
        <w:t>BME / BMS Revenue (£/MW) = Σ Cashflow / Σ Installed Capacity</w:t>
      </w:r>
    </w:p>
    <w:p w:rsidR="002C3C59" w:rsidRDefault="23811F38" w14:paraId="2CA79CDE" w14:textId="395B12BC">
      <w:pPr>
        <w:spacing w:before="200" w:after="80"/>
      </w:pPr>
      <w:r>
        <w:rPr>
          <w:b/>
          <w:bCs/>
          <w:color w:val="444444"/>
          <w:sz w:val="24"/>
          <w:szCs w:val="24"/>
        </w:rPr>
        <w:t>9.1.4 Dynamic Services (DC, DM, DR)</w:t>
      </w:r>
    </w:p>
    <w:p w:rsidR="002C3C59" w:rsidRDefault="001D7557" w14:paraId="3539BBE1" w14:textId="77777777">
      <w:pPr>
        <w:spacing w:after="120"/>
      </w:pPr>
      <w:r>
        <w:t>Dynamic Containment (DC), Dynamic Moderation (DM) and Dynamic Regulation (DR) revenues are derived from NESO's frequency response procurement. Each service has high-frequency and low-frequency components which are combined into a single revenue figure per service.</w:t>
      </w:r>
    </w:p>
    <w:p w:rsidR="002C3C59" w:rsidRDefault="001D7557" w14:paraId="02E9684E" w14:textId="77777777">
      <w:pPr>
        <w:spacing w:after="120"/>
      </w:pPr>
      <w:r>
        <w:rPr>
          <w:b/>
          <w:bCs/>
          <w:i/>
          <w:iCs/>
        </w:rPr>
        <w:t>Cashflow (£ / EFA block) = Cleared Volume (MW) × Clearing Price (£/MW) × 4</w:t>
      </w:r>
    </w:p>
    <w:p w:rsidR="002C3C59" w:rsidRDefault="001D7557" w14:paraId="4F532957" w14:textId="77777777">
      <w:pPr>
        <w:spacing w:after="120"/>
      </w:pPr>
      <w:r>
        <w:t>The ×4 factor reflects the four-hour duration of each EFA block. High and low components (e.g. DC High + DC Low) are summed to produce total revenue per service.</w:t>
      </w:r>
    </w:p>
    <w:p w:rsidR="002C3C59" w:rsidRDefault="001D7557" w14:paraId="4465C081" w14:textId="77777777">
      <w:pPr>
        <w:spacing w:after="120"/>
      </w:pPr>
      <w:r>
        <w:rPr>
          <w:b/>
          <w:bCs/>
          <w:i/>
          <w:iCs/>
        </w:rPr>
        <w:t>DC / DM / DR Revenue (£/MW) = Σ Cashflow / Σ Installed Capacity</w:t>
      </w:r>
    </w:p>
    <w:p w:rsidR="002C3C59" w:rsidRDefault="2DB0ADC1" w14:paraId="0E96F3CD" w14:textId="4A1AA0A9">
      <w:pPr>
        <w:spacing w:before="200" w:after="80"/>
      </w:pPr>
      <w:r>
        <w:rPr>
          <w:b/>
          <w:bCs/>
          <w:color w:val="444444"/>
          <w:sz w:val="24"/>
          <w:szCs w:val="24"/>
        </w:rPr>
        <w:t>9.1.5 Reserves (BR, QR)</w:t>
      </w:r>
    </w:p>
    <w:p w:rsidR="002C3C59" w:rsidRDefault="001D7557" w14:paraId="5013B845" w14:textId="77777777">
      <w:pPr>
        <w:spacing w:after="120"/>
      </w:pPr>
      <w:r>
        <w:t>Balancing Reserve (BR) and Quick Reserve (QR) revenues are computed from executed procurement volumes. Each service combines positive and negative components.</w:t>
      </w:r>
    </w:p>
    <w:p w:rsidR="002C3C59" w:rsidRDefault="001D7557" w14:paraId="1F90FCC5" w14:textId="77777777">
      <w:pPr>
        <w:spacing w:after="120"/>
      </w:pPr>
      <w:r>
        <w:rPr>
          <w:b/>
          <w:bCs/>
          <w:i/>
          <w:iCs/>
        </w:rPr>
        <w:t>Cashflow (£) = Executed Quantity (MW) × Clearing Price (£/MW) / 2</w:t>
      </w:r>
    </w:p>
    <w:p w:rsidR="002C3C59" w:rsidRDefault="001D7557" w14:paraId="183DD2E8" w14:textId="77777777">
      <w:pPr>
        <w:spacing w:after="120"/>
        <w:rPr>
          <w:b/>
          <w:bCs/>
          <w:i/>
          <w:iCs/>
        </w:rPr>
      </w:pPr>
      <w:r>
        <w:rPr>
          <w:b/>
          <w:bCs/>
          <w:i/>
          <w:iCs/>
        </w:rPr>
        <w:t>BR / QR Revenue (£/MW) = Σ Cashflow / Σ Installed Capacity</w:t>
      </w:r>
    </w:p>
    <w:p w:rsidR="00B3786D" w:rsidRDefault="00B3786D" w14:paraId="278CC4A7" w14:textId="77777777">
      <w:pPr>
        <w:spacing w:after="120"/>
      </w:pPr>
    </w:p>
    <w:p w:rsidR="002C3C59" w:rsidRDefault="480480D3" w14:paraId="16D0D0BF" w14:textId="284D4AF9">
      <w:pPr>
        <w:spacing w:before="200" w:after="80"/>
      </w:pPr>
      <w:r>
        <w:rPr>
          <w:b/>
          <w:bCs/>
          <w:color w:val="444444"/>
          <w:sz w:val="24"/>
          <w:szCs w:val="24"/>
        </w:rPr>
        <w:t>9.1.6 Aggregation and output</w:t>
      </w:r>
    </w:p>
    <w:p w:rsidR="002C3C59" w:rsidRDefault="001D7557" w14:paraId="63E4E748" w14:textId="77777777">
      <w:pPr>
        <w:spacing w:after="120"/>
      </w:pPr>
      <w:r>
        <w:t>Input data is at half-hourly (wholesale, BM) or EFA block (dynamic services) resolution. All streams are aggregated to monthly totals. The following output granularities are available:</w:t>
      </w:r>
    </w:p>
    <w:p w:rsidR="002C3C59" w:rsidRDefault="001D7557" w14:paraId="5F89A253" w14:textId="77777777">
      <w:pPr>
        <w:pStyle w:val="ListParagraph"/>
        <w:numPr>
          <w:ilvl w:val="0"/>
          <w:numId w:val="2"/>
        </w:numPr>
        <w:spacing w:after="80"/>
      </w:pPr>
      <w:r>
        <w:rPr>
          <w:b/>
          <w:bCs/>
        </w:rPr>
        <w:t>Daily</w:t>
      </w:r>
      <w:r>
        <w:t xml:space="preserve"> — revenue per MW for each calendar day.</w:t>
      </w:r>
    </w:p>
    <w:p w:rsidR="002C3C59" w:rsidRDefault="001D7557" w14:paraId="3E253CF1" w14:textId="77777777">
      <w:pPr>
        <w:pStyle w:val="ListParagraph"/>
        <w:numPr>
          <w:ilvl w:val="0"/>
          <w:numId w:val="2"/>
        </w:numPr>
        <w:spacing w:after="80"/>
      </w:pPr>
      <w:r>
        <w:rPr>
          <w:b/>
          <w:bCs/>
        </w:rPr>
        <w:t>Monthly</w:t>
      </w:r>
      <w:r>
        <w:t xml:space="preserve"> — sum of daily revenues within the month.</w:t>
      </w:r>
    </w:p>
    <w:p w:rsidR="002C3C59" w:rsidRDefault="001D7557" w14:paraId="359FCDE1" w14:textId="77777777">
      <w:pPr>
        <w:pStyle w:val="ListParagraph"/>
        <w:numPr>
          <w:ilvl w:val="0"/>
          <w:numId w:val="2"/>
        </w:numPr>
        <w:spacing w:after="80"/>
      </w:pPr>
      <w:r>
        <w:rPr>
          <w:b/>
          <w:bCs/>
        </w:rPr>
        <w:t>Annualised</w:t>
      </w:r>
      <w:r>
        <w:t xml:space="preserve"> — monthly total multiplied by 12, providing an indicative run-rate. This does not adjust for seasonality and should not be interpreted as a forecast of annual revenues.</w:t>
      </w:r>
    </w:p>
    <w:p w:rsidR="002C3C59" w:rsidRDefault="002C3C59" w14:paraId="4EAA12E5" w14:textId="77777777">
      <w:pPr>
        <w:spacing w:after="80"/>
      </w:pPr>
    </w:p>
    <w:p w:rsidR="002C3C59" w:rsidRDefault="001D7557" w14:paraId="6DA3B314" w14:textId="77777777">
      <w:pPr>
        <w:spacing w:after="120"/>
      </w:pPr>
      <w:r>
        <w:t>The final output for each peer group contains the following revenue streams, all expressed in £/MW of installed capacity:</w:t>
      </w:r>
    </w:p>
    <w:p w:rsidR="002C3C59" w:rsidRDefault="002C3C59" w14:paraId="3C1A08F1" w14:textId="77777777">
      <w:pPr>
        <w:spacing w:after="80"/>
      </w:pP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4200"/>
      </w:tblGrid>
      <w:tr w:rsidR="002C3C59" w:rsidTr="70ADE64C" w14:paraId="397B72A3" w14:textId="77777777">
        <w:trPr>
          <w:tblHeader/>
        </w:trPr>
        <w:tc>
          <w:tcPr>
            <w:tcW w:w="180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4DD5D6FF" w14:textId="77777777">
            <w:r>
              <w:rPr>
                <w:b/>
                <w:bCs/>
                <w:color w:val="FFFFFF"/>
                <w:sz w:val="20"/>
                <w:szCs w:val="20"/>
              </w:rPr>
              <w:t>Stream</w:t>
            </w:r>
          </w:p>
        </w:tc>
        <w:tc>
          <w:tcPr>
            <w:tcW w:w="4200" w:type="dxa"/>
            <w:tcBorders>
              <w:top w:val="single" w:color="1B3A6B" w:sz="4" w:space="0"/>
              <w:left w:val="single" w:color="1B3A6B" w:sz="4" w:space="0"/>
              <w:bottom w:val="single" w:color="1B3A6B" w:sz="4" w:space="0"/>
              <w:right w:val="single" w:color="1B3A6B" w:sz="4" w:space="0"/>
            </w:tcBorders>
            <w:shd w:val="clear" w:color="auto" w:fill="1B3A6B"/>
          </w:tcPr>
          <w:p w:rsidR="002C3C59" w:rsidRDefault="001D7557" w14:paraId="1FA5DF7D" w14:textId="77777777">
            <w:r>
              <w:rPr>
                <w:b/>
                <w:bCs/>
                <w:color w:val="FFFFFF"/>
                <w:sz w:val="20"/>
                <w:szCs w:val="20"/>
              </w:rPr>
              <w:t>Description</w:t>
            </w:r>
          </w:p>
        </w:tc>
      </w:tr>
      <w:tr w:rsidR="002C3C59" w:rsidTr="70ADE64C" w14:paraId="09A3EF11" w14:textId="77777777">
        <w:tc>
          <w:tcPr>
            <w:tcW w:w="18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4FE9A1D8" w14:textId="79D96908">
            <w:pPr>
              <w:rPr>
                <w:b/>
                <w:sz w:val="20"/>
                <w:szCs w:val="20"/>
              </w:rPr>
            </w:pPr>
            <w:r>
              <w:rPr>
                <w:b/>
                <w:bCs/>
                <w:sz w:val="20"/>
                <w:szCs w:val="20"/>
              </w:rPr>
              <w:t>WM</w:t>
            </w:r>
          </w:p>
        </w:tc>
        <w:tc>
          <w:tcPr>
            <w:tcW w:w="4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50F2B203" w14:textId="77777777">
            <w:r>
              <w:rPr>
                <w:sz w:val="20"/>
                <w:szCs w:val="20"/>
              </w:rPr>
              <w:t>Wholesale market revenue (£/MW)</w:t>
            </w:r>
          </w:p>
        </w:tc>
      </w:tr>
      <w:tr w:rsidR="002C3C59" w:rsidTr="70ADE64C" w14:paraId="732818F5" w14:textId="77777777">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711707B6" w14:textId="77777777">
            <w:r>
              <w:rPr>
                <w:b/>
                <w:bCs/>
                <w:sz w:val="20"/>
                <w:szCs w:val="20"/>
              </w:rPr>
              <w:t>BME</w:t>
            </w:r>
          </w:p>
        </w:tc>
        <w:tc>
          <w:tcPr>
            <w:tcW w:w="4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1B8FB539" w14:textId="77777777">
            <w:r>
              <w:rPr>
                <w:sz w:val="20"/>
                <w:szCs w:val="20"/>
              </w:rPr>
              <w:t>Balancing Mechanism energy revenue (£/MW)</w:t>
            </w:r>
          </w:p>
        </w:tc>
      </w:tr>
      <w:tr w:rsidR="002C3C59" w:rsidTr="70ADE64C" w14:paraId="4BA07503" w14:textId="77777777">
        <w:tc>
          <w:tcPr>
            <w:tcW w:w="18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64525342" w14:textId="77777777">
            <w:r>
              <w:rPr>
                <w:b/>
                <w:bCs/>
                <w:sz w:val="20"/>
                <w:szCs w:val="20"/>
              </w:rPr>
              <w:t>BMS</w:t>
            </w:r>
          </w:p>
        </w:tc>
        <w:tc>
          <w:tcPr>
            <w:tcW w:w="4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4550E650" w14:textId="77777777">
            <w:r>
              <w:rPr>
                <w:sz w:val="20"/>
                <w:szCs w:val="20"/>
              </w:rPr>
              <w:t>Balancing Mechanism system revenue (£/MW)</w:t>
            </w:r>
          </w:p>
        </w:tc>
      </w:tr>
      <w:tr w:rsidR="002C3C59" w:rsidTr="70ADE64C" w14:paraId="62A007B4" w14:textId="77777777">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65B5C7C8" w14:textId="77777777">
            <w:r>
              <w:rPr>
                <w:b/>
                <w:bCs/>
                <w:sz w:val="20"/>
                <w:szCs w:val="20"/>
              </w:rPr>
              <w:t>DC</w:t>
            </w:r>
          </w:p>
        </w:tc>
        <w:tc>
          <w:tcPr>
            <w:tcW w:w="4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9BE3FBE" w14:textId="77777777">
            <w:r>
              <w:rPr>
                <w:sz w:val="20"/>
                <w:szCs w:val="20"/>
              </w:rPr>
              <w:t>Dynamic Containment revenue (£/MW)</w:t>
            </w:r>
          </w:p>
        </w:tc>
      </w:tr>
      <w:tr w:rsidR="002C3C59" w:rsidTr="70ADE64C" w14:paraId="3EE8F403" w14:textId="77777777">
        <w:tc>
          <w:tcPr>
            <w:tcW w:w="18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054809F" w14:textId="77777777">
            <w:r>
              <w:rPr>
                <w:b/>
                <w:bCs/>
                <w:sz w:val="20"/>
                <w:szCs w:val="20"/>
              </w:rPr>
              <w:t>DM</w:t>
            </w:r>
          </w:p>
        </w:tc>
        <w:tc>
          <w:tcPr>
            <w:tcW w:w="4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34D733BF" w14:textId="77777777">
            <w:r>
              <w:rPr>
                <w:sz w:val="20"/>
                <w:szCs w:val="20"/>
              </w:rPr>
              <w:t>Dynamic Moderation revenue (£/MW)</w:t>
            </w:r>
          </w:p>
        </w:tc>
      </w:tr>
      <w:tr w:rsidR="002C3C59" w:rsidTr="70ADE64C" w14:paraId="671E7BAE" w14:textId="77777777">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9E5F7D3" w14:textId="77777777">
            <w:r>
              <w:rPr>
                <w:b/>
                <w:bCs/>
                <w:sz w:val="20"/>
                <w:szCs w:val="20"/>
              </w:rPr>
              <w:t>DR</w:t>
            </w:r>
          </w:p>
        </w:tc>
        <w:tc>
          <w:tcPr>
            <w:tcW w:w="4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5661203C" w14:textId="77777777">
            <w:r>
              <w:rPr>
                <w:sz w:val="20"/>
                <w:szCs w:val="20"/>
              </w:rPr>
              <w:t>Dynamic Regulation revenue (£/MW)</w:t>
            </w:r>
          </w:p>
        </w:tc>
      </w:tr>
      <w:tr w:rsidR="002C3C59" w:rsidTr="70ADE64C" w14:paraId="18AED4BC" w14:textId="77777777">
        <w:tc>
          <w:tcPr>
            <w:tcW w:w="18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177BB2E8" w14:textId="77777777">
            <w:r>
              <w:rPr>
                <w:b/>
                <w:bCs/>
                <w:sz w:val="20"/>
                <w:szCs w:val="20"/>
              </w:rPr>
              <w:t>BR</w:t>
            </w:r>
          </w:p>
        </w:tc>
        <w:tc>
          <w:tcPr>
            <w:tcW w:w="4200" w:type="dxa"/>
            <w:tcBorders>
              <w:top w:val="single" w:color="CCCCCC" w:sz="4" w:space="0"/>
              <w:left w:val="single" w:color="CCCCCC" w:sz="4" w:space="0"/>
              <w:bottom w:val="single" w:color="CCCCCC" w:sz="4" w:space="0"/>
              <w:right w:val="single" w:color="CCCCCC" w:sz="4" w:space="0"/>
            </w:tcBorders>
            <w:shd w:val="clear" w:color="auto" w:fill="F0F4FA"/>
          </w:tcPr>
          <w:p w:rsidR="002C3C59" w:rsidRDefault="001D7557" w14:paraId="7F8B28F2" w14:textId="77777777">
            <w:r>
              <w:rPr>
                <w:sz w:val="20"/>
                <w:szCs w:val="20"/>
              </w:rPr>
              <w:t>Balancing Reserve revenue (£/MW)</w:t>
            </w:r>
          </w:p>
        </w:tc>
      </w:tr>
      <w:tr w:rsidR="002C3C59" w:rsidTr="70ADE64C" w14:paraId="5D9D8349" w14:textId="77777777">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0623FDDA" w14:textId="77777777">
            <w:r>
              <w:rPr>
                <w:b/>
                <w:bCs/>
                <w:sz w:val="20"/>
                <w:szCs w:val="20"/>
              </w:rPr>
              <w:t>QR</w:t>
            </w:r>
          </w:p>
        </w:tc>
        <w:tc>
          <w:tcPr>
            <w:tcW w:w="42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C3C59" w:rsidRDefault="001D7557" w14:paraId="2DCE4799" w14:textId="77777777">
            <w:r>
              <w:rPr>
                <w:sz w:val="20"/>
                <w:szCs w:val="20"/>
              </w:rPr>
              <w:t>Quick Reserve revenue (£/MW)</w:t>
            </w:r>
          </w:p>
        </w:tc>
      </w:tr>
    </w:tbl>
    <w:p w:rsidR="002C3C59" w:rsidRDefault="002C3C59" w14:paraId="7EC26507" w14:textId="77777777">
      <w:pPr>
        <w:spacing w:after="120"/>
      </w:pPr>
    </w:p>
    <w:p w:rsidR="002C3C59" w:rsidRDefault="001D7557" w14:paraId="02AAB1C3" w14:textId="77777777">
      <w:r>
        <w:br w:type="page"/>
      </w:r>
    </w:p>
    <w:p w:rsidR="00414CC0" w:rsidRDefault="007326D6" w14:paraId="75B86026" w14:textId="77777777">
      <w:pPr>
        <w:spacing w:before="320" w:after="120"/>
      </w:pPr>
      <w:r>
        <w:rPr>
          <w:b/>
          <w:bCs/>
          <w:color w:val="2E5FA3"/>
          <w:sz w:val="28"/>
          <w:szCs w:val="28"/>
        </w:rPr>
        <w:lastRenderedPageBreak/>
        <w:t>9.2 Italy</w:t>
      </w:r>
    </w:p>
    <w:p w:rsidR="00414CC0" w:rsidRDefault="007326D6" w14:paraId="3D4D851F" w14:textId="77777777">
      <w:pPr>
        <w:spacing w:before="200" w:after="80"/>
      </w:pPr>
      <w:r>
        <w:rPr>
          <w:b/>
          <w:bCs/>
          <w:color w:val="444444"/>
          <w:sz w:val="24"/>
          <w:szCs w:val="24"/>
        </w:rPr>
        <w:t>9.2.1 Core calculation principle</w:t>
      </w:r>
    </w:p>
    <w:p w:rsidR="00B627E8" w:rsidRDefault="00B627E8" w14:paraId="7C842997" w14:textId="48A5AB83">
      <w:pPr>
        <w:spacing w:before="200" w:after="80"/>
      </w:pPr>
      <w:r w:rsidRPr="00B627E8">
        <w:t xml:space="preserve">All revenue streams follow a consistent three-step approach: (1) the query extracts </w:t>
      </w:r>
      <w:r w:rsidR="00226F92">
        <w:t>hourly</w:t>
      </w:r>
      <w:r w:rsidRPr="00B627E8">
        <w:t xml:space="preserve"> bid and offer data for each asset across all markets, with values </w:t>
      </w:r>
      <w:r w:rsidR="00CF69C8">
        <w:t xml:space="preserve">aggregated and </w:t>
      </w:r>
      <w:r w:rsidRPr="00B627E8">
        <w:t>harmonised where necessary to account for different units and time granularities; (2) values at each timestamp are normalised by the corresponding installed capacity to derive metrics in MWh/MW and €/MW; and (3) these metrics are then aggregated to the required temporal resolution</w:t>
      </w:r>
      <w:r>
        <w:t>.</w:t>
      </w:r>
    </w:p>
    <w:p w:rsidR="00414CC0" w:rsidRDefault="007326D6" w14:paraId="1EB96520" w14:textId="753C7A24">
      <w:pPr>
        <w:spacing w:before="200" w:after="80"/>
      </w:pPr>
      <w:r>
        <w:rPr>
          <w:b/>
          <w:bCs/>
          <w:color w:val="444444"/>
          <w:sz w:val="24"/>
          <w:szCs w:val="24"/>
        </w:rPr>
        <w:t>9.2.2 Market time unit and MW-to-energy conversion</w:t>
      </w:r>
    </w:p>
    <w:p w:rsidR="00414CC0" w:rsidRDefault="007326D6" w14:paraId="49692CA7" w14:textId="65F209A7">
      <w:pPr>
        <w:spacing w:after="120"/>
      </w:pPr>
      <w:r>
        <w:t>Italian market results migrated from an hourly to a 15-minute Market Time Unit (MTU) on a market-by-market basis:</w:t>
      </w:r>
    </w:p>
    <w:p w:rsidR="00414CC0" w:rsidRDefault="007326D6" w14:paraId="62E2ED10" w14:textId="1CC88D06">
      <w:pPr>
        <w:pStyle w:val="ListParagraph"/>
        <w:numPr>
          <w:ilvl w:val="0"/>
          <w:numId w:val="2"/>
        </w:numPr>
        <w:spacing w:after="80"/>
      </w:pPr>
      <w:r>
        <w:t>MSD ex-ante</w:t>
      </w:r>
      <w:r w:rsidR="00727A12">
        <w:t xml:space="preserve"> </w:t>
      </w:r>
      <w:r w:rsidR="00B87483">
        <w:t xml:space="preserve">and </w:t>
      </w:r>
      <w:r>
        <w:t xml:space="preserve">intraday auctions (MI-A1, MI-A2, MI-A3) — quarter-hourly from </w:t>
      </w:r>
      <w:r w:rsidR="00AF4BB6">
        <w:t>1 January 2025</w:t>
      </w:r>
    </w:p>
    <w:p w:rsidR="00C3314F" w:rsidRDefault="007E3218" w14:paraId="68DCB628" w14:textId="235A4E38">
      <w:pPr>
        <w:pStyle w:val="ListParagraph"/>
        <w:numPr>
          <w:ilvl w:val="0"/>
          <w:numId w:val="2"/>
        </w:numPr>
        <w:spacing w:after="80"/>
      </w:pPr>
      <w:r>
        <w:t xml:space="preserve">MB </w:t>
      </w:r>
      <w:r w:rsidR="00AF4BB6">
        <w:t xml:space="preserve">– </w:t>
      </w:r>
      <w:r w:rsidR="00A70D3D">
        <w:t xml:space="preserve">has </w:t>
      </w:r>
      <w:r w:rsidR="00AF4BB6">
        <w:t>al</w:t>
      </w:r>
      <w:r w:rsidR="004E743A">
        <w:t xml:space="preserve">ways been quarter-hourly but switched </w:t>
      </w:r>
      <w:r w:rsidR="00AF4BB6">
        <w:t xml:space="preserve">from MWh to MW </w:t>
      </w:r>
      <w:r w:rsidR="00B87483">
        <w:t>from</w:t>
      </w:r>
      <w:r w:rsidR="00AF4BB6">
        <w:t xml:space="preserve"> 1 January 2025</w:t>
      </w:r>
    </w:p>
    <w:p w:rsidR="00414CC0" w:rsidRDefault="007326D6" w14:paraId="36AD7C51" w14:textId="3230A59C">
      <w:pPr>
        <w:pStyle w:val="ListParagraph"/>
        <w:numPr>
          <w:ilvl w:val="0"/>
          <w:numId w:val="2"/>
        </w:numPr>
        <w:spacing w:after="80"/>
      </w:pPr>
      <w:r>
        <w:t>Day-Ahead Market (MGP) — quarter-hourly from 1 October 2025</w:t>
      </w:r>
      <w:r w:rsidR="00C466BB">
        <w:t xml:space="preserve"> </w:t>
      </w:r>
      <w:r w:rsidR="00D05E49">
        <w:t>(</w:t>
      </w:r>
      <w:r w:rsidRPr="00433975" w:rsidR="00433975">
        <w:t>trading in hourly products remains possible, albeit less frequent</w:t>
      </w:r>
      <w:r w:rsidR="00D05E49">
        <w:t>)</w:t>
      </w:r>
    </w:p>
    <w:p w:rsidR="00414CC0" w:rsidRDefault="007326D6" w14:paraId="388712C8" w14:textId="77777777">
      <w:pPr>
        <w:pStyle w:val="ListParagraph"/>
        <w:numPr>
          <w:ilvl w:val="0"/>
          <w:numId w:val="2"/>
        </w:numPr>
        <w:spacing w:after="80"/>
      </w:pPr>
      <w:r>
        <w:t>MI-XBID — traded as both 60-minute and 15-minute products throughout.</w:t>
      </w:r>
    </w:p>
    <w:p w:rsidR="00034673" w:rsidRDefault="00034673" w14:paraId="3AA0543B" w14:textId="6DFA19EF">
      <w:pPr>
        <w:spacing w:before="200" w:after="80"/>
      </w:pPr>
      <w:r w:rsidRPr="00034673">
        <w:t>Where results are reported in MW for quarter-hourly products, the awarded quantity is converted to energy by multiplying by 0.25</w:t>
      </w:r>
      <w:r w:rsidR="00D96EB8">
        <w:t>.</w:t>
      </w:r>
      <w:r w:rsidRPr="00034673">
        <w:t xml:space="preserve"> For hourly products, no conversion is applied. Awarded prices are expressed in €/MWh in all cases.</w:t>
      </w:r>
    </w:p>
    <w:p w:rsidR="00414CC0" w:rsidRDefault="007326D6" w14:paraId="5C5C8F61" w14:textId="33CC2EE8">
      <w:pPr>
        <w:spacing w:before="200" w:after="80"/>
      </w:pPr>
      <w:r>
        <w:rPr>
          <w:b/>
          <w:bCs/>
          <w:color w:val="444444"/>
          <w:sz w:val="24"/>
          <w:szCs w:val="24"/>
        </w:rPr>
        <w:t>9.2.3 Revenue streams (MGP, MI, XBID, MSD, MB)</w:t>
      </w:r>
    </w:p>
    <w:p w:rsidR="00414CC0" w:rsidRDefault="007326D6" w14:paraId="65F553AD" w14:textId="2133CE32">
      <w:pPr>
        <w:spacing w:after="120"/>
      </w:pPr>
      <w:r>
        <w:t>For each stream, the cashflow is the awarded quantity multiplied by the awarded price:</w:t>
      </w:r>
    </w:p>
    <w:p w:rsidR="00414CC0" w:rsidRDefault="007326D6" w14:paraId="0F981314" w14:textId="1B1F6898">
      <w:pPr>
        <w:spacing w:after="120"/>
      </w:pPr>
      <w:r>
        <w:rPr>
          <w:b/>
          <w:bCs/>
          <w:i/>
          <w:iCs/>
        </w:rPr>
        <w:t>Cashflow (€) = Awarded Quantity</w:t>
      </w:r>
      <w:r w:rsidR="00D85045">
        <w:rPr>
          <w:b/>
          <w:bCs/>
          <w:i/>
          <w:iCs/>
        </w:rPr>
        <w:t xml:space="preserve"> </w:t>
      </w:r>
      <w:r w:rsidR="00A100EE">
        <w:rPr>
          <w:b/>
          <w:bCs/>
          <w:i/>
          <w:iCs/>
        </w:rPr>
        <w:t>(MWh)</w:t>
      </w:r>
      <w:r>
        <w:rPr>
          <w:b/>
          <w:bCs/>
          <w:i/>
          <w:iCs/>
        </w:rPr>
        <w:t xml:space="preserve"> × Awarded Price (€/MWh) </w:t>
      </w:r>
    </w:p>
    <w:p w:rsidR="00414CC0" w:rsidRDefault="00DB2130" w14:paraId="5820AA13" w14:textId="5C7EAF39">
      <w:pPr>
        <w:spacing w:after="120"/>
      </w:pPr>
      <w:r>
        <w:t>Normalised revenue</w:t>
      </w:r>
      <w:r w:rsidR="00844BB6">
        <w:t>s</w:t>
      </w:r>
      <w:r>
        <w:t xml:space="preserve"> per MW </w:t>
      </w:r>
      <w:r w:rsidR="00844BB6">
        <w:t>are</w:t>
      </w:r>
      <w:r>
        <w:t>:</w:t>
      </w:r>
    </w:p>
    <w:p w:rsidR="00414CC0" w:rsidRDefault="00844BB6" w14:paraId="78298380" w14:textId="6E82F925">
      <w:pPr>
        <w:spacing w:after="120"/>
        <w:rPr>
          <w:b/>
          <w:bCs/>
          <w:i/>
          <w:iCs/>
        </w:rPr>
      </w:pPr>
      <w:r>
        <w:rPr>
          <w:b/>
          <w:bCs/>
          <w:i/>
          <w:iCs/>
        </w:rPr>
        <w:t>Normali</w:t>
      </w:r>
      <w:r w:rsidR="009217DC">
        <w:rPr>
          <w:b/>
          <w:bCs/>
          <w:i/>
          <w:iCs/>
        </w:rPr>
        <w:t>s</w:t>
      </w:r>
      <w:r>
        <w:rPr>
          <w:b/>
          <w:bCs/>
          <w:i/>
          <w:iCs/>
        </w:rPr>
        <w:t>ed Revenue (€/MW) = Cashflow (€)</w:t>
      </w:r>
      <w:r w:rsidR="00481A91">
        <w:rPr>
          <w:b/>
          <w:bCs/>
          <w:i/>
          <w:iCs/>
        </w:rPr>
        <w:t>/Asset</w:t>
      </w:r>
      <w:r>
        <w:rPr>
          <w:b/>
          <w:bCs/>
          <w:i/>
          <w:iCs/>
        </w:rPr>
        <w:t xml:space="preserve"> </w:t>
      </w:r>
      <w:r w:rsidR="00481A91">
        <w:rPr>
          <w:b/>
          <w:bCs/>
          <w:i/>
          <w:iCs/>
        </w:rPr>
        <w:t>C</w:t>
      </w:r>
      <w:r>
        <w:rPr>
          <w:b/>
          <w:bCs/>
          <w:i/>
          <w:iCs/>
        </w:rPr>
        <w:t>apacity</w:t>
      </w:r>
      <w:r w:rsidR="009C7C90">
        <w:rPr>
          <w:b/>
          <w:bCs/>
          <w:i/>
          <w:iCs/>
        </w:rPr>
        <w:t xml:space="preserve"> (MW)</w:t>
      </w:r>
    </w:p>
    <w:p w:rsidR="00414CC0" w:rsidRDefault="00882518" w14:paraId="6BA6B537" w14:textId="75AD929F">
      <w:pPr>
        <w:spacing w:after="120"/>
      </w:pPr>
      <w:r>
        <w:t xml:space="preserve">Aggregated cashflows at different time </w:t>
      </w:r>
      <w:r w:rsidR="003E7520">
        <w:t>level</w:t>
      </w:r>
      <w:r w:rsidR="00A70D3D">
        <w:t>s</w:t>
      </w:r>
      <w:r w:rsidR="003E7520">
        <w:t xml:space="preserve"> are</w:t>
      </w:r>
      <w:r w:rsidR="00764A76">
        <w:t xml:space="preserve"> simply the sum o</w:t>
      </w:r>
      <w:r w:rsidR="008156C9">
        <w:t>f revenues across the selected timespan.</w:t>
      </w:r>
    </w:p>
    <w:p w:rsidR="00414CC0" w:rsidRDefault="007326D6" w14:paraId="7582F896" w14:textId="77777777">
      <w:pPr>
        <w:spacing w:before="200" w:after="80"/>
      </w:pPr>
      <w:r>
        <w:rPr>
          <w:b/>
          <w:bCs/>
          <w:color w:val="444444"/>
          <w:sz w:val="24"/>
          <w:szCs w:val="24"/>
        </w:rPr>
        <w:t>9.2.4 Aggregation and output</w:t>
      </w:r>
    </w:p>
    <w:p w:rsidR="00414CC0" w:rsidRDefault="007326D6" w14:paraId="3C878B34" w14:textId="1D07426A">
      <w:pPr>
        <w:spacing w:after="120"/>
      </w:pPr>
      <w:r>
        <w:t>The following output granularities are available:</w:t>
      </w:r>
    </w:p>
    <w:p w:rsidR="00AB0AC4" w:rsidP="00AB0AC4" w:rsidRDefault="00AB0AC4" w14:paraId="7EC0E80E" w14:textId="77777777">
      <w:pPr>
        <w:pStyle w:val="ListParagraph"/>
        <w:numPr>
          <w:ilvl w:val="0"/>
          <w:numId w:val="4"/>
        </w:numPr>
        <w:spacing w:after="80"/>
        <w:rPr>
          <w:b/>
          <w:bCs/>
        </w:rPr>
      </w:pPr>
      <w:r w:rsidRPr="00AB0AC4">
        <w:rPr>
          <w:b/>
          <w:bCs/>
        </w:rPr>
        <w:t>Last 30 days — results aggregated over the previous 30 days.</w:t>
      </w:r>
    </w:p>
    <w:p w:rsidR="00AB0AC4" w:rsidP="00AB0AC4" w:rsidRDefault="00AB0AC4" w14:paraId="12E5D3C3" w14:textId="77777777">
      <w:pPr>
        <w:pStyle w:val="ListParagraph"/>
        <w:numPr>
          <w:ilvl w:val="0"/>
          <w:numId w:val="4"/>
        </w:numPr>
        <w:spacing w:after="80"/>
        <w:rPr>
          <w:b/>
          <w:bCs/>
        </w:rPr>
      </w:pPr>
      <w:r w:rsidRPr="00AB0AC4">
        <w:rPr>
          <w:b/>
          <w:bCs/>
        </w:rPr>
        <w:t>Last Month — results aggregated over the previous calendar month.</w:t>
      </w:r>
    </w:p>
    <w:p w:rsidR="00AB0AC4" w:rsidP="00AB0AC4" w:rsidRDefault="00AB0AC4" w14:paraId="614D12E1" w14:textId="77777777">
      <w:pPr>
        <w:pStyle w:val="ListParagraph"/>
        <w:numPr>
          <w:ilvl w:val="0"/>
          <w:numId w:val="4"/>
        </w:numPr>
        <w:spacing w:after="80"/>
        <w:rPr>
          <w:b/>
          <w:bCs/>
        </w:rPr>
      </w:pPr>
      <w:r w:rsidRPr="00AB0AC4">
        <w:rPr>
          <w:b/>
          <w:bCs/>
        </w:rPr>
        <w:t>Last Quarter — results aggregated over the previous calendar quarter.</w:t>
      </w:r>
    </w:p>
    <w:p w:rsidR="00AB0AC4" w:rsidP="00AB0AC4" w:rsidRDefault="00AB0AC4" w14:paraId="760D6FD2" w14:textId="77777777">
      <w:pPr>
        <w:pStyle w:val="ListParagraph"/>
        <w:numPr>
          <w:ilvl w:val="0"/>
          <w:numId w:val="4"/>
        </w:numPr>
        <w:spacing w:after="80"/>
        <w:rPr>
          <w:b/>
          <w:bCs/>
        </w:rPr>
      </w:pPr>
      <w:r w:rsidRPr="00AB0AC4">
        <w:rPr>
          <w:b/>
          <w:bCs/>
        </w:rPr>
        <w:t>Last 6 Months — results aggregated over the previous six months.</w:t>
      </w:r>
    </w:p>
    <w:p w:rsidR="00AB0AC4" w:rsidP="00AB0AC4" w:rsidRDefault="00AB0AC4" w14:paraId="7F37C24B" w14:textId="77777777">
      <w:pPr>
        <w:pStyle w:val="ListParagraph"/>
        <w:numPr>
          <w:ilvl w:val="0"/>
          <w:numId w:val="4"/>
        </w:numPr>
        <w:spacing w:after="80"/>
        <w:rPr>
          <w:b/>
          <w:bCs/>
        </w:rPr>
      </w:pPr>
      <w:r w:rsidRPr="00AB0AC4">
        <w:rPr>
          <w:b/>
          <w:bCs/>
        </w:rPr>
        <w:t>Last Year — results aggregated over the previous calendar year.</w:t>
      </w:r>
    </w:p>
    <w:p w:rsidR="00D85BF9" w:rsidP="00D85BF9" w:rsidRDefault="00D85BF9" w14:paraId="2A7AC519" w14:textId="77777777">
      <w:pPr>
        <w:spacing w:after="80"/>
        <w:rPr>
          <w:b/>
          <w:bCs/>
        </w:rPr>
      </w:pPr>
    </w:p>
    <w:p w:rsidR="00C44537" w:rsidP="00D85BF9" w:rsidRDefault="00C44537" w14:paraId="4F1011F3" w14:textId="77777777">
      <w:pPr>
        <w:spacing w:after="80"/>
        <w:rPr>
          <w:b/>
          <w:bCs/>
        </w:rPr>
      </w:pPr>
    </w:p>
    <w:p w:rsidR="00C44537" w:rsidP="00D85BF9" w:rsidRDefault="00C44537" w14:paraId="6BAC5865" w14:textId="77777777">
      <w:pPr>
        <w:spacing w:after="80"/>
        <w:rPr>
          <w:b/>
          <w:bCs/>
        </w:rPr>
      </w:pPr>
    </w:p>
    <w:p w:rsidR="00C44537" w:rsidP="00D85BF9" w:rsidRDefault="00C44537" w14:paraId="0EF66960" w14:textId="77777777">
      <w:pPr>
        <w:spacing w:after="80"/>
        <w:rPr>
          <w:b/>
          <w:bCs/>
        </w:rPr>
      </w:pPr>
    </w:p>
    <w:p w:rsidRPr="00D85BF9" w:rsidR="00D85BF9" w:rsidP="00D85BF9" w:rsidRDefault="00D85BF9" w14:paraId="5F46D849" w14:textId="77777777">
      <w:pPr>
        <w:spacing w:after="80"/>
        <w:rPr>
          <w:b/>
          <w:bCs/>
        </w:rPr>
      </w:pPr>
    </w:p>
    <w:p w:rsidRPr="00AB0AC4" w:rsidR="00414CC0" w:rsidP="00AB0AC4" w:rsidRDefault="00710B4B" w14:paraId="62C0DF52" w14:textId="10163A50">
      <w:pPr>
        <w:spacing w:after="80"/>
        <w:rPr>
          <w:b/>
          <w:bCs/>
        </w:rPr>
      </w:pPr>
      <w:r w:rsidRPr="00710B4B">
        <w:lastRenderedPageBreak/>
        <w:t>The final output for each peer group contains the following revenue streams. Revenues are converted to €/kW of installed capacity for reporting purposes.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414CC0" w14:paraId="2B4957DA" w14:textId="77777777">
        <w:trPr>
          <w:tblHeader/>
        </w:trPr>
        <w:tc>
          <w:tcPr>
            <w:tcW w:w="240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1C443085" w14:textId="77777777">
            <w:r>
              <w:rPr>
                <w:b/>
                <w:bCs/>
                <w:color w:val="FFFFFF"/>
                <w:sz w:val="20"/>
                <w:szCs w:val="20"/>
              </w:rPr>
              <w:t>Stream</w:t>
            </w:r>
          </w:p>
        </w:tc>
        <w:tc>
          <w:tcPr>
            <w:tcW w:w="6960" w:type="dxa"/>
            <w:tcBorders>
              <w:top w:val="single" w:color="1B3A6B" w:sz="4" w:space="0"/>
              <w:left w:val="single" w:color="1B3A6B" w:sz="4" w:space="0"/>
              <w:bottom w:val="single" w:color="1B3A6B" w:sz="4" w:space="0"/>
              <w:right w:val="single" w:color="1B3A6B" w:sz="4" w:space="0"/>
            </w:tcBorders>
            <w:shd w:val="clear" w:color="auto" w:fill="1B3A6B"/>
          </w:tcPr>
          <w:p w:rsidR="00414CC0" w:rsidRDefault="007326D6" w14:paraId="7F062F16" w14:textId="77777777">
            <w:r>
              <w:rPr>
                <w:b/>
                <w:bCs/>
                <w:color w:val="FFFFFF"/>
                <w:sz w:val="20"/>
                <w:szCs w:val="20"/>
              </w:rPr>
              <w:t>Description</w:t>
            </w:r>
          </w:p>
        </w:tc>
      </w:tr>
      <w:tr w:rsidR="00414CC0" w14:paraId="7A40DD98"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37BC1F96" w14:textId="77777777">
            <w:r>
              <w:rPr>
                <w:b/>
                <w:bCs/>
                <w:sz w:val="20"/>
                <w:szCs w:val="20"/>
              </w:rPr>
              <w:t>MGP</w:t>
            </w:r>
          </w:p>
        </w:tc>
        <w:tc>
          <w:tcPr>
            <w:tcW w:w="6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47148BB8" w14:textId="6EAE23B6">
            <w:r>
              <w:rPr>
                <w:sz w:val="20"/>
                <w:szCs w:val="20"/>
              </w:rPr>
              <w:t>Day-Ahead Market revenue</w:t>
            </w:r>
            <w:r w:rsidR="00696EB0">
              <w:rPr>
                <w:sz w:val="20"/>
                <w:szCs w:val="20"/>
              </w:rPr>
              <w:t>s</w:t>
            </w:r>
            <w:r>
              <w:rPr>
                <w:sz w:val="20"/>
                <w:szCs w:val="20"/>
              </w:rPr>
              <w:t xml:space="preserve"> (€/</w:t>
            </w:r>
            <w:r w:rsidR="006E59A8">
              <w:rPr>
                <w:sz w:val="20"/>
                <w:szCs w:val="20"/>
              </w:rPr>
              <w:t>k</w:t>
            </w:r>
            <w:r>
              <w:rPr>
                <w:sz w:val="20"/>
                <w:szCs w:val="20"/>
              </w:rPr>
              <w:t>W)</w:t>
            </w:r>
          </w:p>
        </w:tc>
      </w:tr>
      <w:tr w:rsidR="00414CC0" w14:paraId="7ACA67A3"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25820290" w14:textId="2F4613DD">
            <w:r>
              <w:rPr>
                <w:b/>
                <w:bCs/>
                <w:sz w:val="20"/>
                <w:szCs w:val="20"/>
              </w:rPr>
              <w:t>MI</w:t>
            </w:r>
          </w:p>
        </w:tc>
        <w:tc>
          <w:tcPr>
            <w:tcW w:w="6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7A908FC" w14:textId="03A6E775">
            <w:r>
              <w:rPr>
                <w:sz w:val="20"/>
                <w:szCs w:val="20"/>
              </w:rPr>
              <w:t xml:space="preserve">Intraday </w:t>
            </w:r>
            <w:r w:rsidR="00696EB0">
              <w:rPr>
                <w:sz w:val="20"/>
                <w:szCs w:val="20"/>
              </w:rPr>
              <w:t>a</w:t>
            </w:r>
            <w:r>
              <w:rPr>
                <w:sz w:val="20"/>
                <w:szCs w:val="20"/>
              </w:rPr>
              <w:t>uction</w:t>
            </w:r>
            <w:r w:rsidR="00960DEA">
              <w:rPr>
                <w:sz w:val="20"/>
                <w:szCs w:val="20"/>
              </w:rPr>
              <w:t>s (</w:t>
            </w:r>
            <w:r>
              <w:rPr>
                <w:sz w:val="20"/>
                <w:szCs w:val="20"/>
              </w:rPr>
              <w:t>1</w:t>
            </w:r>
            <w:r w:rsidR="00960DEA">
              <w:rPr>
                <w:sz w:val="20"/>
                <w:szCs w:val="20"/>
              </w:rPr>
              <w:t>-2-3)</w:t>
            </w:r>
            <w:r>
              <w:rPr>
                <w:sz w:val="20"/>
                <w:szCs w:val="20"/>
              </w:rPr>
              <w:t xml:space="preserve"> revenue</w:t>
            </w:r>
            <w:r w:rsidR="00960DEA">
              <w:rPr>
                <w:sz w:val="20"/>
                <w:szCs w:val="20"/>
              </w:rPr>
              <w:t>s</w:t>
            </w:r>
            <w:r>
              <w:rPr>
                <w:sz w:val="20"/>
                <w:szCs w:val="20"/>
              </w:rPr>
              <w:t xml:space="preserve"> (€/</w:t>
            </w:r>
            <w:r w:rsidR="006E59A8">
              <w:rPr>
                <w:sz w:val="20"/>
                <w:szCs w:val="20"/>
              </w:rPr>
              <w:t>k</w:t>
            </w:r>
            <w:r>
              <w:rPr>
                <w:sz w:val="20"/>
                <w:szCs w:val="20"/>
              </w:rPr>
              <w:t>W)</w:t>
            </w:r>
          </w:p>
        </w:tc>
      </w:tr>
      <w:tr w:rsidR="00414CC0" w14:paraId="6889A991"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47942DDA" w14:textId="77777777">
            <w:r>
              <w:rPr>
                <w:b/>
                <w:bCs/>
                <w:sz w:val="20"/>
                <w:szCs w:val="20"/>
              </w:rPr>
              <w:t>XBID</w:t>
            </w:r>
          </w:p>
        </w:tc>
        <w:tc>
          <w:tcPr>
            <w:tcW w:w="6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1AAFE24F" w14:textId="62861158">
            <w:r>
              <w:rPr>
                <w:sz w:val="20"/>
                <w:szCs w:val="20"/>
              </w:rPr>
              <w:t>Intraday continuous revenue</w:t>
            </w:r>
            <w:r w:rsidR="00696EB0">
              <w:rPr>
                <w:sz w:val="20"/>
                <w:szCs w:val="20"/>
              </w:rPr>
              <w:t>s</w:t>
            </w:r>
            <w:r>
              <w:rPr>
                <w:sz w:val="20"/>
                <w:szCs w:val="20"/>
              </w:rPr>
              <w:t xml:space="preserve"> (€/</w:t>
            </w:r>
            <w:r w:rsidR="006E59A8">
              <w:rPr>
                <w:sz w:val="20"/>
                <w:szCs w:val="20"/>
              </w:rPr>
              <w:t>k</w:t>
            </w:r>
            <w:r>
              <w:rPr>
                <w:sz w:val="20"/>
                <w:szCs w:val="20"/>
              </w:rPr>
              <w:t>W)</w:t>
            </w:r>
          </w:p>
        </w:tc>
      </w:tr>
      <w:tr w:rsidR="00414CC0" w14:paraId="43AE2714"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43B1AB6" w14:textId="0D932901">
            <w:r>
              <w:rPr>
                <w:b/>
                <w:bCs/>
                <w:sz w:val="20"/>
                <w:szCs w:val="20"/>
              </w:rPr>
              <w:t>MSD</w:t>
            </w:r>
            <w:r w:rsidR="00696EB0">
              <w:rPr>
                <w:b/>
                <w:bCs/>
                <w:sz w:val="20"/>
                <w:szCs w:val="20"/>
              </w:rPr>
              <w:t xml:space="preserve"> ex-ante</w:t>
            </w:r>
          </w:p>
        </w:tc>
        <w:tc>
          <w:tcPr>
            <w:tcW w:w="6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696EB0" w14:paraId="6A7C7555" w14:textId="583CF88C">
            <w:r>
              <w:rPr>
                <w:sz w:val="20"/>
                <w:szCs w:val="20"/>
              </w:rPr>
              <w:t>MSD ex-ante revenues (€/</w:t>
            </w:r>
            <w:r w:rsidR="006E59A8">
              <w:rPr>
                <w:sz w:val="20"/>
                <w:szCs w:val="20"/>
              </w:rPr>
              <w:t>k</w:t>
            </w:r>
            <w:r>
              <w:rPr>
                <w:sz w:val="20"/>
                <w:szCs w:val="20"/>
              </w:rPr>
              <w:t>W)</w:t>
            </w:r>
          </w:p>
        </w:tc>
      </w:tr>
      <w:tr w:rsidR="00414CC0" w14:paraId="7BDFABC2"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0B1E0502" w14:textId="77777777">
            <w:r>
              <w:rPr>
                <w:b/>
                <w:bCs/>
                <w:sz w:val="20"/>
                <w:szCs w:val="20"/>
              </w:rPr>
              <w:t>MB</w:t>
            </w:r>
          </w:p>
        </w:tc>
        <w:tc>
          <w:tcPr>
            <w:tcW w:w="6960" w:type="dxa"/>
            <w:tcBorders>
              <w:top w:val="single" w:color="CCCCCC" w:sz="4" w:space="0"/>
              <w:left w:val="single" w:color="CCCCCC" w:sz="4" w:space="0"/>
              <w:bottom w:val="single" w:color="CCCCCC" w:sz="4" w:space="0"/>
              <w:right w:val="single" w:color="CCCCCC" w:sz="4" w:space="0"/>
            </w:tcBorders>
            <w:shd w:val="clear" w:color="auto" w:fill="F0F4FA"/>
          </w:tcPr>
          <w:p w:rsidR="00414CC0" w:rsidRDefault="007326D6" w14:paraId="19B2CFEE" w14:textId="281A9481">
            <w:r>
              <w:rPr>
                <w:sz w:val="20"/>
                <w:szCs w:val="20"/>
              </w:rPr>
              <w:t>Balancing Market revenue</w:t>
            </w:r>
            <w:r w:rsidR="006E59A8">
              <w:rPr>
                <w:sz w:val="20"/>
                <w:szCs w:val="20"/>
              </w:rPr>
              <w:t>s</w:t>
            </w:r>
            <w:r>
              <w:rPr>
                <w:sz w:val="20"/>
                <w:szCs w:val="20"/>
              </w:rPr>
              <w:t xml:space="preserve"> (€/</w:t>
            </w:r>
            <w:r w:rsidR="006E59A8">
              <w:rPr>
                <w:sz w:val="20"/>
                <w:szCs w:val="20"/>
              </w:rPr>
              <w:t>k</w:t>
            </w:r>
            <w:r>
              <w:rPr>
                <w:sz w:val="20"/>
                <w:szCs w:val="20"/>
              </w:rPr>
              <w:t>W)</w:t>
            </w:r>
          </w:p>
        </w:tc>
      </w:tr>
      <w:tr w:rsidR="00C44537" w14:paraId="20CE22DB" w14:textId="77777777">
        <w:tc>
          <w:tcPr>
            <w:tcW w:w="2400" w:type="dxa"/>
            <w:tcBorders>
              <w:top w:val="single" w:color="CCCCCC" w:sz="4" w:space="0"/>
              <w:left w:val="single" w:color="CCCCCC" w:sz="4" w:space="0"/>
              <w:bottom w:val="single" w:color="CCCCCC" w:sz="4" w:space="0"/>
              <w:right w:val="single" w:color="CCCCCC" w:sz="4" w:space="0"/>
            </w:tcBorders>
            <w:shd w:val="clear" w:color="auto" w:fill="F0F4FA"/>
          </w:tcPr>
          <w:p w:rsidR="00C44537" w:rsidP="00C44537" w:rsidRDefault="00C44537" w14:paraId="56ABCA8E" w14:textId="058ADA6E">
            <w:pPr>
              <w:rPr>
                <w:b/>
                <w:bCs/>
                <w:sz w:val="20"/>
                <w:szCs w:val="20"/>
              </w:rPr>
            </w:pPr>
            <w:r>
              <w:rPr>
                <w:b/>
                <w:bCs/>
                <w:sz w:val="20"/>
                <w:szCs w:val="20"/>
              </w:rPr>
              <w:t>aFRR</w:t>
            </w:r>
            <w:r w:rsidR="005C7A1C">
              <w:rPr>
                <w:b/>
                <w:bCs/>
                <w:sz w:val="20"/>
                <w:szCs w:val="20"/>
              </w:rPr>
              <w:t xml:space="preserve"> energy</w:t>
            </w:r>
          </w:p>
        </w:tc>
        <w:tc>
          <w:tcPr>
            <w:tcW w:w="6960" w:type="dxa"/>
            <w:tcBorders>
              <w:top w:val="single" w:color="CCCCCC" w:sz="4" w:space="0"/>
              <w:left w:val="single" w:color="CCCCCC" w:sz="4" w:space="0"/>
              <w:bottom w:val="single" w:color="CCCCCC" w:sz="4" w:space="0"/>
              <w:right w:val="single" w:color="CCCCCC" w:sz="4" w:space="0"/>
            </w:tcBorders>
            <w:shd w:val="clear" w:color="auto" w:fill="F0F4FA"/>
          </w:tcPr>
          <w:p w:rsidR="00C44537" w:rsidP="00C44537" w:rsidRDefault="00C44537" w14:paraId="17869350" w14:textId="367B7C4E">
            <w:pPr>
              <w:rPr>
                <w:sz w:val="20"/>
                <w:szCs w:val="20"/>
              </w:rPr>
            </w:pPr>
            <w:r>
              <w:rPr>
                <w:sz w:val="20"/>
                <w:szCs w:val="20"/>
              </w:rPr>
              <w:t xml:space="preserve">aFRR </w:t>
            </w:r>
            <w:r w:rsidR="0000071D">
              <w:rPr>
                <w:sz w:val="20"/>
                <w:szCs w:val="20"/>
              </w:rPr>
              <w:t xml:space="preserve">energy </w:t>
            </w:r>
            <w:r>
              <w:rPr>
                <w:sz w:val="20"/>
                <w:szCs w:val="20"/>
              </w:rPr>
              <w:t>Market revenues (€/kW)</w:t>
            </w:r>
          </w:p>
        </w:tc>
      </w:tr>
    </w:tbl>
    <w:p w:rsidR="002C3C59" w:rsidRDefault="4156E6DE" w14:paraId="69722ED3" w14:textId="5D1DC11A">
      <w:pPr>
        <w:pBdr>
          <w:bottom w:val="single" w:color="1B3A6B" w:sz="8" w:space="0"/>
        </w:pBdr>
        <w:spacing w:before="480" w:after="160"/>
      </w:pPr>
      <w:r>
        <w:rPr>
          <w:b/>
          <w:bCs/>
          <w:color w:val="1B3A6B"/>
          <w:sz w:val="36"/>
          <w:szCs w:val="36"/>
        </w:rPr>
        <w:t xml:space="preserve">10. </w:t>
      </w:r>
      <w:commentRangeStart w:id="62"/>
      <w:commentRangeStart w:id="63"/>
      <w:r>
        <w:rPr>
          <w:b/>
          <w:bCs/>
          <w:color w:val="1B3A6B"/>
          <w:sz w:val="36"/>
          <w:szCs w:val="36"/>
        </w:rPr>
        <w:t>Notes &amp; Limitations</w:t>
      </w:r>
      <w:commentRangeEnd w:id="62"/>
      <w:r>
        <w:rPr>
          <w:rStyle w:val="CommentReference"/>
          <w:sz w:val="22"/>
          <w:szCs w:val="22"/>
        </w:rPr>
        <w:commentReference w:id="62"/>
      </w:r>
      <w:commentRangeEnd w:id="63"/>
      <w:r>
        <w:rPr>
          <w:rStyle w:val="CommentReference"/>
        </w:rPr>
        <w:commentReference w:id="63"/>
      </w:r>
    </w:p>
    <w:p w:rsidR="002C3C59" w:rsidRDefault="13FAF2F6" w14:paraId="3A64574A" w14:textId="3590D09F">
      <w:pPr>
        <w:spacing w:before="320" w:after="120"/>
        <w:rPr>
          <w:b/>
          <w:color w:val="2E5FA3"/>
          <w:sz w:val="28"/>
          <w:szCs w:val="28"/>
        </w:rPr>
      </w:pPr>
      <w:r>
        <w:rPr>
          <w:b/>
          <w:bCs/>
          <w:color w:val="2E5FA3"/>
          <w:sz w:val="28"/>
          <w:szCs w:val="28"/>
        </w:rPr>
        <w:t>10.1 Country-specific limitations</w:t>
      </w:r>
    </w:p>
    <w:p w:rsidR="002C3C59" w:rsidRDefault="001D7557" w14:paraId="36757984" w14:textId="77777777">
      <w:pPr>
        <w:pBdr>
          <w:left w:val="single" w:color="D97706" w:sz="20" w:space="0"/>
        </w:pBdr>
        <w:shd w:val="clear" w:color="auto" w:fill="FFF4E5"/>
        <w:spacing w:after="200"/>
        <w:ind w:left="180"/>
      </w:pPr>
      <w:r>
        <w:rPr>
          <w:i/>
          <w:iCs/>
          <w:color w:val="D97706"/>
          <w:sz w:val="18"/>
          <w:szCs w:val="18"/>
        </w:rPr>
        <w:t>🗺️  COUNTRY-SPECIFIC — complete separately for each market</w:t>
      </w:r>
    </w:p>
    <w:p w:rsidR="002C3C59" w:rsidRDefault="666F7BED" w14:paraId="53C3894E" w14:textId="33974A17">
      <w:pPr>
        <w:spacing w:before="200" w:after="80"/>
        <w:rPr>
          <w:b/>
          <w:color w:val="444444"/>
          <w:sz w:val="24"/>
          <w:szCs w:val="24"/>
        </w:rPr>
      </w:pPr>
      <w:r>
        <w:rPr>
          <w:b/>
          <w:bCs/>
          <w:color w:val="444444"/>
          <w:sz w:val="24"/>
          <w:szCs w:val="24"/>
        </w:rPr>
        <w:t>10.1.1 Great Britain</w:t>
      </w:r>
    </w:p>
    <w:p w:rsidR="002C3C59" w:rsidRDefault="001D7557" w14:paraId="0F7752B3" w14:textId="77777777">
      <w:pPr>
        <w:spacing w:after="120"/>
      </w:pPr>
      <w:r>
        <w:t>The following limitations are specific to the GB benchmark, in addition to the general limitations above:</w:t>
      </w:r>
    </w:p>
    <w:p w:rsidR="002C3C59" w:rsidRDefault="001D7557" w14:paraId="6FAC5CF0" w14:textId="77777777">
      <w:pPr>
        <w:spacing w:after="120"/>
        <w:ind w:left="360"/>
      </w:pPr>
      <w:r>
        <w:rPr>
          <w:b/>
          <w:bCs/>
        </w:rPr>
        <w:t xml:space="preserve">1.  FPN as proxy for wholesale position. </w:t>
      </w:r>
      <w:r>
        <w:t>Wholesale revenue is derived from the Final Physical Notification, which reflects the asset's declared position at gate closure. This may differ from the actual traded position if the asset subsequently adjusted its position via intraday markets or the Balancing Mechanism.</w:t>
      </w:r>
    </w:p>
    <w:p w:rsidR="002C3C59" w:rsidRDefault="001D7557" w14:paraId="42766111" w14:textId="77777777">
      <w:pPr>
        <w:spacing w:after="120"/>
        <w:ind w:left="360"/>
      </w:pPr>
      <w:r>
        <w:rPr>
          <w:b/>
          <w:bCs/>
        </w:rPr>
        <w:t xml:space="preserve">2.  GB network charges excluded. </w:t>
      </w:r>
      <w:r>
        <w:t>Gross revenue figures do not deduct Transmission Network Use of System (TNUoS) or Balancing Services Use of System (BSUoS) charges, which can be material for some assets.</w:t>
      </w:r>
    </w:p>
    <w:p w:rsidR="002C3C59" w:rsidRDefault="002C3C59" w14:paraId="5276A902" w14:textId="77777777">
      <w:pPr>
        <w:spacing w:after="120"/>
      </w:pPr>
    </w:p>
    <w:p w:rsidR="002C3C59" w:rsidRDefault="002C3C59" w14:paraId="2D3E97C8" w14:textId="77777777">
      <w:pPr>
        <w:spacing w:after="120"/>
      </w:pPr>
    </w:p>
    <w:p w:rsidR="002C3C59" w:rsidRDefault="001D7557" w14:paraId="55519644" w14:textId="77777777">
      <w:r>
        <w:br w:type="page"/>
      </w:r>
    </w:p>
    <w:p w:rsidR="00414CC0" w:rsidRDefault="007326D6" w14:paraId="3D4EB8E1" w14:textId="77777777">
      <w:pPr>
        <w:spacing w:before="200" w:after="80"/>
      </w:pPr>
      <w:r>
        <w:rPr>
          <w:b/>
          <w:bCs/>
          <w:color w:val="444444"/>
          <w:sz w:val="24"/>
          <w:szCs w:val="24"/>
        </w:rPr>
        <w:lastRenderedPageBreak/>
        <w:t>10.1.2 Italy</w:t>
      </w:r>
    </w:p>
    <w:p w:rsidR="00414CC0" w:rsidRDefault="007326D6" w14:paraId="101760BD" w14:textId="77777777">
      <w:pPr>
        <w:spacing w:after="120"/>
      </w:pPr>
      <w:r>
        <w:t>The following limitations are specific to the Italian benchmark, in addition to the general limitations above:</w:t>
      </w:r>
    </w:p>
    <w:p w:rsidR="00AF0BA4" w:rsidP="00AF0BA4" w:rsidRDefault="00805976" w14:paraId="1EAA2CC2" w14:textId="77777777">
      <w:pPr>
        <w:pStyle w:val="ListParagraph"/>
        <w:numPr>
          <w:ilvl w:val="0"/>
          <w:numId w:val="7"/>
        </w:numPr>
        <w:spacing w:after="120"/>
      </w:pPr>
      <w:r w:rsidRPr="00805976">
        <w:t>Asset capacity and duration data are not officially disclosed by GME; they are estimated by Aurora based on publicly available company information, auction results, desk research and observed trading behavior. As a result, the figures presented may differ from actual asset specifications.</w:t>
      </w:r>
    </w:p>
    <w:p w:rsidRPr="00AF0BA4" w:rsidR="00805976" w:rsidP="00AF0BA4" w:rsidRDefault="00AF0BA4" w14:paraId="1FEBD983" w14:textId="71FE23EE">
      <w:pPr>
        <w:pStyle w:val="ListParagraph"/>
        <w:numPr>
          <w:ilvl w:val="0"/>
          <w:numId w:val="7"/>
        </w:numPr>
        <w:spacing w:after="120"/>
      </w:pPr>
      <w:r w:rsidRPr="00AF0BA4">
        <w:t>Asset-specific trading data for MB (Balancing Market) and aFRR energy</w:t>
      </w:r>
      <w:r w:rsidR="004411BF">
        <w:t xml:space="preserve"> </w:t>
      </w:r>
      <w:r w:rsidR="00336AA1">
        <w:t>(PICASSO EU platform)</w:t>
      </w:r>
      <w:r w:rsidRPr="00AF0BA4">
        <w:t xml:space="preserve"> is published with an approximate two-month lag and is incorporated once released by GME.</w:t>
      </w:r>
    </w:p>
    <w:p w:rsidR="00414CC0" w:rsidP="004D331B" w:rsidRDefault="00414CC0" w14:paraId="7D4BA6DA" w14:textId="7E608279">
      <w:pPr>
        <w:spacing w:after="120"/>
        <w:ind w:left="360"/>
      </w:pPr>
    </w:p>
    <w:p w:rsidR="002C3C59" w:rsidRDefault="4657B540" w14:paraId="35FE9AE7" w14:textId="320CEA94">
      <w:pPr>
        <w:pBdr>
          <w:bottom w:val="single" w:color="1B3A6B" w:sz="8" w:space="0"/>
        </w:pBdr>
        <w:spacing w:before="480" w:after="160"/>
      </w:pPr>
      <w:r w:rsidRPr="632C2814" w:rsidR="4657B540">
        <w:rPr>
          <w:b w:val="1"/>
          <w:bCs w:val="1"/>
          <w:color w:val="1B3A6B"/>
          <w:sz w:val="36"/>
          <w:szCs w:val="36"/>
        </w:rPr>
        <w:t xml:space="preserve">11. </w:t>
      </w:r>
      <w:commentRangeStart w:id="64"/>
      <w:commentRangeStart w:id="65"/>
      <w:commentRangeStart w:id="66"/>
      <w:r w:rsidRPr="632C2814" w:rsidR="4657B540">
        <w:rPr>
          <w:b w:val="1"/>
          <w:bCs w:val="1"/>
          <w:color w:val="1B3A6B"/>
          <w:sz w:val="36"/>
          <w:szCs w:val="36"/>
        </w:rPr>
        <w:t>Contact &amp; Feedback</w:t>
      </w:r>
      <w:commentRangeEnd w:id="64"/>
      <w:r>
        <w:rPr>
          <w:rStyle w:val="CommentReference"/>
        </w:rPr>
        <w:commentReference w:id="64"/>
      </w:r>
      <w:commentRangeEnd w:id="65"/>
      <w:r>
        <w:rPr>
          <w:rStyle w:val="CommentReference"/>
        </w:rPr>
        <w:commentReference w:id="65"/>
      </w:r>
      <w:commentRangeEnd w:id="66"/>
      <w:r>
        <w:rPr>
          <w:rStyle w:val="CommentReference"/>
        </w:rPr>
        <w:commentReference w:id="66"/>
      </w:r>
    </w:p>
    <w:p w:rsidR="002C3C59" w:rsidRDefault="001D7557" w14:paraId="03894E7D" w14:textId="77777777">
      <w:pPr>
        <w:pBdr>
          <w:left w:val="single" w:color="2E5FA3" w:sz="20" w:space="0"/>
        </w:pBdr>
        <w:shd w:val="clear" w:color="auto" w:fill="EAF0F8"/>
        <w:spacing w:after="200"/>
        <w:ind w:left="180"/>
      </w:pPr>
      <w:r>
        <w:rPr>
          <w:i/>
          <w:iCs/>
          <w:color w:val="2E5FA3"/>
          <w:sz w:val="18"/>
          <w:szCs w:val="18"/>
        </w:rPr>
        <w:t>🌐  UNIVERSAL — applies identically to all markets</w:t>
      </w:r>
    </w:p>
    <w:p w:rsidR="002C3C59" w:rsidP="632C2814" w:rsidRDefault="002C3C59" w14:paraId="3FB233AA" w14:textId="3914391A">
      <w:pPr>
        <w:spacing w:after="120"/>
      </w:pPr>
      <w:r w:rsidR="001D7557">
        <w:rPr/>
        <w:t xml:space="preserve">For questions about the Real Performance Benchmark </w:t>
      </w:r>
      <w:r w:rsidR="001D7557">
        <w:rPr/>
        <w:t>methodology</w:t>
      </w:r>
      <w:r w:rsidR="001D7557">
        <w:rPr/>
        <w:t>, data coverage, or to report a potential error or inconsistency, please contact your Aurora account manager.</w:t>
      </w:r>
    </w:p>
    <w:p w:rsidR="002C3C59" w:rsidRDefault="001D7557" w14:paraId="3274C3F8" w14:textId="20DE4BEE">
      <w:pPr>
        <w:spacing w:after="120"/>
      </w:pPr>
      <w:r w:rsidR="001D7557">
        <w:rPr/>
        <w:t xml:space="preserve">Aurora welcomes feedback from clients and market participants on the </w:t>
      </w:r>
      <w:r w:rsidR="001D7557">
        <w:rPr/>
        <w:t>methodology</w:t>
      </w:r>
      <w:r w:rsidR="001D7557">
        <w:rPr/>
        <w:t>. All feedback received is reviewed</w:t>
      </w:r>
      <w:r w:rsidR="001D7557">
        <w:rPr/>
        <w:t>.</w:t>
      </w:r>
    </w:p>
    <w:p w:rsidR="632C2814" w:rsidP="632C2814" w:rsidRDefault="632C2814" w14:paraId="0AE8A443" w14:textId="50A48E20">
      <w:pPr>
        <w:spacing w:after="120"/>
      </w:pPr>
    </w:p>
    <w:p w:rsidR="632C2814" w:rsidP="632C2814" w:rsidRDefault="632C2814" w14:paraId="5A1B91F7" w14:textId="10BEB151">
      <w:pPr>
        <w:spacing w:after="120"/>
      </w:pPr>
    </w:p>
    <w:p w:rsidR="632C2814" w:rsidP="632C2814" w:rsidRDefault="632C2814" w14:paraId="02B12602" w14:textId="0148426F">
      <w:pPr>
        <w:spacing w:after="120"/>
      </w:pPr>
    </w:p>
    <w:p w:rsidR="632C2814" w:rsidRDefault="632C2814" w14:paraId="22AD3720" w14:textId="35ECC752">
      <w:r>
        <w:br w:type="page"/>
      </w:r>
    </w:p>
    <w:p w:rsidR="4DDC07BF" w:rsidP="632C2814" w:rsidRDefault="4DDC07BF" w14:paraId="5CCF0370" w14:textId="43A7F7EF">
      <w:pPr>
        <w:spacing w:after="120"/>
        <w:rPr>
          <w:rFonts w:ascii="Calibri" w:hAnsi="Calibri" w:eastAsia="Calibri" w:cs="Calibri"/>
          <w:b w:val="0"/>
          <w:bCs w:val="0"/>
          <w:i w:val="0"/>
          <w:iCs w:val="0"/>
          <w:caps w:val="0"/>
          <w:smallCaps w:val="0"/>
          <w:noProof w:val="0"/>
          <w:color w:val="222222"/>
          <w:sz w:val="28"/>
          <w:szCs w:val="28"/>
          <w:lang w:val="en-US"/>
        </w:rPr>
      </w:pPr>
      <w:r w:rsidRPr="632C2814" w:rsidR="4DDC07BF">
        <w:rPr>
          <w:rFonts w:ascii="Calibri" w:hAnsi="Calibri" w:eastAsia="Calibri" w:cs="Calibri"/>
          <w:b w:val="1"/>
          <w:bCs w:val="1"/>
          <w:i w:val="0"/>
          <w:iCs w:val="0"/>
          <w:caps w:val="0"/>
          <w:smallCaps w:val="0"/>
          <w:noProof w:val="0"/>
          <w:color w:val="222222"/>
          <w:sz w:val="28"/>
          <w:szCs w:val="28"/>
          <w:lang w:val="en-GB"/>
        </w:rPr>
        <w:t>Disclaimer</w:t>
      </w:r>
    </w:p>
    <w:p w:rsidR="4DDC07BF" w:rsidP="632C2814" w:rsidRDefault="4DDC07BF" w14:paraId="5B79237D" w14:textId="497E18C1">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0"/>
          <w:bCs w:val="0"/>
          <w:i w:val="0"/>
          <w:iCs w:val="0"/>
          <w:caps w:val="0"/>
          <w:smallCaps w:val="0"/>
          <w:noProof w:val="0"/>
          <w:color w:val="3C3C3B"/>
          <w:sz w:val="22"/>
          <w:szCs w:val="22"/>
          <w:lang w:val="en-GB"/>
        </w:rPr>
        <w:t>This document is provided "as is" for your information only and no representation or warranty, express or implied, is given by Aurora Energy Research Limited and its subsidiaries from time to time (together, “Aurora”), their directors, employees agents or affiliates (together, Aurora’s "</w:t>
      </w:r>
      <w:r w:rsidRPr="632C2814" w:rsidR="4DDC07BF">
        <w:rPr>
          <w:rFonts w:ascii="Calibri" w:hAnsi="Calibri" w:eastAsia="Calibri" w:cs="Calibri"/>
          <w:b w:val="1"/>
          <w:bCs w:val="1"/>
          <w:i w:val="0"/>
          <w:iCs w:val="0"/>
          <w:caps w:val="0"/>
          <w:smallCaps w:val="0"/>
          <w:noProof w:val="0"/>
          <w:color w:val="3C3C3B"/>
          <w:sz w:val="22"/>
          <w:szCs w:val="22"/>
          <w:lang w:val="en-GB"/>
        </w:rPr>
        <w:t>Associates</w:t>
      </w:r>
      <w:r w:rsidRPr="632C2814" w:rsidR="4DDC07BF">
        <w:rPr>
          <w:rFonts w:ascii="Calibri" w:hAnsi="Calibri" w:eastAsia="Calibri" w:cs="Calibri"/>
          <w:b w:val="0"/>
          <w:bCs w:val="0"/>
          <w:i w:val="0"/>
          <w:iCs w:val="0"/>
          <w:caps w:val="0"/>
          <w:smallCaps w:val="0"/>
          <w:noProof w:val="0"/>
          <w:color w:val="3C3C3B"/>
          <w:sz w:val="22"/>
          <w:szCs w:val="22"/>
          <w:lang w:val="en-GB"/>
        </w:rPr>
        <w:t>") as to its accuracy, reliability or completeness. Aurora and its Associates assume no responsibility, and accept no liability for, any loss arising out of your use of this document. This document is not to be relied upon for any purpose or used in substitution for your own independent investigations and sound judgment. The information contained in this document reflects our beliefs, assumptions, intentions and expectations as of the date of this document and is subject to change. Aurora assumes no obligation, and does not intend, to update this information.</w:t>
      </w:r>
    </w:p>
    <w:p w:rsidR="632C2814" w:rsidP="632C2814" w:rsidRDefault="632C2814" w14:paraId="3D404167" w14:textId="40F77B80">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p>
    <w:p w:rsidR="4DDC07BF" w:rsidP="632C2814" w:rsidRDefault="4DDC07BF" w14:paraId="71C68840" w14:textId="568EBFAE">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1"/>
          <w:bCs w:val="1"/>
          <w:i w:val="0"/>
          <w:iCs w:val="0"/>
          <w:caps w:val="0"/>
          <w:smallCaps w:val="0"/>
          <w:noProof w:val="0"/>
          <w:color w:val="3C3C3B"/>
          <w:sz w:val="22"/>
          <w:szCs w:val="22"/>
          <w:lang w:val="en-GB"/>
        </w:rPr>
        <w:t>Forward-looking statements</w:t>
      </w:r>
    </w:p>
    <w:p w:rsidR="4DDC07BF" w:rsidP="632C2814" w:rsidRDefault="4DDC07BF" w14:paraId="628168B3" w14:textId="6323AFC4">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0"/>
          <w:bCs w:val="0"/>
          <w:i w:val="0"/>
          <w:iCs w:val="0"/>
          <w:caps w:val="0"/>
          <w:smallCaps w:val="0"/>
          <w:noProof w:val="0"/>
          <w:color w:val="3C3C3B"/>
          <w:sz w:val="22"/>
          <w:szCs w:val="22"/>
          <w:lang w:val="en-GB"/>
        </w:rPr>
        <w:t xml:space="preserve">This document contains forward-looking statements and information, which reflect Aurora’s current view with respect to future events and financial performance. When used in this document, the words "believes", "expects", "plans", "may", "will", "would", "could", "should", "anticipates", "estimates", "project", "intend" or "outlook" or other variations of these words or other similar expressions are intended to identify forward-looking statements and information. </w:t>
      </w:r>
    </w:p>
    <w:p w:rsidR="632C2814" w:rsidP="632C2814" w:rsidRDefault="632C2814" w14:paraId="623EFAAD" w14:textId="0DF8217B">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p>
    <w:p w:rsidR="4DDC07BF" w:rsidP="632C2814" w:rsidRDefault="4DDC07BF" w14:paraId="492FDE6F" w14:textId="1B593BA3">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0"/>
          <w:bCs w:val="0"/>
          <w:i w:val="0"/>
          <w:iCs w:val="0"/>
          <w:caps w:val="0"/>
          <w:smallCaps w:val="0"/>
          <w:noProof w:val="0"/>
          <w:color w:val="3C3C3B"/>
          <w:sz w:val="22"/>
          <w:szCs w:val="22"/>
          <w:lang w:val="en-GB"/>
        </w:rPr>
        <w:t xml:space="preserve">Actual results may differ materially from the expectations expressed or implied in the forward-looking statements as a result of known and unknown risks and uncertainties. Known risks and uncertainties include but are not limited to: risks associated with political events in Europe and elsewhere, contractual risks, creditworthiness of customers, performance of suppliers and management of plant and personnel; risk associated with financial factors such as volatility in exchange rates, increases in interest rates, restrictions on access to capital, and swings in global financial markets; risks associated with domestic and foreign government regulation, including export controls and economic sanctions; and other risks, including litigation. The foregoing list of important factors is not exhaustive. </w:t>
      </w:r>
    </w:p>
    <w:p w:rsidR="632C2814" w:rsidP="632C2814" w:rsidRDefault="632C2814" w14:paraId="257E9211" w14:textId="139E1973">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p>
    <w:p w:rsidR="4DDC07BF" w:rsidP="632C2814" w:rsidRDefault="4DDC07BF" w14:paraId="18780BA1" w14:textId="4481354A">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1"/>
          <w:bCs w:val="1"/>
          <w:i w:val="0"/>
          <w:iCs w:val="0"/>
          <w:caps w:val="0"/>
          <w:smallCaps w:val="0"/>
          <w:noProof w:val="0"/>
          <w:color w:val="3C3C3B"/>
          <w:sz w:val="22"/>
          <w:szCs w:val="22"/>
          <w:lang w:val="en-GB"/>
        </w:rPr>
        <w:t>Copyright</w:t>
      </w:r>
    </w:p>
    <w:p w:rsidR="4DDC07BF" w:rsidP="632C2814" w:rsidRDefault="4DDC07BF" w14:paraId="138BFC6C" w14:textId="7B7DB4C1">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0"/>
          <w:bCs w:val="0"/>
          <w:i w:val="0"/>
          <w:iCs w:val="0"/>
          <w:caps w:val="0"/>
          <w:smallCaps w:val="0"/>
          <w:noProof w:val="0"/>
          <w:color w:val="3C3C3B"/>
          <w:sz w:val="22"/>
          <w:szCs w:val="22"/>
          <w:lang w:val="en-GB"/>
        </w:rPr>
        <w:t xml:space="preserve">This document and its content (including, but not limited to, the text, images, graphics and illustrations) is the copyright material of Aurora, unless otherwise stated. </w:t>
      </w:r>
    </w:p>
    <w:p w:rsidR="4DDC07BF" w:rsidP="632C2814" w:rsidRDefault="4DDC07BF" w14:paraId="6C2D3C0E" w14:textId="3E3FB3B9">
      <w:pPr>
        <w:shd w:val="clear" w:color="auto" w:fill="FFFFFF" w:themeFill="background1"/>
        <w:spacing w:before="0" w:beforeAutospacing="off" w:after="0" w:afterAutospacing="off" w:line="300" w:lineRule="auto"/>
        <w:jc w:val="left"/>
        <w:rPr>
          <w:rFonts w:ascii="Calibri" w:hAnsi="Calibri" w:eastAsia="Calibri" w:cs="Calibri"/>
          <w:b w:val="0"/>
          <w:bCs w:val="0"/>
          <w:i w:val="0"/>
          <w:iCs w:val="0"/>
          <w:caps w:val="0"/>
          <w:smallCaps w:val="0"/>
          <w:noProof w:val="0"/>
          <w:color w:val="3C3C3B"/>
          <w:sz w:val="22"/>
          <w:szCs w:val="22"/>
          <w:lang w:val="en-US"/>
        </w:rPr>
      </w:pPr>
      <w:r w:rsidRPr="632C2814" w:rsidR="4DDC07BF">
        <w:rPr>
          <w:rFonts w:ascii="Calibri" w:hAnsi="Calibri" w:eastAsia="Calibri" w:cs="Calibri"/>
          <w:b w:val="1"/>
          <w:bCs w:val="1"/>
          <w:i w:val="0"/>
          <w:iCs w:val="0"/>
          <w:caps w:val="0"/>
          <w:smallCaps w:val="0"/>
          <w:noProof w:val="0"/>
          <w:color w:val="3C3C3B"/>
          <w:sz w:val="22"/>
          <w:szCs w:val="22"/>
          <w:lang w:val="en-GB"/>
        </w:rPr>
        <w:t>This document is confidential and it may not be copied, reproduced, distributed or in any way used for commercial purposes without the prior written consent of Aurora.</w:t>
      </w:r>
    </w:p>
    <w:p w:rsidR="632C2814" w:rsidP="632C2814" w:rsidRDefault="632C2814" w14:paraId="3FF5AD88" w14:textId="48DB01F9">
      <w:pPr>
        <w:pStyle w:val="Normal"/>
        <w:spacing w:after="120"/>
      </w:pPr>
    </w:p>
    <w:sectPr w:rsidR="002C3C59">
      <w:headerReference w:type="default" r:id="rId15"/>
      <w:footerReference w:type="default" r:id="rId16"/>
      <w:pgSz w:w="11906" w:h="16838"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F" w:author="Cormac Farrell" w:date="2026-07-21T14:21:00Z" w:id="0">
    <w:p w:rsidR="00391490" w:rsidRDefault="00391490" w14:paraId="751209A7" w14:textId="4388A3B5">
      <w:pPr>
        <w:pStyle w:val="CommentText"/>
      </w:pPr>
      <w:r>
        <w:rPr>
          <w:rStyle w:val="CommentReference"/>
        </w:rPr>
        <w:annotationRef/>
      </w:r>
      <w:r w:rsidRPr="18402276">
        <w:t>We need to include a section on how data is aggregated to create Benchmarks. Ties to write?</w:t>
      </w:r>
    </w:p>
  </w:comment>
  <w:comment w:initials="AZ" w:author="Amina Abu Zahra" w:date="2026-07-23T16:52:00Z" w:id="1">
    <w:p w:rsidR="00F71EF6" w:rsidRDefault="00F71EF6" w14:paraId="4A82F9CD" w14:textId="1FCD2855">
      <w:pPr>
        <w:pStyle w:val="CommentText"/>
      </w:pPr>
      <w:r>
        <w:rPr>
          <w:rStyle w:val="CommentReference"/>
        </w:rPr>
        <w:annotationRef/>
      </w:r>
      <w:r>
        <w:fldChar w:fldCharType="begin"/>
      </w:r>
      <w:r>
        <w:instrText xml:space="preserve"> HYPERLINK "mailto:ties.vandijk@auroraer.com"</w:instrText>
      </w:r>
      <w:bookmarkStart w:name="_@_650A9EF8EA924268AB27400E5000EA22Z" w:id="2"/>
      <w:r>
        <w:fldChar w:fldCharType="separate"/>
      </w:r>
      <w:bookmarkEnd w:id="2"/>
      <w:r w:rsidRPr="6D06C4F3">
        <w:rPr>
          <w:rStyle w:val="Mention"/>
          <w:noProof/>
        </w:rPr>
        <w:t>@Ties van Dijk</w:t>
      </w:r>
      <w:r>
        <w:fldChar w:fldCharType="end"/>
      </w:r>
      <w:r w:rsidRPr="434B18C3">
        <w:t xml:space="preserve"> this is the specific section I was mentioning :)</w:t>
      </w:r>
    </w:p>
    <w:p w:rsidR="00F71EF6" w:rsidRDefault="00F71EF6" w14:paraId="551FEFF7" w14:textId="6C227387">
      <w:pPr>
        <w:pStyle w:val="CommentText"/>
      </w:pPr>
      <w:r w:rsidRPr="0F5272AB">
        <w:t>currently we have surrounding information but are missing the methodology link for how we move from the collected data to the actual published indices!</w:t>
      </w:r>
    </w:p>
  </w:comment>
  <w:comment w:initials="AZ" w:author="Amina Abu Zahra" w:date="2026-07-22T16:59:00Z" w:id="3">
    <w:p w:rsidR="00F60E72" w:rsidRDefault="00F60E72" w14:paraId="4B7DABD2" w14:textId="65243AFE">
      <w:pPr>
        <w:pStyle w:val="CommentText"/>
      </w:pPr>
      <w:r>
        <w:rPr>
          <w:rStyle w:val="CommentReference"/>
        </w:rPr>
        <w:annotationRef/>
      </w:r>
      <w:r w:rsidRPr="3B9C4D1A">
        <w:t>Updated in line with published GB methods as shared by Ashutosh Padelkar</w:t>
      </w:r>
    </w:p>
  </w:comment>
  <w:comment w:initials="CF" w:author="Cormac Farrell" w:date="2026-07-27T11:57:00Z" w:id="4">
    <w:p w:rsidR="00746CC8" w:rsidRDefault="00746CC8" w14:paraId="5E990FDE" w14:textId="05F22392">
      <w:pPr>
        <w:pStyle w:val="CommentText"/>
      </w:pPr>
      <w:r>
        <w:rPr>
          <w:rStyle w:val="CommentReference"/>
        </w:rPr>
        <w:annotationRef/>
      </w:r>
      <w:r w:rsidRPr="69A185D5">
        <w:t>The 1H and 2H bullet points might be country-specific, rather than universal. Italy has the following indices: All Italy, North 4H and Sardina 4H. The inclusion criteria for the 4 H indices is &lt;3.6 x &lt;4.5. Worth checking against NEM to see how much of this is universal</w:t>
      </w:r>
    </w:p>
  </w:comment>
  <w:comment w:initials="AZ" w:author="Amina Abu Zahra" w:date="2026-07-27T12:02:00Z" w:id="5">
    <w:p w:rsidR="00746CC8" w:rsidRDefault="00746CC8" w14:paraId="545BE61A" w14:textId="2A9529CD">
      <w:pPr>
        <w:pStyle w:val="CommentText"/>
      </w:pPr>
      <w:r>
        <w:rPr>
          <w:rStyle w:val="CommentReference"/>
        </w:rPr>
        <w:annotationRef/>
      </w:r>
      <w:r w:rsidRPr="4B233B00">
        <w:t>great point! thank you</w:t>
      </w:r>
    </w:p>
  </w:comment>
  <w:comment w:initials="AZ" w:author="Amina Abu Zahra" w:date="2026-07-27T14:25:00Z" w:id="6">
    <w:p w:rsidR="00746CC8" w:rsidRDefault="00746CC8" w14:paraId="2F6E0DD0" w14:textId="0199F444">
      <w:pPr>
        <w:pStyle w:val="CommentText"/>
      </w:pPr>
      <w:r>
        <w:rPr>
          <w:rStyle w:val="CommentReference"/>
        </w:rPr>
        <w:annotationRef/>
      </w:r>
      <w:r w:rsidRPr="2C2B0DFC">
        <w:t xml:space="preserve">log: changed the text to universal phrasing and included section </w:t>
      </w:r>
      <w:r w:rsidRPr="26E842F1">
        <w:rPr>
          <w:b/>
          <w:bCs/>
        </w:rPr>
        <w:t>7.1.2 Index composition</w:t>
      </w:r>
      <w:r w:rsidRPr="3EE1A482">
        <w:t> which details GB specific duration bands.</w:t>
      </w:r>
    </w:p>
  </w:comment>
  <w:comment w:initials="Rv" w:author="Rowan von Spreckelsen" w:date="2026-07-21T08:57:00Z" w:id="7">
    <w:p w:rsidR="009D6CA8" w:rsidP="009D6CA8" w:rsidRDefault="009D6CA8" w14:paraId="412153F5" w14:textId="77777777">
      <w:pPr>
        <w:pStyle w:val="CommentText"/>
      </w:pPr>
      <w:r>
        <w:rPr>
          <w:rStyle w:val="CommentReference"/>
        </w:rPr>
        <w:annotationRef/>
      </w:r>
      <w:r>
        <w:rPr>
          <w:lang w:val="en-AU"/>
        </w:rPr>
        <w:t>BMUs are very GB specific. Have suggested a more universal wording)</w:t>
      </w:r>
    </w:p>
  </w:comment>
  <w:comment w:initials="CF" w:author="Cormac Farrell" w:date="2026-07-21T11:39:00Z" w:id="8">
    <w:p w:rsidR="00CE69FB" w:rsidRDefault="00CE69FB" w14:paraId="36785AF9" w14:textId="0E297DFE">
      <w:pPr>
        <w:pStyle w:val="CommentText"/>
      </w:pPr>
      <w:r>
        <w:rPr>
          <w:rStyle w:val="CommentReference"/>
        </w:rPr>
        <w:annotationRef/>
      </w:r>
      <w:r w:rsidRPr="450D98BF">
        <w:t>Agree with the wording change</w:t>
      </w:r>
    </w:p>
  </w:comment>
  <w:comment w:initials="Rv" w:author="Rowan von Spreckelsen" w:date="2026-07-21T08:59:00Z" w:id="9">
    <w:p w:rsidR="009F1F64" w:rsidP="009F1F64" w:rsidRDefault="009F1F64" w14:paraId="72259E1C" w14:textId="77777777">
      <w:pPr>
        <w:pStyle w:val="CommentText"/>
      </w:pPr>
      <w:r>
        <w:rPr>
          <w:rStyle w:val="CommentReference"/>
        </w:rPr>
        <w:annotationRef/>
      </w:r>
      <w:r>
        <w:rPr>
          <w:lang w:val="en-AU"/>
        </w:rPr>
        <w:t>What is this? Is this something new or do we already publish it somewhere? If yes, we should hyperlink it to this universal section</w:t>
      </w:r>
    </w:p>
  </w:comment>
  <w:comment w:initials="CF" w:author="Cormac Farrell" w:date="2026-07-21T11:41:00Z" w:id="10">
    <w:p w:rsidR="00CE69FB" w:rsidRDefault="00CE69FB" w14:paraId="6E16B59B" w14:textId="195119B4">
      <w:pPr>
        <w:pStyle w:val="CommentText"/>
      </w:pPr>
      <w:r>
        <w:rPr>
          <w:rStyle w:val="CommentReference"/>
        </w:rPr>
        <w:annotationRef/>
      </w:r>
      <w:r w:rsidRPr="755FB65A">
        <w:t>The GB Research team included this line in their methodology doc: '</w:t>
      </w:r>
      <w:r w:rsidRPr="31B039A1">
        <w:rPr>
          <w:i/>
          <w:iCs/>
        </w:rPr>
        <w:t xml:space="preserve">The BESS assets included in the benchmark are maintained in a curated asset register'. </w:t>
      </w:r>
      <w:r>
        <w:fldChar w:fldCharType="begin"/>
      </w:r>
      <w:r>
        <w:instrText xml:space="preserve"> HYPERLINK "mailto:amina.abuzahra@auroraer.com"</w:instrText>
      </w:r>
      <w:bookmarkStart w:name="_@_E8874F71A2434F5886ECF15F447F07B6Z" w:id="12"/>
      <w:r>
        <w:fldChar w:fldCharType="separate"/>
      </w:r>
      <w:bookmarkEnd w:id="12"/>
      <w:r w:rsidRPr="6AC7EDF4">
        <w:rPr>
          <w:noProof/>
        </w:rPr>
        <w:t>@Amina Abu Zahra</w:t>
      </w:r>
      <w:r>
        <w:fldChar w:fldCharType="end"/>
      </w:r>
      <w:r w:rsidRPr="0C087E06">
        <w:t xml:space="preserve"> - can you check where this register is with Ashutosh Padelkar in GB Research?</w:t>
      </w:r>
    </w:p>
  </w:comment>
  <w:comment w:initials="TD" w:author="Ties van Dijk" w:date="2026-07-23T15:17:00Z" w:id="11">
    <w:p w:rsidR="007C0AF7" w:rsidRDefault="007C0AF7" w14:paraId="27A30C8C" w14:textId="578A5279">
      <w:pPr>
        <w:pStyle w:val="CommentText"/>
      </w:pPr>
      <w:r>
        <w:rPr>
          <w:rStyle w:val="CommentReference"/>
        </w:rPr>
        <w:annotationRef/>
      </w:r>
      <w:r w:rsidRPr="0B36F480">
        <w:t>I think GB is referring to the manual sheet that they maintain. This is a csv file that contains metadata (duration, capacity etc) for each asset. This csv file is scraped into DWH, which is then post-processed into a standardised Aurora format (Historic DWH), which in turn is loaded by Flexplorer.</w:t>
      </w:r>
    </w:p>
  </w:comment>
  <w:comment w:initials="Rv" w:author="Rowan von Spreckelsen" w:date="2026-07-21T09:06:00Z" w:id="14">
    <w:p w:rsidR="00245196" w:rsidP="00245196" w:rsidRDefault="00245196" w14:paraId="3DF73046" w14:textId="66733ABE">
      <w:pPr>
        <w:pStyle w:val="CommentText"/>
      </w:pPr>
      <w:r>
        <w:rPr>
          <w:rStyle w:val="CommentReference"/>
        </w:rPr>
        <w:annotationRef/>
      </w:r>
      <w:r>
        <w:rPr>
          <w:lang w:val="en-AU"/>
        </w:rPr>
        <w:t>This relates to my question on section 2.3 - will we include this register in the country-specific sections?</w:t>
      </w:r>
    </w:p>
  </w:comment>
  <w:comment w:initials="Rv" w:author="Rowan von Spreckelsen" w:date="1900-01-01T00:00:00Z" w:id="15">
    <w:p w:rsidR="001D2B80" w:rsidRDefault="001D2B80" w14:paraId="0C5D859A" w14:textId="6C497B15">
      <w:pPr>
        <w:pStyle w:val="CommentText"/>
      </w:pPr>
      <w:r>
        <w:rPr>
          <w:rStyle w:val="CommentReference"/>
        </w:rPr>
        <w:annotationRef/>
      </w:r>
      <w:r w:rsidRPr="71A1B39D">
        <w:t xml:space="preserve">This feels like it more naturally fits in the “universal” section. Maybe a new Universal data handling section…? </w:t>
      </w:r>
    </w:p>
  </w:comment>
  <w:comment w:initials="CF" w:author="Cormac Farrell" w:date="1900-01-01T00:00:00Z" w:id="16">
    <w:p w:rsidR="001D2B80" w:rsidRDefault="001D2B80" w14:paraId="39A7BCF3" w14:textId="65666FF9">
      <w:pPr>
        <w:pStyle w:val="CommentText"/>
      </w:pPr>
      <w:r>
        <w:rPr>
          <w:rStyle w:val="CommentReference"/>
        </w:rPr>
        <w:annotationRef/>
      </w:r>
      <w:r w:rsidRPr="4A4B6726">
        <w:t xml:space="preserve">Agree - </w:t>
      </w:r>
      <w:r>
        <w:fldChar w:fldCharType="begin"/>
      </w:r>
      <w:r>
        <w:instrText xml:space="preserve"> HYPERLINK "mailto:amina.abuzahra@auroraer.com"</w:instrText>
      </w:r>
      <w:bookmarkStart w:name="_@_750508FCC5414E4CBF8BE47B12F9988BZ" w:id="17"/>
      <w:r>
        <w:fldChar w:fldCharType="separate"/>
      </w:r>
      <w:bookmarkEnd w:id="17"/>
      <w:r w:rsidRPr="720748AC">
        <w:rPr>
          <w:noProof/>
        </w:rPr>
        <w:t>@Amina Abu Zahra</w:t>
      </w:r>
      <w:r>
        <w:fldChar w:fldCharType="end"/>
      </w:r>
      <w:r w:rsidRPr="166B3A7E">
        <w:t xml:space="preserve"> - can you create a new 'universal' Data section in the document a</w:t>
      </w:r>
      <w:r w:rsidRPr="4C133480">
        <w:t xml:space="preserve">nd move these paragraphs from the country-specific area to universal? Thanks </w:t>
      </w:r>
    </w:p>
  </w:comment>
  <w:comment w:initials="Rv" w:author="Rowan von Spreckelsen" w:date="1900-01-01T00:00:00Z" w:id="18">
    <w:p w:rsidR="001D2B80" w:rsidRDefault="001D2B80" w14:paraId="7568770C" w14:textId="115B2088">
      <w:pPr>
        <w:pStyle w:val="CommentText"/>
      </w:pPr>
      <w:r>
        <w:rPr>
          <w:rStyle w:val="CommentReference"/>
        </w:rPr>
        <w:annotationRef/>
      </w:r>
      <w:r w:rsidRPr="3B1D0BDB">
        <w:t>Ditto - could also be in a universal data handling section</w:t>
      </w:r>
    </w:p>
  </w:comment>
  <w:comment w:initials="Rv" w:author="Rowan von Spreckelsen" w:date="1900-01-01T00:00:00Z" w:id="19">
    <w:p w:rsidR="001D2B80" w:rsidRDefault="001D2B80" w14:paraId="535E5A24" w14:textId="029F203F">
      <w:pPr>
        <w:pStyle w:val="CommentText"/>
      </w:pPr>
      <w:r>
        <w:rPr>
          <w:rStyle w:val="CommentReference"/>
        </w:rPr>
        <w:annotationRef/>
      </w:r>
      <w:r w:rsidRPr="6FFF3992">
        <w:t>Ditto - could also be in a universal data handling section</w:t>
      </w:r>
    </w:p>
  </w:comment>
  <w:comment w:initials="Rv" w:author="Rowan von Spreckelsen" w:date="1900-01-01T00:00:00Z" w:id="20">
    <w:p w:rsidR="001D2B80" w:rsidRDefault="001D2B80" w14:paraId="2D110459" w14:textId="2E9FAB1B">
      <w:pPr>
        <w:pStyle w:val="CommentText"/>
      </w:pPr>
      <w:r>
        <w:rPr>
          <w:rStyle w:val="CommentReference"/>
        </w:rPr>
        <w:annotationRef/>
      </w:r>
      <w:r w:rsidRPr="61AF28D7">
        <w:t>Ditto - could also be in a universal data handling section</w:t>
      </w:r>
    </w:p>
  </w:comment>
  <w:comment w:initials="Rv" w:author="Rowan von Spreckelsen" w:date="2026-07-21T09:13:00Z" w:id="29">
    <w:p w:rsidR="00781D86" w:rsidP="00781D86" w:rsidRDefault="00781D86" w14:paraId="5ED9FB7F" w14:textId="77777777">
      <w:pPr>
        <w:pStyle w:val="CommentText"/>
      </w:pPr>
      <w:r>
        <w:rPr>
          <w:rStyle w:val="CommentReference"/>
        </w:rPr>
        <w:annotationRef/>
      </w:r>
      <w:r>
        <w:rPr>
          <w:lang w:val="en-AU"/>
        </w:rPr>
        <w:t>Can we add the link to the register here? Feels like the natural place</w:t>
      </w:r>
    </w:p>
  </w:comment>
  <w:comment w:initials="AZ" w:author="Amina Abu Zahra" w:date="2026-07-27T14:23:00Z" w:id="30">
    <w:p w:rsidR="00746CC8" w:rsidRDefault="00746CC8" w14:paraId="0CCBF8D0" w14:textId="3F0F7D50">
      <w:pPr>
        <w:pStyle w:val="CommentText"/>
      </w:pPr>
      <w:r>
        <w:rPr>
          <w:rStyle w:val="CommentReference"/>
        </w:rPr>
        <w:annotationRef/>
      </w:r>
      <w:r w:rsidRPr="0A237C8C">
        <w:t>Note before closing thread: register is internal only, not for publication</w:t>
      </w:r>
    </w:p>
  </w:comment>
  <w:comment w:initials="Rv" w:author="Rowan von Spreckelsen" w:date="2026-07-21T09:17:00Z" w:id="31">
    <w:p w:rsidR="004B10C5" w:rsidP="004B10C5" w:rsidRDefault="004B10C5" w14:paraId="1144B422" w14:textId="77777777">
      <w:pPr>
        <w:pStyle w:val="CommentText"/>
      </w:pPr>
      <w:r>
        <w:rPr>
          <w:rStyle w:val="CommentReference"/>
        </w:rPr>
        <w:annotationRef/>
      </w:r>
      <w:r>
        <w:rPr>
          <w:lang w:val="en-AU"/>
        </w:rPr>
        <w:t xml:space="preserve">Can we add some additional details to explain what we mean here in a bit more detail? </w:t>
      </w:r>
      <w:r>
        <w:rPr>
          <w:lang w:val="en-AU"/>
        </w:rPr>
        <w:br/>
      </w:r>
      <w:r>
        <w:rPr>
          <w:lang w:val="en-AU"/>
        </w:rPr>
        <w:br/>
        <w:t>I know batteries in markets other than GB and this isn’t super clear to me so expect may be the same for others</w:t>
      </w:r>
    </w:p>
  </w:comment>
  <w:comment w:initials="CF" w:author="Cormac Farrell" w:date="2026-07-21T11:56:00Z" w:id="32">
    <w:p w:rsidR="00075449" w:rsidRDefault="00075449" w14:paraId="2B26343E" w14:textId="552056CC">
      <w:pPr>
        <w:pStyle w:val="CommentText"/>
      </w:pPr>
      <w:r>
        <w:rPr>
          <w:rStyle w:val="CommentReference"/>
        </w:rPr>
        <w:annotationRef/>
      </w:r>
      <w:r>
        <w:fldChar w:fldCharType="begin"/>
      </w:r>
      <w:r>
        <w:instrText xml:space="preserve"> HYPERLINK "mailto:amina.abuzahra@auroraer.com"</w:instrText>
      </w:r>
      <w:bookmarkStart w:name="_@_8BEA1346D96F436D8AF62917CD40C1E5Z" w:id="34"/>
      <w:r>
        <w:fldChar w:fldCharType="separate"/>
      </w:r>
      <w:bookmarkEnd w:id="34"/>
      <w:r w:rsidRPr="38C61C82">
        <w:rPr>
          <w:noProof/>
        </w:rPr>
        <w:t>@Amina Abu Zahra</w:t>
      </w:r>
      <w:r>
        <w:fldChar w:fldCharType="end"/>
      </w:r>
      <w:r w:rsidRPr="014EC5C8">
        <w:t xml:space="preserve"> - can you clarify this line with Ashutosh and update the document. The high / low frequency components seem to be related specifically to Frequency Response markets, The positive + negative relates to Reserve Services. </w:t>
      </w:r>
    </w:p>
  </w:comment>
  <w:comment w:initials="AZ" w:author="Amina Abu Zahra" w:date="2026-07-21T14:32:00Z" w:id="33">
    <w:p w:rsidR="00665880" w:rsidRDefault="00665880" w14:paraId="62F82F04" w14:textId="5DAC14C2">
      <w:pPr>
        <w:pStyle w:val="CommentText"/>
      </w:pPr>
      <w:r>
        <w:rPr>
          <w:rStyle w:val="CommentReference"/>
        </w:rPr>
        <w:annotationRef/>
      </w:r>
      <w:r w:rsidRPr="6F5D20FB">
        <w:t>I've updated this to the phrasing Ash suggested for now, although we will continue to monitor exact phrasing and clarity going forward.</w:t>
      </w:r>
    </w:p>
  </w:comment>
  <w:comment w:initials="Rv" w:author="Rowan von Spreckelsen" w:date="2026-07-21T09:15:00Z" w:id="35">
    <w:p w:rsidR="00121413" w:rsidP="00121413" w:rsidRDefault="00121413" w14:paraId="58A10647" w14:textId="77777777">
      <w:pPr>
        <w:pStyle w:val="CommentText"/>
      </w:pPr>
      <w:r>
        <w:rPr>
          <w:rStyle w:val="CommentReference"/>
        </w:rPr>
        <w:annotationRef/>
      </w:r>
      <w:r>
        <w:rPr>
          <w:lang w:val="en-AU"/>
        </w:rPr>
        <w:t>Is this a typo? Should it be WM?</w:t>
      </w:r>
    </w:p>
  </w:comment>
  <w:comment w:initials="CF" w:author="Cormac Farrell" w:date="2026-07-21T11:51:00Z" w:id="36">
    <w:p w:rsidR="00075449" w:rsidRDefault="00075449" w14:paraId="06E84356" w14:textId="6E2E0346">
      <w:pPr>
        <w:pStyle w:val="CommentText"/>
      </w:pPr>
      <w:r>
        <w:rPr>
          <w:rStyle w:val="CommentReference"/>
        </w:rPr>
        <w:annotationRef/>
      </w:r>
      <w:r w:rsidRPr="2F547622">
        <w:t xml:space="preserve">Agree - looks like a typo. It was in the original GB doc and has carried through. </w:t>
      </w:r>
      <w:r>
        <w:fldChar w:fldCharType="begin"/>
      </w:r>
      <w:r>
        <w:instrText xml:space="preserve"> HYPERLINK "mailto:amina.abuzahra@auroraer.com"</w:instrText>
      </w:r>
      <w:bookmarkStart w:name="_@_E9C73FA615614749B6EE8249E02E5404Z" w:id="38"/>
      <w:r>
        <w:fldChar w:fldCharType="separate"/>
      </w:r>
      <w:bookmarkEnd w:id="38"/>
      <w:r w:rsidRPr="001FF64D">
        <w:rPr>
          <w:noProof/>
        </w:rPr>
        <w:t>@Amina Abu Zahra</w:t>
      </w:r>
      <w:r>
        <w:fldChar w:fldCharType="end"/>
      </w:r>
      <w:r w:rsidRPr="6C066517">
        <w:t xml:space="preserve"> - when you are reaching out to Ashutosh, can you double check this please?</w:t>
      </w:r>
    </w:p>
  </w:comment>
  <w:comment w:initials="AZ" w:author="Amina Abu Zahra" w:date="2026-07-21T14:33:00Z" w:id="37">
    <w:p w:rsidR="00E83838" w:rsidRDefault="00E83838" w14:paraId="12E153DF" w14:textId="29DF3749">
      <w:pPr>
        <w:pStyle w:val="CommentText"/>
      </w:pPr>
      <w:r>
        <w:rPr>
          <w:rStyle w:val="CommentReference"/>
        </w:rPr>
        <w:annotationRef/>
      </w:r>
      <w:r w:rsidRPr="44095DA7">
        <w:t xml:space="preserve">I've fixed the WB typo throughout and also made the relevant change to the live page via the CMS! </w:t>
      </w:r>
    </w:p>
  </w:comment>
  <w:comment w:initials="Rv" w:author="Rowan von Spreckelsen" w:date="2026-07-21T09:20:00Z" w:id="61">
    <w:p w:rsidR="00653A63" w:rsidP="00653A63" w:rsidRDefault="00653A63" w14:paraId="1CFD070C" w14:textId="77777777">
      <w:pPr>
        <w:pStyle w:val="CommentText"/>
      </w:pPr>
      <w:r>
        <w:rPr>
          <w:rStyle w:val="CommentReference"/>
        </w:rPr>
        <w:annotationRef/>
      </w:r>
      <w:r>
        <w:rPr>
          <w:lang w:val="en-AU"/>
        </w:rPr>
        <w:t>See earlier comment on possible typo. Will need to check throughout doc accordingly</w:t>
      </w:r>
    </w:p>
  </w:comment>
  <w:comment w:initials="Rv" w:author="Rowan von Spreckelsen" w:date="2026-07-21T09:27:00Z" w:id="62">
    <w:p w:rsidR="0058093A" w:rsidP="0058093A" w:rsidRDefault="0058093A" w14:paraId="144F478C" w14:textId="77777777">
      <w:pPr>
        <w:pStyle w:val="CommentText"/>
      </w:pPr>
      <w:r>
        <w:rPr>
          <w:rStyle w:val="CommentReference"/>
        </w:rPr>
        <w:annotationRef/>
      </w:r>
      <w:r>
        <w:rPr>
          <w:lang w:val="en-AU"/>
        </w:rPr>
        <w:t>This section has both universal and country-specific sections. From a maintenance perspective I think it will be easier if we have all the universal sections up front together, followed by all the country-specific sections. I don’t think it’s an issue if we have the same sub-section heading (e.g. notes and limitations) in both the Universal and country-specific sections.</w:t>
      </w:r>
      <w:r>
        <w:rPr>
          <w:lang w:val="en-AU"/>
        </w:rPr>
        <w:br/>
      </w:r>
      <w:r>
        <w:rPr>
          <w:lang w:val="en-AU"/>
        </w:rPr>
        <w:br/>
        <w:t>If you agree, could we update the structure along those lines?</w:t>
      </w:r>
    </w:p>
  </w:comment>
  <w:comment w:initials="CF" w:author="Cormac Farrell" w:date="2026-07-21T12:01:00Z" w:id="63">
    <w:p w:rsidR="00CE69FB" w:rsidRDefault="00CE69FB" w14:paraId="1D9502D7" w14:textId="6A0CE468">
      <w:pPr>
        <w:pStyle w:val="CommentText"/>
      </w:pPr>
      <w:r>
        <w:rPr>
          <w:rStyle w:val="CommentReference"/>
        </w:rPr>
        <w:annotationRef/>
      </w:r>
      <w:r w:rsidRPr="70246FF0">
        <w:t>Agree. Let's move the General Limitations up to the universal section of the document, and leave the country-specific limitations in this place</w:t>
      </w:r>
    </w:p>
  </w:comment>
  <w:comment w:initials="Rv" w:author="Rowan von Spreckelsen" w:date="2026-07-21T09:37:00Z" w:id="64">
    <w:p w:rsidR="003E3707" w:rsidP="003E3707" w:rsidRDefault="003E3707" w14:paraId="524279EE" w14:textId="77777777">
      <w:pPr>
        <w:pStyle w:val="CommentText"/>
      </w:pPr>
      <w:r>
        <w:rPr>
          <w:rStyle w:val="CommentReference"/>
        </w:rPr>
        <w:annotationRef/>
      </w:r>
      <w:r>
        <w:rPr>
          <w:lang w:val="en-AU"/>
        </w:rPr>
        <w:t>Can we add a disclaimer section at the end (can use Aurora’s standard disclaimer as the placeholder for now).</w:t>
      </w:r>
      <w:r>
        <w:rPr>
          <w:lang w:val="en-AU"/>
        </w:rPr>
        <w:br/>
      </w:r>
      <w:r>
        <w:rPr>
          <w:lang w:val="en-AU"/>
        </w:rPr>
        <w:br/>
        <w:t>Suggest we also have an appendix section for adding methodology / version control change details (similar to Modo)</w:t>
      </w:r>
    </w:p>
  </w:comment>
  <w:comment w:initials="CF" w:author="Cormac Farrell" w:date="2026-07-21T11:59:00Z" w:id="65">
    <w:p w:rsidR="00CE69FB" w:rsidRDefault="00CE69FB" w14:paraId="7BF696D1" w14:textId="3A27F5AA">
      <w:pPr>
        <w:pStyle w:val="CommentText"/>
      </w:pPr>
      <w:r>
        <w:rPr>
          <w:rStyle w:val="CommentReference"/>
        </w:rPr>
        <w:annotationRef/>
      </w:r>
      <w:r>
        <w:fldChar w:fldCharType="begin"/>
      </w:r>
      <w:r>
        <w:instrText xml:space="preserve"> HYPERLINK "mailto:rowan.vonspreckelsen@auroraer.com"</w:instrText>
      </w:r>
      <w:bookmarkStart w:name="_@_038F6D7EF2214265907B5F902C56F7E4Z" w:id="67"/>
      <w:r>
        <w:fldChar w:fldCharType="separate"/>
      </w:r>
      <w:bookmarkEnd w:id="67"/>
      <w:r w:rsidRPr="533E090F">
        <w:rPr>
          <w:noProof/>
        </w:rPr>
        <w:t>@Rowan von Spreckelsen</w:t>
      </w:r>
      <w:r>
        <w:fldChar w:fldCharType="end"/>
      </w:r>
      <w:r w:rsidRPr="04EAFCEB">
        <w:t xml:space="preserve"> - can you share Aurora's standard disclaimer? Thanks</w:t>
      </w:r>
    </w:p>
  </w:comment>
  <w:comment w:initials="Rv" w:author="Rowan von Spreckelsen" w:date="2026-07-21T15:08:00Z" w:id="66">
    <w:p w:rsidR="003C6659" w:rsidP="003C6659" w:rsidRDefault="003C6659" w14:paraId="359A772E" w14:textId="77777777">
      <w:pPr>
        <w:pStyle w:val="CommentText"/>
      </w:pPr>
      <w:r>
        <w:rPr>
          <w:rStyle w:val="CommentReference"/>
        </w:rPr>
        <w:annotationRef/>
      </w:r>
      <w:r>
        <w:rPr>
          <w:lang w:val="en-AU"/>
        </w:rPr>
        <w:t>Here you go. It will need some tweaking by legal to align it with a public-facing webpage vs a confidential doc but it will do as a placeholder</w:t>
      </w:r>
      <w:r>
        <w:rPr>
          <w:lang w:val="en-AU"/>
        </w:rPr>
        <w:br/>
      </w:r>
      <w:r>
        <w:rPr>
          <w:lang w:val="en-AU"/>
        </w:rPr>
        <w:br/>
      </w:r>
      <w:r>
        <w:rPr>
          <w:lang w:val="en-AU"/>
        </w:rPr>
        <w:br/>
      </w:r>
      <w:r>
        <w:rPr>
          <w:b/>
          <w:bCs/>
          <w:color w:val="3C3C3B"/>
        </w:rPr>
        <w:t>General Disclaimer</w:t>
      </w:r>
    </w:p>
    <w:p w:rsidR="003C6659" w:rsidP="003C6659" w:rsidRDefault="003C6659" w14:paraId="01DB0099" w14:textId="77777777">
      <w:pPr>
        <w:pStyle w:val="CommentText"/>
      </w:pPr>
      <w:r>
        <w:rPr>
          <w:color w:val="3C3C3B"/>
        </w:rPr>
        <w:t>This document is provided "as is" for your information only and no representation or warranty, express or implied, is given by Aurora Energy Research Limited and its subsidiaries from time to time (together, “Aurora”), their directors, employees agents or affiliates (together, Aurora’s "</w:t>
      </w:r>
      <w:r>
        <w:rPr>
          <w:b/>
          <w:bCs/>
          <w:color w:val="3C3C3B"/>
        </w:rPr>
        <w:t>Associates</w:t>
      </w:r>
      <w:r>
        <w:rPr>
          <w:color w:val="3C3C3B"/>
        </w:rPr>
        <w:t>") as to its accuracy, reliability or completeness.  Aurora and its Associates assume no responsibility, and accept no liability for, any loss arising out of your use of this document.  This document is not to be relied upon for any purpose or used in substitution for your own independent investigations and sound judgment.  The information contained in this document reflects our beliefs, assumptions, intentions and expectations as of the date of this document and is subject to change. Aurora assumes no obligation, and does not intend, to update this information.</w:t>
      </w:r>
    </w:p>
    <w:p w:rsidR="003C6659" w:rsidP="003C6659" w:rsidRDefault="003C6659" w14:paraId="49B29BBD" w14:textId="77777777">
      <w:pPr>
        <w:pStyle w:val="CommentText"/>
      </w:pPr>
      <w:r>
        <w:rPr>
          <w:b/>
          <w:bCs/>
          <w:color w:val="3C3C3B"/>
        </w:rPr>
        <w:t>Forward-looking statements</w:t>
      </w:r>
    </w:p>
    <w:p w:rsidR="003C6659" w:rsidP="003C6659" w:rsidRDefault="003C6659" w14:paraId="640D774E" w14:textId="77777777">
      <w:pPr>
        <w:pStyle w:val="CommentText"/>
      </w:pPr>
      <w:r>
        <w:rPr>
          <w:color w:val="3C3C3B"/>
        </w:rPr>
        <w:t xml:space="preserve">This document contains forward-looking statements and information, which reflect Aurora’s current view with respect to future events and financial performance. When used in this document, the words "believes", "expects", "plans", "may", "will", "would", "could", "should", "anticipates", "estimates", "project", "intend" or "outlook" or other variations of these words or other similar expressions are intended to identify forward-looking statements and information. Actual results may differ materially from the expectations expressed or implied in the forward-looking statements as a result of known and unknown risks and uncertainties. Known risks and uncertainties include but are not limited to: risks associated with political events in Europe and elsewhere, contractual risks, creditworthiness of customers, performance of suppliers and management of plant and personnel; risk associated with financial factors such as volatility in exchange rates, increases in interest rates, restrictions on access to capital, and swings in global financial markets; risks associated with domestic and foreign government regulation, including export controls and economic sanctions; and other risks, including litigation. The foregoing list of important factors is not exhaustive. </w:t>
      </w:r>
    </w:p>
    <w:p w:rsidR="003C6659" w:rsidP="003C6659" w:rsidRDefault="003C6659" w14:paraId="73A6CD6A" w14:textId="77777777">
      <w:pPr>
        <w:pStyle w:val="CommentText"/>
      </w:pPr>
      <w:r>
        <w:rPr>
          <w:b/>
          <w:bCs/>
          <w:color w:val="3C3C3B"/>
        </w:rPr>
        <w:t>Copyright</w:t>
      </w:r>
    </w:p>
    <w:p w:rsidR="003C6659" w:rsidP="003C6659" w:rsidRDefault="003C6659" w14:paraId="612352CB" w14:textId="77777777">
      <w:pPr>
        <w:pStyle w:val="CommentText"/>
      </w:pPr>
      <w:r>
        <w:rPr>
          <w:color w:val="3C3C3B"/>
        </w:rPr>
        <w:t xml:space="preserve">This document and its content (including, but not limited to, the text, images, graphics and illustrations) is the copyright material of Aurora, unless otherwise stated. </w:t>
      </w:r>
    </w:p>
    <w:p w:rsidR="003C6659" w:rsidP="003C6659" w:rsidRDefault="003C6659" w14:paraId="0C20A8F9" w14:textId="77777777">
      <w:pPr>
        <w:pStyle w:val="CommentText"/>
      </w:pPr>
      <w:r>
        <w:rPr>
          <w:b/>
          <w:bCs/>
          <w:color w:val="3C3C3B"/>
        </w:rPr>
        <w:t>This document is confidential and it may not be copied, reproduced, distributed or in any way used for commercial purposes without the prior written consent of Aurora.</w:t>
      </w:r>
    </w:p>
  </w:comment>
  <w:comment xmlns:w="http://schemas.openxmlformats.org/wordprocessingml/2006/main" w:initials="AZ" w:author="Amina Abu Zahra" w:date="2026-08-05T13:40:24" w:id="1562769617">
    <w:p xmlns:w14="http://schemas.microsoft.com/office/word/2010/wordml" xmlns:w="http://schemas.openxmlformats.org/wordprocessingml/2006/main" w:rsidR="582A2FD9" w:rsidRDefault="7CC30015" w14:paraId="3D7D49B2" w14:textId="5083136C">
      <w:pPr>
        <w:pStyle w:val="CommentText"/>
      </w:pPr>
      <w:r>
        <w:rPr>
          <w:rStyle w:val="CommentReference"/>
        </w:rPr>
        <w:annotationRef/>
      </w:r>
      <w:r w:rsidRPr="55711093" w:rsidR="09563E57">
        <w:t>Notes by Andrea:</w:t>
      </w:r>
    </w:p>
    <w:p xmlns:w14="http://schemas.microsoft.com/office/word/2010/wordml" xmlns:w="http://schemas.openxmlformats.org/wordprocessingml/2006/main" w:rsidR="6C4977D4" w:rsidRDefault="255AF64C" w14:paraId="629AB752" w14:textId="61446531">
      <w:pPr>
        <w:pStyle w:val="CommentText"/>
      </w:pPr>
      <w:r w:rsidRPr="6CDF5956" w:rsidR="4E9B8142">
        <w:t xml:space="preserve">In </w:t>
      </w:r>
      <w:r w:rsidRPr="1B6BB327" w:rsidR="6EA2F539">
        <w:rPr>
          <w:b w:val="1"/>
          <w:bCs w:val="1"/>
        </w:rPr>
        <w:t>Section 1. Introduction &amp; Overview</w:t>
      </w:r>
      <w:r w:rsidRPr="54580C6B" w:rsidR="00C6F488">
        <w:t>, the duration range is described as spanning from 0.5h to 3h, whereas in Italy we have a wider range of battery durations.</w:t>
      </w:r>
    </w:p>
    <w:p xmlns:w14="http://schemas.microsoft.com/office/word/2010/wordml" xmlns:w="http://schemas.openxmlformats.org/wordprocessingml/2006/main" w:rsidR="3DD330C2" w:rsidRDefault="3BC73375" w14:paraId="6741232D" w14:textId="3C06A1A8">
      <w:pPr>
        <w:pStyle w:val="CommentText"/>
      </w:pPr>
      <w:r w:rsidRPr="2A4F7C7A" w:rsidR="54B7A7A1">
        <w:rPr>
          <w:b w:val="1"/>
          <w:bCs w:val="1"/>
        </w:rPr>
        <w:t>Section 2.2 Peer Group Construction and Custom Indices:</w:t>
      </w:r>
      <w:r w:rsidRPr="7FDE489A" w:rsidR="597E8A24">
        <w:t xml:space="preserve"> our RPB allows users to create peer groups across multiple dimensions (essentially any combination of available filters), not only by combining the three parameters described in the section.</w:t>
      </w:r>
    </w:p>
    <w:p xmlns:w14="http://schemas.microsoft.com/office/word/2010/wordml" xmlns:w="http://schemas.openxmlformats.org/wordprocessingml/2006/main" w:rsidR="5001200E" w:rsidRDefault="37408B74" w14:paraId="4B03E2FA" w14:textId="3ED6693C">
      <w:pPr>
        <w:pStyle w:val="CommentText"/>
      </w:pPr>
      <w:r w:rsidRPr="1D3295AE" w:rsidR="0D0CEAD4">
        <w:t>I added the aFRR information to the documentation even though it is not currently available in the RPB, as it is expected to be added within the next few weeks. Feel free to remove this section if you plan to publish the documentation before aFRR is incorporated.</w:t>
      </w:r>
    </w:p>
  </w:comment>
  <w:comment xmlns:w="http://schemas.openxmlformats.org/wordprocessingml/2006/main" w:initials="AZ" w:author="Amina Abu Zahra" w:date="2026-08-05T14:02:18" w:id="1706003889">
    <w:p xmlns:w14="http://schemas.microsoft.com/office/word/2010/wordml" xmlns:w="http://schemas.openxmlformats.org/wordprocessingml/2006/main" w:rsidR="00A881AE" w:rsidRDefault="5B8DD593" w14:paraId="43DA539C" w14:textId="5CC34DE7">
      <w:pPr>
        <w:pStyle w:val="CommentText"/>
      </w:pPr>
      <w:r>
        <w:rPr>
          <w:rStyle w:val="CommentReference"/>
        </w:rPr>
        <w:annotationRef/>
      </w:r>
      <w:r w:rsidRPr="35C11B12" w:rsidR="17E64AC7">
        <w:rPr>
          <w:b w:val="1"/>
          <w:bCs w:val="1"/>
        </w:rPr>
        <w:t>Section 2.2 Peer Group Construction and Custom Indices:</w:t>
      </w:r>
      <w:r w:rsidRPr="48E12F46" w:rsidR="1D72C975">
        <w:t xml:space="preserve"> our RPB allows users to create peer groups across multiple dimensions (essentially any combination of available filters), not only by combining the three parameters described in the section.</w:t>
      </w:r>
    </w:p>
  </w:comment>
  <w:comment xmlns:w="http://schemas.openxmlformats.org/wordprocessingml/2006/main" w:initials="AZ" w:author="Amina Abu Zahra" w:date="2026-08-07T10:07:10" w:id="155962991">
    <w:p xmlns:w14="http://schemas.microsoft.com/office/word/2010/wordml" xmlns:w="http://schemas.openxmlformats.org/wordprocessingml/2006/main" w:rsidR="7E694ACB" w:rsidRDefault="139AD48E" w14:paraId="7E3EC279" w14:textId="26042047">
      <w:pPr>
        <w:pStyle w:val="CommentText"/>
      </w:pPr>
      <w:r>
        <w:rPr>
          <w:rStyle w:val="CommentReference"/>
        </w:rPr>
        <w:annotationRef/>
      </w:r>
      <w:r w:rsidRPr="3E1B8756" w:rsidR="7EE2A6DB">
        <w:t>Need to edit, we don't have one standard index family.</w:t>
      </w:r>
    </w:p>
  </w:comment>
  <w:comment xmlns:w="http://schemas.openxmlformats.org/wordprocessingml/2006/main" w:initials="AZ" w:author="Amina Abu Zahra" w:date="2026-08-07T10:08:19" w:id="588393075">
    <w:p xmlns:w14="http://schemas.microsoft.com/office/word/2010/wordml" xmlns:w="http://schemas.openxmlformats.org/wordprocessingml/2006/main" w:rsidR="00FF6BE7" w:rsidRDefault="38A1673B" w14:paraId="3B020D99" w14:textId="27142283">
      <w:pPr>
        <w:pStyle w:val="CommentText"/>
      </w:pPr>
      <w:r>
        <w:rPr>
          <w:rStyle w:val="CommentReference"/>
        </w:rPr>
        <w:annotationRef/>
      </w:r>
      <w:r w:rsidRPr="52511AD9" w:rsidR="2697E062">
        <w:t>change needed once ITA specifies how their system differs (see comment above and email chain with Andrea)</w:t>
      </w:r>
    </w:p>
  </w:comment>
  <w:comment xmlns:w="http://schemas.openxmlformats.org/wordprocessingml/2006/main" w:initials="AZ" w:author="Amina Abu Zahra" w:date="2026-08-07T10:11:12" w:id="1129933308">
    <w:p xmlns:w14="http://schemas.microsoft.com/office/word/2010/wordml" xmlns:w="http://schemas.openxmlformats.org/wordprocessingml/2006/main" w:rsidR="7E0F0FB1" w:rsidRDefault="076C2CFB" w14:paraId="22B9D94F" w14:textId="75B108F2">
      <w:pPr>
        <w:pStyle w:val="CommentText"/>
      </w:pPr>
      <w:r>
        <w:rPr>
          <w:rStyle w:val="CommentReference"/>
        </w:rPr>
        <w:annotationRef/>
      </w:r>
      <w:r w:rsidRPr="6CF26710" w:rsidR="6CBCF93A">
        <w:t>change index titles based on final agreed upon version</w:t>
      </w:r>
    </w:p>
  </w:comment>
  <w:comment xmlns:w="http://schemas.openxmlformats.org/wordprocessingml/2006/main" w:initials="AZ" w:author="Amina Abu Zahra" w:date="2026-08-07T10:11:22" w:id="1000541627">
    <w:p xmlns:w14="http://schemas.microsoft.com/office/word/2010/wordml" xmlns:w="http://schemas.openxmlformats.org/wordprocessingml/2006/main" w:rsidR="03C0A315" w:rsidRDefault="341E8FB3" w14:paraId="47D210C3" w14:textId="0678E4FE">
      <w:pPr>
        <w:pStyle w:val="CommentText"/>
      </w:pPr>
      <w:r>
        <w:rPr>
          <w:rStyle w:val="CommentReference"/>
        </w:rPr>
        <w:annotationRef/>
      </w:r>
      <w:r w:rsidRPr="2E53EDEC" w:rsidR="48BD702F">
        <w:t>change index titles based on final agreed upon version</w:t>
      </w:r>
    </w:p>
  </w:comment>
</w:comments>
</file>

<file path=word/commentsExtended.xml><?xml version="1.0" encoding="utf-8"?>
<w15:commentsEx xmlns:mc="http://schemas.openxmlformats.org/markup-compatibility/2006" xmlns:w15="http://schemas.microsoft.com/office/word/2012/wordml" mc:Ignorable="w15">
  <w15:commentEx w15:done="1" w15:paraId="751209A7"/>
  <w15:commentEx w15:done="1" w15:paraId="551FEFF7" w15:paraIdParent="751209A7"/>
  <w15:commentEx w15:done="1" w15:paraId="4B7DABD2"/>
  <w15:commentEx w15:done="1" w15:paraId="5E990FDE" w15:paraIdParent="4B7DABD2"/>
  <w15:commentEx w15:done="1" w15:paraId="545BE61A" w15:paraIdParent="4B7DABD2"/>
  <w15:commentEx w15:done="1" w15:paraId="2F6E0DD0" w15:paraIdParent="4B7DABD2"/>
  <w15:commentEx w15:done="1" w15:paraId="412153F5"/>
  <w15:commentEx w15:done="1" w15:paraId="36785AF9" w15:paraIdParent="412153F5"/>
  <w15:commentEx w15:done="1" w15:paraId="72259E1C"/>
  <w15:commentEx w15:done="1" w15:paraId="6E16B59B" w15:paraIdParent="72259E1C"/>
  <w15:commentEx w15:done="1" w15:paraId="27A30C8C" w15:paraIdParent="72259E1C"/>
  <w15:commentEx w15:done="1" w15:paraId="3DF73046"/>
  <w15:commentEx w15:done="1" w15:paraId="0C5D859A"/>
  <w15:commentEx w15:done="1" w15:paraId="39A7BCF3" w15:paraIdParent="0C5D859A"/>
  <w15:commentEx w15:done="1" w15:paraId="7568770C"/>
  <w15:commentEx w15:done="1" w15:paraId="535E5A24"/>
  <w15:commentEx w15:done="1" w15:paraId="2D110459"/>
  <w15:commentEx w15:done="0" w15:paraId="3B020D99"/>
  <w15:commentEx w15:done="0" w15:paraId="7E3EC279"/>
  <w15:commentEx w15:done="0" w15:paraId="43DA539C"/>
  <w15:commentEx w15:done="0" w15:paraId="4B03E2FA"/>
  <w15:commentEx w15:done="1" w15:paraId="5ED9FB7F"/>
  <w15:commentEx w15:done="1" w15:paraId="0CCBF8D0" w15:paraIdParent="5ED9FB7F"/>
  <w15:commentEx w15:done="1" w15:paraId="1144B422"/>
  <w15:commentEx w15:done="1" w15:paraId="2B26343E" w15:paraIdParent="1144B422"/>
  <w15:commentEx w15:done="1" w15:paraId="62F82F04" w15:paraIdParent="1144B422"/>
  <w15:commentEx w15:done="1" w15:paraId="58A10647"/>
  <w15:commentEx w15:done="1" w15:paraId="06E84356" w15:paraIdParent="58A10647"/>
  <w15:commentEx w15:done="1" w15:paraId="12E153DF" w15:paraIdParent="58A10647"/>
  <w15:commentEx w15:done="1" w15:paraId="1CFD070C"/>
  <w15:commentEx w15:done="1" w15:paraId="144F478C"/>
  <w15:commentEx w15:done="1" w15:paraId="1D9502D7" w15:paraIdParent="144F478C"/>
  <w15:commentEx w15:done="1" w15:paraId="524279EE"/>
  <w15:commentEx w15:done="1" w15:paraId="7BF696D1" w15:paraIdParent="524279EE"/>
  <w15:commentEx w15:done="1" w15:paraId="0C20A8F9" w15:paraIdParent="524279EE"/>
  <w15:commentEx w15:done="0" w15:paraId="22B9D94F"/>
  <w15:commentEx w15:done="0" w15:paraId="47D210C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095748F" w16cex:dateUtc="2026-07-21T13:21:00Z"/>
  <w16cex:commentExtensible w16cex:durableId="43074B9A" w16cex:dateUtc="2026-07-23T15:52:00Z"/>
  <w16cex:commentExtensible w16cex:durableId="568D0CB6" w16cex:dateUtc="2026-07-22T15:59:00Z"/>
  <w16cex:commentExtensible w16cex:durableId="5991B604" w16cex:dateUtc="2026-07-27T10:57:00Z"/>
  <w16cex:commentExtensible w16cex:durableId="12D4B930" w16cex:dateUtc="2026-07-27T11:02:00Z"/>
  <w16cex:commentExtensible w16cex:durableId="6EC3AC08" w16cex:dateUtc="2026-07-27T13:25:00Z"/>
  <w16cex:commentExtensible w16cex:durableId="6AC0FBD7" w16cex:dateUtc="2026-07-21T06:57:00Z"/>
  <w16cex:commentExtensible w16cex:durableId="643BF18A" w16cex:dateUtc="2026-07-21T10:39:00Z"/>
  <w16cex:commentExtensible w16cex:durableId="645683D9" w16cex:dateUtc="2026-07-21T06:59:00Z"/>
  <w16cex:commentExtensible w16cex:durableId="3C259228" w16cex:dateUtc="2026-07-21T10:41:00Z"/>
  <w16cex:commentExtensible w16cex:durableId="5E8D41E7" w16cex:dateUtc="2026-07-23T14:17:00Z"/>
  <w16cex:commentExtensible w16cex:durableId="3FB4831E" w16cex:dateUtc="2026-07-21T07:06:00Z"/>
  <w16cex:commentExtensible w16cex:durableId="132DD58C" w16cex:dateUtc="2026-07-21T07:09:00Z"/>
  <w16cex:commentExtensible w16cex:durableId="347326D2" w16cex:dateUtc="2026-07-21T10:48:00Z"/>
  <w16cex:commentExtensible w16cex:durableId="1D65B65D" w16cex:dateUtc="2026-07-21T07:10:00Z"/>
  <w16cex:commentExtensible w16cex:durableId="62485510" w16cex:dateUtc="2026-07-21T07:11:00Z"/>
  <w16cex:commentExtensible w16cex:durableId="2923C903" w16cex:dateUtc="2026-07-21T07:12:00Z"/>
  <w16cex:commentExtensible w16cex:durableId="0D5C50CA" w16cex:dateUtc="2026-08-07T09:08:19.746Z"/>
  <w16cex:commentExtensible w16cex:durableId="6942E4C3" w16cex:dateUtc="2026-08-07T09:07:10.732Z"/>
  <w16cex:commentExtensible w16cex:durableId="5928026E" w16cex:dateUtc="2026-08-05T13:02:18.045Z"/>
  <w16cex:commentExtensible w16cex:durableId="19D68B50" w16cex:dateUtc="2026-08-05T12:40:24.809Z"/>
  <w16cex:commentExtensible w16cex:durableId="7F1B30B2" w16cex:dateUtc="2026-07-21T07:13:00Z"/>
  <w16cex:commentExtensible w16cex:durableId="26EC1BB1" w16cex:dateUtc="2026-07-27T13:23:00Z"/>
  <w16cex:commentExtensible w16cex:durableId="341BADAA" w16cex:dateUtc="2026-07-21T07:17:00Z"/>
  <w16cex:commentExtensible w16cex:durableId="2D40D423" w16cex:dateUtc="2026-07-21T10:56:00Z"/>
  <w16cex:commentExtensible w16cex:durableId="2A1839F1" w16cex:dateUtc="2026-07-21T13:32:00Z">
    <w16cex:extLst>
      <w16:ext w16:uri="{CE6994B0-6A32-4C9F-8C6B-6E91EDA988CE}">
        <cr:reactions xmlns:cr="http://schemas.microsoft.com/office/comments/2020/reactions">
          <cr:reaction reactionType="1">
            <cr:reactionInfo dateUtc="2026-07-21T14:16:41Z">
              <cr:user userId="S::rowan.vonspreckelsen@auroraer.com::b9c95817-980f-4657-8f1b-14fab931ab0d" userProvider="AD" userName="Rowan von Spreckelsen"/>
            </cr:reactionInfo>
          </cr:reaction>
        </cr:reactions>
      </w16:ext>
    </w16cex:extLst>
  </w16cex:commentExtensible>
  <w16cex:commentExtensible w16cex:durableId="575B11D9" w16cex:dateUtc="2026-07-21T07:15:00Z"/>
  <w16cex:commentExtensible w16cex:durableId="730F1DF0" w16cex:dateUtc="2026-07-21T10:51:00Z"/>
  <w16cex:commentExtensible w16cex:durableId="1A4F7553" w16cex:dateUtc="2026-07-21T13:33:00Z"/>
  <w16cex:commentExtensible w16cex:durableId="0B5FF738" w16cex:dateUtc="2026-07-21T07:20:00Z"/>
  <w16cex:commentExtensible w16cex:durableId="609608F3" w16cex:dateUtc="2026-07-21T07:27:00Z"/>
  <w16cex:commentExtensible w16cex:durableId="52547099" w16cex:dateUtc="2026-07-21T11:01:00Z"/>
  <w16cex:commentExtensible w16cex:durableId="0111604A" w16cex:dateUtc="2026-07-21T07:37:00Z"/>
  <w16cex:commentExtensible w16cex:durableId="78CA921C" w16cex:dateUtc="2026-07-21T10:59:00Z"/>
  <w16cex:commentExtensible w16cex:durableId="156D058C" w16cex:dateUtc="2026-07-21T13:08:00Z"/>
  <w16cex:commentExtensible w16cex:durableId="1986F10D" w16cex:dateUtc="2026-08-07T09:11:12.239Z"/>
  <w16cex:commentExtensible w16cex:durableId="034341E4" w16cex:dateUtc="2026-08-07T09:11:22.936Z"/>
</w16cex:commentsExtensible>
</file>

<file path=word/commentsIds.xml><?xml version="1.0" encoding="utf-8"?>
<w16cid:commentsIds xmlns:mc="http://schemas.openxmlformats.org/markup-compatibility/2006" xmlns:w16cid="http://schemas.microsoft.com/office/word/2016/wordml/cid" mc:Ignorable="w16cid">
  <w16cid:commentId w16cid:paraId="751209A7" w16cid:durableId="1095748F"/>
  <w16cid:commentId w16cid:paraId="551FEFF7" w16cid:durableId="43074B9A"/>
  <w16cid:commentId w16cid:paraId="4B7DABD2" w16cid:durableId="568D0CB6"/>
  <w16cid:commentId w16cid:paraId="5E990FDE" w16cid:durableId="5991B604"/>
  <w16cid:commentId w16cid:paraId="545BE61A" w16cid:durableId="12D4B930"/>
  <w16cid:commentId w16cid:paraId="2F6E0DD0" w16cid:durableId="6EC3AC08"/>
  <w16cid:commentId w16cid:paraId="412153F5" w16cid:durableId="6AC0FBD7"/>
  <w16cid:commentId w16cid:paraId="36785AF9" w16cid:durableId="643BF18A"/>
  <w16cid:commentId w16cid:paraId="72259E1C" w16cid:durableId="645683D9"/>
  <w16cid:commentId w16cid:paraId="6E16B59B" w16cid:durableId="3C259228"/>
  <w16cid:commentId w16cid:paraId="27A30C8C" w16cid:durableId="5E8D41E7"/>
  <w16cid:commentId w16cid:paraId="3DF73046" w16cid:durableId="3FB4831E"/>
  <w16cid:commentId w16cid:paraId="0C5D859A" w16cid:durableId="132DD58C"/>
  <w16cid:commentId w16cid:paraId="39A7BCF3" w16cid:durableId="347326D2"/>
  <w16cid:commentId w16cid:paraId="7568770C" w16cid:durableId="1D65B65D"/>
  <w16cid:commentId w16cid:paraId="535E5A24" w16cid:durableId="62485510"/>
  <w16cid:commentId w16cid:paraId="2D110459" w16cid:durableId="2923C903"/>
  <w16cid:commentId w16cid:paraId="5ED9FB7F" w16cid:durableId="7F1B30B2"/>
  <w16cid:commentId w16cid:paraId="0CCBF8D0" w16cid:durableId="26EC1BB1"/>
  <w16cid:commentId w16cid:paraId="1144B422" w16cid:durableId="341BADAA"/>
  <w16cid:commentId w16cid:paraId="2B26343E" w16cid:durableId="2D40D423"/>
  <w16cid:commentId w16cid:paraId="62F82F04" w16cid:durableId="2A1839F1"/>
  <w16cid:commentId w16cid:paraId="58A10647" w16cid:durableId="575B11D9"/>
  <w16cid:commentId w16cid:paraId="06E84356" w16cid:durableId="730F1DF0"/>
  <w16cid:commentId w16cid:paraId="12E153DF" w16cid:durableId="1A4F7553"/>
  <w16cid:commentId w16cid:paraId="1CFD070C" w16cid:durableId="0B5FF738"/>
  <w16cid:commentId w16cid:paraId="144F478C" w16cid:durableId="609608F3"/>
  <w16cid:commentId w16cid:paraId="1D9502D7" w16cid:durableId="52547099"/>
  <w16cid:commentId w16cid:paraId="524279EE" w16cid:durableId="0111604A"/>
  <w16cid:commentId w16cid:paraId="7BF696D1" w16cid:durableId="78CA921C"/>
  <w16cid:commentId w16cid:paraId="0C20A8F9" w16cid:durableId="156D058C"/>
  <w16cid:commentId w16cid:paraId="4B03E2FA" w16cid:durableId="19D68B50"/>
  <w16cid:commentId w16cid:paraId="43DA539C" w16cid:durableId="5928026E"/>
  <w16cid:commentId w16cid:paraId="7E3EC279" w16cid:durableId="6942E4C3"/>
  <w16cid:commentId w16cid:paraId="3B020D99" w16cid:durableId="0D5C50CA"/>
  <w16cid:commentId w16cid:paraId="22B9D94F" w16cid:durableId="1986F10D"/>
  <w16cid:commentId w16cid:paraId="47D210C3" w16cid:durableId="034341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5388" w:rsidRDefault="00805388" w14:paraId="0968563D" w14:textId="77777777">
      <w:r>
        <w:separator/>
      </w:r>
    </w:p>
  </w:endnote>
  <w:endnote w:type="continuationSeparator" w:id="0">
    <w:p w:rsidR="00805388" w:rsidRDefault="00805388" w14:paraId="444B21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3C59" w:rsidRDefault="001D7557" w14:paraId="569466CA" w14:textId="77777777">
    <w:pPr>
      <w:pBdr>
        <w:top w:val="single" w:color="CCCCCC" w:sz="4" w:space="0"/>
      </w:pBdr>
      <w:jc w:val="right"/>
    </w:pPr>
    <w:r>
      <w:rPr>
        <w:color w:val="888888"/>
        <w:sz w:val="18"/>
        <w:szCs w:val="18"/>
      </w:rPr>
      <w:t xml:space="preserve">Aurora Energy Research  |  Not approved for external distribution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9400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9400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5388" w:rsidRDefault="00805388" w14:paraId="3EAB6C79" w14:textId="77777777">
      <w:r>
        <w:separator/>
      </w:r>
    </w:p>
  </w:footnote>
  <w:footnote w:type="continuationSeparator" w:id="0">
    <w:p w:rsidR="00805388" w:rsidRDefault="00805388" w14:paraId="66361C7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3C59" w:rsidRDefault="001D7557" w14:paraId="65552EBC" w14:textId="77777777">
    <w:pPr>
      <w:pBdr>
        <w:bottom w:val="single" w:color="CCCCCC" w:sz="4" w:space="0"/>
      </w:pBdr>
    </w:pPr>
    <w:r>
      <w:rPr>
        <w:color w:val="888888"/>
        <w:sz w:val="18"/>
        <w:szCs w:val="18"/>
      </w:rPr>
      <w:t xml:space="preserve">Aurora Energy Research  |  Real Performance Benchmark Methodology  |  </w:t>
    </w:r>
    <w:r>
      <w:rPr>
        <w:b/>
        <w:bCs/>
        <w:color w:val="C0392B"/>
        <w:sz w:val="18"/>
        <w:szCs w:val="18"/>
      </w:rPr>
      <w:t>INTERNAL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A85B"/>
    <w:multiLevelType w:val="hybridMultilevel"/>
    <w:tmpl w:val="7DB894CC"/>
    <w:lvl w:ilvl="0" w:tplc="03F05972">
      <w:start w:val="1"/>
      <w:numFmt w:val="bullet"/>
      <w:lvlText w:val=""/>
      <w:lvlJc w:val="left"/>
      <w:pPr>
        <w:ind w:left="720" w:hanging="360"/>
      </w:pPr>
      <w:rPr>
        <w:rFonts w:hint="default" w:ascii="Symbol" w:hAnsi="Symbol"/>
      </w:rPr>
    </w:lvl>
    <w:lvl w:ilvl="1" w:tplc="DAB61C2E">
      <w:start w:val="1"/>
      <w:numFmt w:val="bullet"/>
      <w:lvlText w:val="o"/>
      <w:lvlJc w:val="left"/>
      <w:pPr>
        <w:ind w:left="1440" w:hanging="360"/>
      </w:pPr>
      <w:rPr>
        <w:rFonts w:hint="default" w:ascii="Courier New" w:hAnsi="Courier New"/>
      </w:rPr>
    </w:lvl>
    <w:lvl w:ilvl="2" w:tplc="703C210E">
      <w:start w:val="1"/>
      <w:numFmt w:val="bullet"/>
      <w:lvlText w:val=""/>
      <w:lvlJc w:val="left"/>
      <w:pPr>
        <w:ind w:left="2160" w:hanging="360"/>
      </w:pPr>
      <w:rPr>
        <w:rFonts w:hint="default" w:ascii="Wingdings" w:hAnsi="Wingdings"/>
      </w:rPr>
    </w:lvl>
    <w:lvl w:ilvl="3" w:tplc="99A863D2">
      <w:start w:val="1"/>
      <w:numFmt w:val="bullet"/>
      <w:lvlText w:val=""/>
      <w:lvlJc w:val="left"/>
      <w:pPr>
        <w:ind w:left="2880" w:hanging="360"/>
      </w:pPr>
      <w:rPr>
        <w:rFonts w:hint="default" w:ascii="Symbol" w:hAnsi="Symbol"/>
      </w:rPr>
    </w:lvl>
    <w:lvl w:ilvl="4" w:tplc="EFDC5C8E">
      <w:start w:val="1"/>
      <w:numFmt w:val="bullet"/>
      <w:lvlText w:val="o"/>
      <w:lvlJc w:val="left"/>
      <w:pPr>
        <w:ind w:left="3600" w:hanging="360"/>
      </w:pPr>
      <w:rPr>
        <w:rFonts w:hint="default" w:ascii="Courier New" w:hAnsi="Courier New"/>
      </w:rPr>
    </w:lvl>
    <w:lvl w:ilvl="5" w:tplc="2C28559C">
      <w:start w:val="1"/>
      <w:numFmt w:val="bullet"/>
      <w:lvlText w:val=""/>
      <w:lvlJc w:val="left"/>
      <w:pPr>
        <w:ind w:left="4320" w:hanging="360"/>
      </w:pPr>
      <w:rPr>
        <w:rFonts w:hint="default" w:ascii="Wingdings" w:hAnsi="Wingdings"/>
      </w:rPr>
    </w:lvl>
    <w:lvl w:ilvl="6" w:tplc="C5782A94">
      <w:start w:val="1"/>
      <w:numFmt w:val="bullet"/>
      <w:lvlText w:val=""/>
      <w:lvlJc w:val="left"/>
      <w:pPr>
        <w:ind w:left="5040" w:hanging="360"/>
      </w:pPr>
      <w:rPr>
        <w:rFonts w:hint="default" w:ascii="Symbol" w:hAnsi="Symbol"/>
      </w:rPr>
    </w:lvl>
    <w:lvl w:ilvl="7" w:tplc="F2C40196">
      <w:start w:val="1"/>
      <w:numFmt w:val="bullet"/>
      <w:lvlText w:val="o"/>
      <w:lvlJc w:val="left"/>
      <w:pPr>
        <w:ind w:left="5760" w:hanging="360"/>
      </w:pPr>
      <w:rPr>
        <w:rFonts w:hint="default" w:ascii="Courier New" w:hAnsi="Courier New"/>
      </w:rPr>
    </w:lvl>
    <w:lvl w:ilvl="8" w:tplc="1DB885F0">
      <w:start w:val="1"/>
      <w:numFmt w:val="bullet"/>
      <w:lvlText w:val=""/>
      <w:lvlJc w:val="left"/>
      <w:pPr>
        <w:ind w:left="6480" w:hanging="360"/>
      </w:pPr>
      <w:rPr>
        <w:rFonts w:hint="default" w:ascii="Wingdings" w:hAnsi="Wingdings"/>
      </w:rPr>
    </w:lvl>
  </w:abstractNum>
  <w:abstractNum w:abstractNumId="1" w15:restartNumberingAfterBreak="0">
    <w:nsid w:val="270778E7"/>
    <w:multiLevelType w:val="hybridMultilevel"/>
    <w:tmpl w:val="D28E462A"/>
    <w:lvl w:ilvl="0" w:tplc="BA1A0C50">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880017F"/>
    <w:multiLevelType w:val="hybridMultilevel"/>
    <w:tmpl w:val="1DE68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1304848"/>
    <w:multiLevelType w:val="hybridMultilevel"/>
    <w:tmpl w:val="65CCC3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9CD25B7"/>
    <w:multiLevelType w:val="hybridMultilevel"/>
    <w:tmpl w:val="DA3E19E4"/>
    <w:lvl w:ilvl="0" w:tplc="8D5A2F50">
      <w:start w:val="1"/>
      <w:numFmt w:val="bullet"/>
      <w:lvlText w:val="●"/>
      <w:lvlJc w:val="left"/>
      <w:pPr>
        <w:ind w:left="720" w:hanging="360"/>
      </w:pPr>
    </w:lvl>
    <w:lvl w:ilvl="1" w:tplc="977CE7E2">
      <w:start w:val="1"/>
      <w:numFmt w:val="bullet"/>
      <w:lvlText w:val="○"/>
      <w:lvlJc w:val="left"/>
      <w:pPr>
        <w:ind w:left="1440" w:hanging="360"/>
      </w:pPr>
    </w:lvl>
    <w:lvl w:ilvl="2" w:tplc="722EEE6C">
      <w:start w:val="1"/>
      <w:numFmt w:val="bullet"/>
      <w:lvlText w:val="■"/>
      <w:lvlJc w:val="left"/>
      <w:pPr>
        <w:ind w:left="2160" w:hanging="360"/>
      </w:pPr>
    </w:lvl>
    <w:lvl w:ilvl="3" w:tplc="62AE34E6">
      <w:start w:val="1"/>
      <w:numFmt w:val="bullet"/>
      <w:lvlText w:val="●"/>
      <w:lvlJc w:val="left"/>
      <w:pPr>
        <w:ind w:left="2880" w:hanging="360"/>
      </w:pPr>
    </w:lvl>
    <w:lvl w:ilvl="4" w:tplc="CBF8A40E">
      <w:start w:val="1"/>
      <w:numFmt w:val="bullet"/>
      <w:lvlText w:val="○"/>
      <w:lvlJc w:val="left"/>
      <w:pPr>
        <w:ind w:left="3600" w:hanging="360"/>
      </w:pPr>
    </w:lvl>
    <w:lvl w:ilvl="5" w:tplc="50204282">
      <w:start w:val="1"/>
      <w:numFmt w:val="bullet"/>
      <w:lvlText w:val="■"/>
      <w:lvlJc w:val="left"/>
      <w:pPr>
        <w:ind w:left="4320" w:hanging="360"/>
      </w:pPr>
    </w:lvl>
    <w:lvl w:ilvl="6" w:tplc="DA42945E">
      <w:start w:val="1"/>
      <w:numFmt w:val="bullet"/>
      <w:lvlText w:val="●"/>
      <w:lvlJc w:val="left"/>
      <w:pPr>
        <w:ind w:left="5040" w:hanging="360"/>
      </w:pPr>
    </w:lvl>
    <w:lvl w:ilvl="7" w:tplc="6166DB10">
      <w:start w:val="1"/>
      <w:numFmt w:val="bullet"/>
      <w:lvlText w:val="●"/>
      <w:lvlJc w:val="left"/>
      <w:pPr>
        <w:ind w:left="5760" w:hanging="360"/>
      </w:pPr>
    </w:lvl>
    <w:lvl w:ilvl="8" w:tplc="B17C5EF6">
      <w:start w:val="1"/>
      <w:numFmt w:val="bullet"/>
      <w:lvlText w:val="●"/>
      <w:lvlJc w:val="left"/>
      <w:pPr>
        <w:ind w:left="6480" w:hanging="360"/>
      </w:pPr>
    </w:lvl>
  </w:abstractNum>
  <w:abstractNum w:abstractNumId="5" w15:restartNumberingAfterBreak="0">
    <w:nsid w:val="571C1127"/>
    <w:multiLevelType w:val="hybridMultilevel"/>
    <w:tmpl w:val="70282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0141BE1"/>
    <w:multiLevelType w:val="hybridMultilevel"/>
    <w:tmpl w:val="5798C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03238006">
    <w:abstractNumId w:val="0"/>
  </w:num>
  <w:num w:numId="2" w16cid:durableId="1168860897">
    <w:abstractNumId w:val="4"/>
    <w:lvlOverride w:ilvl="0">
      <w:startOverride w:val="1"/>
    </w:lvlOverride>
  </w:num>
  <w:num w:numId="3" w16cid:durableId="349835543">
    <w:abstractNumId w:val="1"/>
  </w:num>
  <w:num w:numId="4" w16cid:durableId="1187257604">
    <w:abstractNumId w:val="5"/>
  </w:num>
  <w:num w:numId="5" w16cid:durableId="239801582">
    <w:abstractNumId w:val="2"/>
  </w:num>
  <w:num w:numId="6" w16cid:durableId="544099515">
    <w:abstractNumId w:val="6"/>
  </w:num>
  <w:num w:numId="7" w16cid:durableId="257056902">
    <w:abstractNumId w:val="3"/>
  </w:num>
</w:numbering>
</file>

<file path=word/people.xml><?xml version="1.0" encoding="utf-8"?>
<w15:people xmlns:mc="http://schemas.openxmlformats.org/markup-compatibility/2006" xmlns:w15="http://schemas.microsoft.com/office/word/2012/wordml" mc:Ignorable="w15">
  <w15:person w15:author="Cormac Farrell">
    <w15:presenceInfo w15:providerId="AD" w15:userId="S::cormac.farrell@auroraer.com::e50272ac-fb21-4ea4-b7d6-6e0594110ed6"/>
  </w15:person>
  <w15:person w15:author="Amina Abu Zahra">
    <w15:presenceInfo w15:providerId="AD" w15:userId="S::amina.abuzahra@auroraer.com::f5073361-cdbf-4a92-973c-dfcfcb051d87"/>
  </w15:person>
  <w15:person w15:author="Rowan von Spreckelsen">
    <w15:presenceInfo w15:providerId="AD" w15:userId="S::rowan.vonspreckelsen@auroraer.com::b9c95817-980f-4657-8f1b-14fab931ab0d"/>
  </w15:person>
  <w15:person w15:author="Ties van Dijk">
    <w15:presenceInfo w15:providerId="AD" w15:userId="S::ties.vandijk@auroraer.com::278f0d0b-75f6-42d2-85f8-caa9fc2e6c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C59"/>
    <w:rsid w:val="0000071D"/>
    <w:rsid w:val="000009AA"/>
    <w:rsid w:val="00002658"/>
    <w:rsid w:val="000054F2"/>
    <w:rsid w:val="00010A3C"/>
    <w:rsid w:val="00013FFC"/>
    <w:rsid w:val="0002268D"/>
    <w:rsid w:val="00034673"/>
    <w:rsid w:val="00036AA9"/>
    <w:rsid w:val="00040917"/>
    <w:rsid w:val="00041DA1"/>
    <w:rsid w:val="000423BE"/>
    <w:rsid w:val="0005547A"/>
    <w:rsid w:val="0005624A"/>
    <w:rsid w:val="00060AD2"/>
    <w:rsid w:val="00070E9E"/>
    <w:rsid w:val="000718CE"/>
    <w:rsid w:val="000738CB"/>
    <w:rsid w:val="00075449"/>
    <w:rsid w:val="000770C8"/>
    <w:rsid w:val="00077ECF"/>
    <w:rsid w:val="00081FF4"/>
    <w:rsid w:val="0008366B"/>
    <w:rsid w:val="00083C02"/>
    <w:rsid w:val="0008416A"/>
    <w:rsid w:val="00091B68"/>
    <w:rsid w:val="0009383F"/>
    <w:rsid w:val="000C24A7"/>
    <w:rsid w:val="000D4792"/>
    <w:rsid w:val="000F2C34"/>
    <w:rsid w:val="000F32F0"/>
    <w:rsid w:val="000F77E9"/>
    <w:rsid w:val="00106504"/>
    <w:rsid w:val="00110F59"/>
    <w:rsid w:val="00121413"/>
    <w:rsid w:val="00132EA0"/>
    <w:rsid w:val="001336D3"/>
    <w:rsid w:val="0014173A"/>
    <w:rsid w:val="001509CF"/>
    <w:rsid w:val="00151EFB"/>
    <w:rsid w:val="00153EE9"/>
    <w:rsid w:val="00155ADD"/>
    <w:rsid w:val="001632F3"/>
    <w:rsid w:val="001763BE"/>
    <w:rsid w:val="00176847"/>
    <w:rsid w:val="001813A1"/>
    <w:rsid w:val="00183D3D"/>
    <w:rsid w:val="001A1E26"/>
    <w:rsid w:val="001A2A6B"/>
    <w:rsid w:val="001A4A39"/>
    <w:rsid w:val="001B168B"/>
    <w:rsid w:val="001B4D62"/>
    <w:rsid w:val="001B6D36"/>
    <w:rsid w:val="001C2114"/>
    <w:rsid w:val="001C3BA8"/>
    <w:rsid w:val="001C4AAD"/>
    <w:rsid w:val="001D2B80"/>
    <w:rsid w:val="001D6B1B"/>
    <w:rsid w:val="001D7557"/>
    <w:rsid w:val="001E5837"/>
    <w:rsid w:val="001F1E6E"/>
    <w:rsid w:val="001F372F"/>
    <w:rsid w:val="001F5B24"/>
    <w:rsid w:val="001F672C"/>
    <w:rsid w:val="001F7E72"/>
    <w:rsid w:val="00215DF7"/>
    <w:rsid w:val="002218E7"/>
    <w:rsid w:val="00226F92"/>
    <w:rsid w:val="00230D2D"/>
    <w:rsid w:val="0023111A"/>
    <w:rsid w:val="002337E2"/>
    <w:rsid w:val="00233E1A"/>
    <w:rsid w:val="00235E45"/>
    <w:rsid w:val="0023648F"/>
    <w:rsid w:val="00237F5D"/>
    <w:rsid w:val="00240181"/>
    <w:rsid w:val="00241267"/>
    <w:rsid w:val="00242AB8"/>
    <w:rsid w:val="00245196"/>
    <w:rsid w:val="00270F2B"/>
    <w:rsid w:val="00293D7D"/>
    <w:rsid w:val="00294D2A"/>
    <w:rsid w:val="002A0892"/>
    <w:rsid w:val="002A0E05"/>
    <w:rsid w:val="002B3C58"/>
    <w:rsid w:val="002C22ED"/>
    <w:rsid w:val="002C3C59"/>
    <w:rsid w:val="002D5F02"/>
    <w:rsid w:val="002D5F5B"/>
    <w:rsid w:val="002F64EE"/>
    <w:rsid w:val="0031049D"/>
    <w:rsid w:val="00311DE0"/>
    <w:rsid w:val="00317D79"/>
    <w:rsid w:val="003268E7"/>
    <w:rsid w:val="00335A61"/>
    <w:rsid w:val="00336AA1"/>
    <w:rsid w:val="00342450"/>
    <w:rsid w:val="0034506A"/>
    <w:rsid w:val="003560CC"/>
    <w:rsid w:val="00364B02"/>
    <w:rsid w:val="0037504E"/>
    <w:rsid w:val="0037657B"/>
    <w:rsid w:val="00380095"/>
    <w:rsid w:val="003866F6"/>
    <w:rsid w:val="00391490"/>
    <w:rsid w:val="00392E4E"/>
    <w:rsid w:val="003A2E26"/>
    <w:rsid w:val="003A38E1"/>
    <w:rsid w:val="003A3D4A"/>
    <w:rsid w:val="003A5760"/>
    <w:rsid w:val="003B00C0"/>
    <w:rsid w:val="003B35C2"/>
    <w:rsid w:val="003B38A5"/>
    <w:rsid w:val="003B59CD"/>
    <w:rsid w:val="003C281E"/>
    <w:rsid w:val="003C5D7A"/>
    <w:rsid w:val="003C6659"/>
    <w:rsid w:val="003C67BE"/>
    <w:rsid w:val="003C72ED"/>
    <w:rsid w:val="003D0E1D"/>
    <w:rsid w:val="003D0FC0"/>
    <w:rsid w:val="003D2EF3"/>
    <w:rsid w:val="003D6456"/>
    <w:rsid w:val="003E0AA1"/>
    <w:rsid w:val="003E3707"/>
    <w:rsid w:val="003E67A8"/>
    <w:rsid w:val="003E7520"/>
    <w:rsid w:val="003F00E0"/>
    <w:rsid w:val="003F0941"/>
    <w:rsid w:val="003F6700"/>
    <w:rsid w:val="003F7BD0"/>
    <w:rsid w:val="00404948"/>
    <w:rsid w:val="00411C60"/>
    <w:rsid w:val="00414CC0"/>
    <w:rsid w:val="00421E72"/>
    <w:rsid w:val="00433975"/>
    <w:rsid w:val="004411BF"/>
    <w:rsid w:val="0044310E"/>
    <w:rsid w:val="00443749"/>
    <w:rsid w:val="00450C1A"/>
    <w:rsid w:val="00451A6B"/>
    <w:rsid w:val="004524AE"/>
    <w:rsid w:val="004565B1"/>
    <w:rsid w:val="004572AD"/>
    <w:rsid w:val="00472B8E"/>
    <w:rsid w:val="00474978"/>
    <w:rsid w:val="004763DA"/>
    <w:rsid w:val="00481A91"/>
    <w:rsid w:val="00487661"/>
    <w:rsid w:val="0049124F"/>
    <w:rsid w:val="004975FD"/>
    <w:rsid w:val="004A2544"/>
    <w:rsid w:val="004A3D12"/>
    <w:rsid w:val="004B0829"/>
    <w:rsid w:val="004B10C5"/>
    <w:rsid w:val="004B78AA"/>
    <w:rsid w:val="004B791A"/>
    <w:rsid w:val="004C0595"/>
    <w:rsid w:val="004C0B64"/>
    <w:rsid w:val="004C243B"/>
    <w:rsid w:val="004C32A6"/>
    <w:rsid w:val="004C5556"/>
    <w:rsid w:val="004D1EE6"/>
    <w:rsid w:val="004D27A3"/>
    <w:rsid w:val="004D331B"/>
    <w:rsid w:val="004E2855"/>
    <w:rsid w:val="004E2BA5"/>
    <w:rsid w:val="004E445A"/>
    <w:rsid w:val="004E743A"/>
    <w:rsid w:val="00500A6D"/>
    <w:rsid w:val="0050416F"/>
    <w:rsid w:val="00510E1F"/>
    <w:rsid w:val="00525752"/>
    <w:rsid w:val="00534534"/>
    <w:rsid w:val="00537752"/>
    <w:rsid w:val="005377F2"/>
    <w:rsid w:val="00537D44"/>
    <w:rsid w:val="00545893"/>
    <w:rsid w:val="00547281"/>
    <w:rsid w:val="00550E68"/>
    <w:rsid w:val="00554563"/>
    <w:rsid w:val="00563753"/>
    <w:rsid w:val="0056446F"/>
    <w:rsid w:val="005718F3"/>
    <w:rsid w:val="00572E79"/>
    <w:rsid w:val="00576B7D"/>
    <w:rsid w:val="0058093A"/>
    <w:rsid w:val="00582F58"/>
    <w:rsid w:val="00586443"/>
    <w:rsid w:val="005A3DF7"/>
    <w:rsid w:val="005B038D"/>
    <w:rsid w:val="005B12A2"/>
    <w:rsid w:val="005B1CA8"/>
    <w:rsid w:val="005C235A"/>
    <w:rsid w:val="005C7A1C"/>
    <w:rsid w:val="005D1C71"/>
    <w:rsid w:val="005D5BE6"/>
    <w:rsid w:val="005E2DBD"/>
    <w:rsid w:val="005E458B"/>
    <w:rsid w:val="005E623D"/>
    <w:rsid w:val="00600455"/>
    <w:rsid w:val="00622ED1"/>
    <w:rsid w:val="00624A37"/>
    <w:rsid w:val="00630205"/>
    <w:rsid w:val="00631A2C"/>
    <w:rsid w:val="00632985"/>
    <w:rsid w:val="00637CC5"/>
    <w:rsid w:val="00644E18"/>
    <w:rsid w:val="00650B73"/>
    <w:rsid w:val="00651405"/>
    <w:rsid w:val="00651826"/>
    <w:rsid w:val="00653A63"/>
    <w:rsid w:val="0066007D"/>
    <w:rsid w:val="006651D5"/>
    <w:rsid w:val="00665880"/>
    <w:rsid w:val="00667C63"/>
    <w:rsid w:val="006706A4"/>
    <w:rsid w:val="00677002"/>
    <w:rsid w:val="00677CBD"/>
    <w:rsid w:val="00684466"/>
    <w:rsid w:val="00685DE8"/>
    <w:rsid w:val="00696EB0"/>
    <w:rsid w:val="006A4C2B"/>
    <w:rsid w:val="006A77CB"/>
    <w:rsid w:val="006D3E3C"/>
    <w:rsid w:val="006E435C"/>
    <w:rsid w:val="006E59A8"/>
    <w:rsid w:val="006F7335"/>
    <w:rsid w:val="00710B4B"/>
    <w:rsid w:val="00711520"/>
    <w:rsid w:val="0072298E"/>
    <w:rsid w:val="00727A12"/>
    <w:rsid w:val="007326D6"/>
    <w:rsid w:val="00741731"/>
    <w:rsid w:val="00741A4B"/>
    <w:rsid w:val="00746CC8"/>
    <w:rsid w:val="0075016B"/>
    <w:rsid w:val="00755085"/>
    <w:rsid w:val="00764A76"/>
    <w:rsid w:val="00764F6B"/>
    <w:rsid w:val="00781D86"/>
    <w:rsid w:val="00784423"/>
    <w:rsid w:val="00790565"/>
    <w:rsid w:val="007921DD"/>
    <w:rsid w:val="00793303"/>
    <w:rsid w:val="007A3C6E"/>
    <w:rsid w:val="007B35CC"/>
    <w:rsid w:val="007C0AF7"/>
    <w:rsid w:val="007C2E14"/>
    <w:rsid w:val="007C67DE"/>
    <w:rsid w:val="007C6A0A"/>
    <w:rsid w:val="007D3546"/>
    <w:rsid w:val="007D5FF1"/>
    <w:rsid w:val="007E0477"/>
    <w:rsid w:val="007E1127"/>
    <w:rsid w:val="007E3218"/>
    <w:rsid w:val="007E712E"/>
    <w:rsid w:val="008027D5"/>
    <w:rsid w:val="00803371"/>
    <w:rsid w:val="00805388"/>
    <w:rsid w:val="00805976"/>
    <w:rsid w:val="008156C9"/>
    <w:rsid w:val="00823A48"/>
    <w:rsid w:val="0083242C"/>
    <w:rsid w:val="0083297C"/>
    <w:rsid w:val="00833B02"/>
    <w:rsid w:val="00834CDA"/>
    <w:rsid w:val="0083792D"/>
    <w:rsid w:val="00844BB6"/>
    <w:rsid w:val="00847988"/>
    <w:rsid w:val="0085153E"/>
    <w:rsid w:val="00862C28"/>
    <w:rsid w:val="00865020"/>
    <w:rsid w:val="0087666B"/>
    <w:rsid w:val="00882518"/>
    <w:rsid w:val="00887999"/>
    <w:rsid w:val="008A01EB"/>
    <w:rsid w:val="008A1F52"/>
    <w:rsid w:val="008A2BB3"/>
    <w:rsid w:val="008C0517"/>
    <w:rsid w:val="008C37A0"/>
    <w:rsid w:val="008D1E45"/>
    <w:rsid w:val="008D2801"/>
    <w:rsid w:val="008D72AA"/>
    <w:rsid w:val="008D778F"/>
    <w:rsid w:val="008E5939"/>
    <w:rsid w:val="008F68E5"/>
    <w:rsid w:val="00900EC1"/>
    <w:rsid w:val="0090298A"/>
    <w:rsid w:val="009115D1"/>
    <w:rsid w:val="00917372"/>
    <w:rsid w:val="00920576"/>
    <w:rsid w:val="009217DC"/>
    <w:rsid w:val="009340EE"/>
    <w:rsid w:val="00942E42"/>
    <w:rsid w:val="0094366E"/>
    <w:rsid w:val="00946205"/>
    <w:rsid w:val="00946F27"/>
    <w:rsid w:val="009500B1"/>
    <w:rsid w:val="009578E2"/>
    <w:rsid w:val="00960DEA"/>
    <w:rsid w:val="00962572"/>
    <w:rsid w:val="00972053"/>
    <w:rsid w:val="00973E61"/>
    <w:rsid w:val="00982DB6"/>
    <w:rsid w:val="009A4B91"/>
    <w:rsid w:val="009B0AA9"/>
    <w:rsid w:val="009B2513"/>
    <w:rsid w:val="009B4D52"/>
    <w:rsid w:val="009B51D0"/>
    <w:rsid w:val="009B5C72"/>
    <w:rsid w:val="009B7260"/>
    <w:rsid w:val="009C7C90"/>
    <w:rsid w:val="009D0236"/>
    <w:rsid w:val="009D6CA8"/>
    <w:rsid w:val="009D7F4F"/>
    <w:rsid w:val="009E2067"/>
    <w:rsid w:val="009E35E0"/>
    <w:rsid w:val="009F1F64"/>
    <w:rsid w:val="009F3D1D"/>
    <w:rsid w:val="009F6596"/>
    <w:rsid w:val="00A03B45"/>
    <w:rsid w:val="00A054D4"/>
    <w:rsid w:val="00A100EE"/>
    <w:rsid w:val="00A145A5"/>
    <w:rsid w:val="00A16A79"/>
    <w:rsid w:val="00A3094C"/>
    <w:rsid w:val="00A4057A"/>
    <w:rsid w:val="00A40F41"/>
    <w:rsid w:val="00A53B73"/>
    <w:rsid w:val="00A60CA7"/>
    <w:rsid w:val="00A628E4"/>
    <w:rsid w:val="00A64365"/>
    <w:rsid w:val="00A66D77"/>
    <w:rsid w:val="00A7092C"/>
    <w:rsid w:val="00A70D3D"/>
    <w:rsid w:val="00A71C2B"/>
    <w:rsid w:val="00A75250"/>
    <w:rsid w:val="00A84A5C"/>
    <w:rsid w:val="00A93B7B"/>
    <w:rsid w:val="00A940CA"/>
    <w:rsid w:val="00A941E6"/>
    <w:rsid w:val="00AA2632"/>
    <w:rsid w:val="00AB0AC4"/>
    <w:rsid w:val="00AB310F"/>
    <w:rsid w:val="00AB4D94"/>
    <w:rsid w:val="00AB6B80"/>
    <w:rsid w:val="00AC2651"/>
    <w:rsid w:val="00AD63C1"/>
    <w:rsid w:val="00AE130B"/>
    <w:rsid w:val="00AF0BA4"/>
    <w:rsid w:val="00AF4BB6"/>
    <w:rsid w:val="00AF5331"/>
    <w:rsid w:val="00B03D79"/>
    <w:rsid w:val="00B05ECE"/>
    <w:rsid w:val="00B131DF"/>
    <w:rsid w:val="00B2040B"/>
    <w:rsid w:val="00B272CC"/>
    <w:rsid w:val="00B327C3"/>
    <w:rsid w:val="00B3408C"/>
    <w:rsid w:val="00B369B1"/>
    <w:rsid w:val="00B3786D"/>
    <w:rsid w:val="00B474F6"/>
    <w:rsid w:val="00B52B53"/>
    <w:rsid w:val="00B627E8"/>
    <w:rsid w:val="00B63795"/>
    <w:rsid w:val="00B70707"/>
    <w:rsid w:val="00B726B2"/>
    <w:rsid w:val="00B7461E"/>
    <w:rsid w:val="00B76D70"/>
    <w:rsid w:val="00B77DFB"/>
    <w:rsid w:val="00B80136"/>
    <w:rsid w:val="00B80A32"/>
    <w:rsid w:val="00B81EB3"/>
    <w:rsid w:val="00B844C6"/>
    <w:rsid w:val="00B87483"/>
    <w:rsid w:val="00B9177E"/>
    <w:rsid w:val="00BA17B9"/>
    <w:rsid w:val="00BA6F5D"/>
    <w:rsid w:val="00BB16AA"/>
    <w:rsid w:val="00BB5B98"/>
    <w:rsid w:val="00BE04F7"/>
    <w:rsid w:val="00BF1C78"/>
    <w:rsid w:val="00BF709B"/>
    <w:rsid w:val="00C054DE"/>
    <w:rsid w:val="00C05DF3"/>
    <w:rsid w:val="00C079D7"/>
    <w:rsid w:val="00C2025B"/>
    <w:rsid w:val="00C3314F"/>
    <w:rsid w:val="00C408EE"/>
    <w:rsid w:val="00C44537"/>
    <w:rsid w:val="00C44CE5"/>
    <w:rsid w:val="00C466BB"/>
    <w:rsid w:val="00C47A8A"/>
    <w:rsid w:val="00C65CE0"/>
    <w:rsid w:val="00C77235"/>
    <w:rsid w:val="00C824B4"/>
    <w:rsid w:val="00C84DBC"/>
    <w:rsid w:val="00C86541"/>
    <w:rsid w:val="00C8715F"/>
    <w:rsid w:val="00CA76F0"/>
    <w:rsid w:val="00CB0F4A"/>
    <w:rsid w:val="00CB20DC"/>
    <w:rsid w:val="00CC1302"/>
    <w:rsid w:val="00CC5016"/>
    <w:rsid w:val="00CC511C"/>
    <w:rsid w:val="00CC5D27"/>
    <w:rsid w:val="00CE090D"/>
    <w:rsid w:val="00CE33F5"/>
    <w:rsid w:val="00CE5103"/>
    <w:rsid w:val="00CE69E3"/>
    <w:rsid w:val="00CE69FB"/>
    <w:rsid w:val="00CF69C8"/>
    <w:rsid w:val="00D016CD"/>
    <w:rsid w:val="00D04A9B"/>
    <w:rsid w:val="00D05E49"/>
    <w:rsid w:val="00D113EB"/>
    <w:rsid w:val="00D144CD"/>
    <w:rsid w:val="00D16F85"/>
    <w:rsid w:val="00D417D5"/>
    <w:rsid w:val="00D514C2"/>
    <w:rsid w:val="00D51E6D"/>
    <w:rsid w:val="00D5EE83"/>
    <w:rsid w:val="00D7266F"/>
    <w:rsid w:val="00D74A85"/>
    <w:rsid w:val="00D81354"/>
    <w:rsid w:val="00D85045"/>
    <w:rsid w:val="00D85BF9"/>
    <w:rsid w:val="00D96EB8"/>
    <w:rsid w:val="00DA017D"/>
    <w:rsid w:val="00DA13DC"/>
    <w:rsid w:val="00DA1FCD"/>
    <w:rsid w:val="00DA4416"/>
    <w:rsid w:val="00DA473A"/>
    <w:rsid w:val="00DA5D5C"/>
    <w:rsid w:val="00DB14D5"/>
    <w:rsid w:val="00DB1D34"/>
    <w:rsid w:val="00DB2130"/>
    <w:rsid w:val="00DB3522"/>
    <w:rsid w:val="00DB5D8E"/>
    <w:rsid w:val="00DC2E50"/>
    <w:rsid w:val="00DC3CA4"/>
    <w:rsid w:val="00DC4F44"/>
    <w:rsid w:val="00DC6951"/>
    <w:rsid w:val="00DC6995"/>
    <w:rsid w:val="00DD0E79"/>
    <w:rsid w:val="00DD19F5"/>
    <w:rsid w:val="00DD6351"/>
    <w:rsid w:val="00DF0145"/>
    <w:rsid w:val="00E00964"/>
    <w:rsid w:val="00E02BFD"/>
    <w:rsid w:val="00E0406F"/>
    <w:rsid w:val="00E10739"/>
    <w:rsid w:val="00E136FA"/>
    <w:rsid w:val="00E13AC0"/>
    <w:rsid w:val="00E407F4"/>
    <w:rsid w:val="00E42335"/>
    <w:rsid w:val="00E455C1"/>
    <w:rsid w:val="00E631CC"/>
    <w:rsid w:val="00E65D29"/>
    <w:rsid w:val="00E738E8"/>
    <w:rsid w:val="00E80760"/>
    <w:rsid w:val="00E83838"/>
    <w:rsid w:val="00E91059"/>
    <w:rsid w:val="00E94003"/>
    <w:rsid w:val="00EA6292"/>
    <w:rsid w:val="00EB4B44"/>
    <w:rsid w:val="00EC197B"/>
    <w:rsid w:val="00EC4053"/>
    <w:rsid w:val="00ED43AF"/>
    <w:rsid w:val="00ED5300"/>
    <w:rsid w:val="00EE2246"/>
    <w:rsid w:val="00EE2715"/>
    <w:rsid w:val="00EF0729"/>
    <w:rsid w:val="00F05F21"/>
    <w:rsid w:val="00F11A7A"/>
    <w:rsid w:val="00F11E28"/>
    <w:rsid w:val="00F3561B"/>
    <w:rsid w:val="00F40AE4"/>
    <w:rsid w:val="00F41F27"/>
    <w:rsid w:val="00F4633C"/>
    <w:rsid w:val="00F47566"/>
    <w:rsid w:val="00F54E1A"/>
    <w:rsid w:val="00F60E72"/>
    <w:rsid w:val="00F71EF6"/>
    <w:rsid w:val="00F84186"/>
    <w:rsid w:val="00F8545F"/>
    <w:rsid w:val="00F94352"/>
    <w:rsid w:val="00F95237"/>
    <w:rsid w:val="00FA0BCB"/>
    <w:rsid w:val="00FA3AA5"/>
    <w:rsid w:val="00FA7C9E"/>
    <w:rsid w:val="00FD6A5B"/>
    <w:rsid w:val="00FE484D"/>
    <w:rsid w:val="00FF215A"/>
    <w:rsid w:val="01355D1E"/>
    <w:rsid w:val="016FD940"/>
    <w:rsid w:val="02E4DC88"/>
    <w:rsid w:val="03046EC3"/>
    <w:rsid w:val="0322151A"/>
    <w:rsid w:val="03445904"/>
    <w:rsid w:val="03F3FD8B"/>
    <w:rsid w:val="0411E73C"/>
    <w:rsid w:val="0439D73C"/>
    <w:rsid w:val="0460C06F"/>
    <w:rsid w:val="04A997C9"/>
    <w:rsid w:val="05FAE1E6"/>
    <w:rsid w:val="064F9AE4"/>
    <w:rsid w:val="06790787"/>
    <w:rsid w:val="06F35852"/>
    <w:rsid w:val="07560237"/>
    <w:rsid w:val="0849839A"/>
    <w:rsid w:val="0873F8C5"/>
    <w:rsid w:val="08D3E3F3"/>
    <w:rsid w:val="08D5771F"/>
    <w:rsid w:val="09662E9D"/>
    <w:rsid w:val="09ECDA88"/>
    <w:rsid w:val="0A25A765"/>
    <w:rsid w:val="0AADF135"/>
    <w:rsid w:val="0ACE5F90"/>
    <w:rsid w:val="0B4A62F3"/>
    <w:rsid w:val="0BC25E05"/>
    <w:rsid w:val="0BF0EECB"/>
    <w:rsid w:val="0C6BDA59"/>
    <w:rsid w:val="0CA3C057"/>
    <w:rsid w:val="0CD6CF2E"/>
    <w:rsid w:val="0DCF53A4"/>
    <w:rsid w:val="0E05DF8D"/>
    <w:rsid w:val="0EE664E4"/>
    <w:rsid w:val="0F0998CA"/>
    <w:rsid w:val="0F475CB2"/>
    <w:rsid w:val="10626A7D"/>
    <w:rsid w:val="10861711"/>
    <w:rsid w:val="116143B8"/>
    <w:rsid w:val="11920829"/>
    <w:rsid w:val="12A5196F"/>
    <w:rsid w:val="12B2A0DE"/>
    <w:rsid w:val="12FE89D9"/>
    <w:rsid w:val="13B0A23B"/>
    <w:rsid w:val="13FAF2F6"/>
    <w:rsid w:val="154984A7"/>
    <w:rsid w:val="154CA944"/>
    <w:rsid w:val="154D0016"/>
    <w:rsid w:val="15D56CBE"/>
    <w:rsid w:val="15DFDCD3"/>
    <w:rsid w:val="163B3B4B"/>
    <w:rsid w:val="166DC788"/>
    <w:rsid w:val="16DAD471"/>
    <w:rsid w:val="1798A9E5"/>
    <w:rsid w:val="17A5DD50"/>
    <w:rsid w:val="1855A578"/>
    <w:rsid w:val="18E4D4CD"/>
    <w:rsid w:val="1901CC5A"/>
    <w:rsid w:val="1A1C3A71"/>
    <w:rsid w:val="1ADC734E"/>
    <w:rsid w:val="1CA40B15"/>
    <w:rsid w:val="1CC70BBD"/>
    <w:rsid w:val="1CCB972C"/>
    <w:rsid w:val="1D3B8275"/>
    <w:rsid w:val="1D6A69C2"/>
    <w:rsid w:val="1DCA452C"/>
    <w:rsid w:val="1E24F664"/>
    <w:rsid w:val="1E421099"/>
    <w:rsid w:val="1E790309"/>
    <w:rsid w:val="1EF19D35"/>
    <w:rsid w:val="1FB06333"/>
    <w:rsid w:val="21EDD9F4"/>
    <w:rsid w:val="2239C296"/>
    <w:rsid w:val="23811F38"/>
    <w:rsid w:val="24BFB753"/>
    <w:rsid w:val="24DF0C09"/>
    <w:rsid w:val="25466D38"/>
    <w:rsid w:val="2550F17A"/>
    <w:rsid w:val="2561E984"/>
    <w:rsid w:val="26B84D5C"/>
    <w:rsid w:val="26F49D66"/>
    <w:rsid w:val="2705F355"/>
    <w:rsid w:val="2747C2DA"/>
    <w:rsid w:val="27AF2E89"/>
    <w:rsid w:val="27C672D1"/>
    <w:rsid w:val="2801367E"/>
    <w:rsid w:val="2802172F"/>
    <w:rsid w:val="28061A8B"/>
    <w:rsid w:val="284A0E05"/>
    <w:rsid w:val="28A783F5"/>
    <w:rsid w:val="28F35780"/>
    <w:rsid w:val="29936FEC"/>
    <w:rsid w:val="2A2F5674"/>
    <w:rsid w:val="2A952612"/>
    <w:rsid w:val="2B8B18B9"/>
    <w:rsid w:val="2BA52B78"/>
    <w:rsid w:val="2C05F391"/>
    <w:rsid w:val="2C786225"/>
    <w:rsid w:val="2CD9CFA1"/>
    <w:rsid w:val="2DB0ADC1"/>
    <w:rsid w:val="2DE56AA6"/>
    <w:rsid w:val="2EE1BB54"/>
    <w:rsid w:val="2F1CCC68"/>
    <w:rsid w:val="2F5A8E13"/>
    <w:rsid w:val="2FE78377"/>
    <w:rsid w:val="301F3D88"/>
    <w:rsid w:val="31B6E869"/>
    <w:rsid w:val="31B6E869"/>
    <w:rsid w:val="31D71902"/>
    <w:rsid w:val="31E230BC"/>
    <w:rsid w:val="3452F2A1"/>
    <w:rsid w:val="34AECB6C"/>
    <w:rsid w:val="3563E966"/>
    <w:rsid w:val="35959D1F"/>
    <w:rsid w:val="35A89093"/>
    <w:rsid w:val="36072A7D"/>
    <w:rsid w:val="36078B73"/>
    <w:rsid w:val="361DB8B5"/>
    <w:rsid w:val="362F1D3C"/>
    <w:rsid w:val="3639D481"/>
    <w:rsid w:val="36A48028"/>
    <w:rsid w:val="37132AB1"/>
    <w:rsid w:val="3825A469"/>
    <w:rsid w:val="3841442A"/>
    <w:rsid w:val="385670E5"/>
    <w:rsid w:val="3889A33E"/>
    <w:rsid w:val="3967A00D"/>
    <w:rsid w:val="3A9FD943"/>
    <w:rsid w:val="3AA5DEA7"/>
    <w:rsid w:val="3AA5DEA7"/>
    <w:rsid w:val="3B281C2F"/>
    <w:rsid w:val="3B618403"/>
    <w:rsid w:val="3BA96194"/>
    <w:rsid w:val="3CBFBD64"/>
    <w:rsid w:val="3CFC1D64"/>
    <w:rsid w:val="3D2FC7BE"/>
    <w:rsid w:val="3D358A03"/>
    <w:rsid w:val="3D388CA9"/>
    <w:rsid w:val="3DC1CEF3"/>
    <w:rsid w:val="3DF66A1F"/>
    <w:rsid w:val="3EAA92FC"/>
    <w:rsid w:val="3EDE0F64"/>
    <w:rsid w:val="404BF194"/>
    <w:rsid w:val="4066DC2B"/>
    <w:rsid w:val="41348015"/>
    <w:rsid w:val="4156E6DE"/>
    <w:rsid w:val="41818FA7"/>
    <w:rsid w:val="419A5566"/>
    <w:rsid w:val="41D17881"/>
    <w:rsid w:val="41DA2A3D"/>
    <w:rsid w:val="4485C866"/>
    <w:rsid w:val="44B33B4D"/>
    <w:rsid w:val="45530265"/>
    <w:rsid w:val="455BCB5B"/>
    <w:rsid w:val="4657B540"/>
    <w:rsid w:val="467CA433"/>
    <w:rsid w:val="47A48881"/>
    <w:rsid w:val="480480D3"/>
    <w:rsid w:val="48318898"/>
    <w:rsid w:val="4910066F"/>
    <w:rsid w:val="493BAB54"/>
    <w:rsid w:val="4A7F7460"/>
    <w:rsid w:val="4B0F3D30"/>
    <w:rsid w:val="4C4F7557"/>
    <w:rsid w:val="4C64887F"/>
    <w:rsid w:val="4CA7BD99"/>
    <w:rsid w:val="4D08108A"/>
    <w:rsid w:val="4D550671"/>
    <w:rsid w:val="4DDC07BF"/>
    <w:rsid w:val="4E0F9AF5"/>
    <w:rsid w:val="4E8DBFE3"/>
    <w:rsid w:val="4EC3D2DA"/>
    <w:rsid w:val="4F0379FE"/>
    <w:rsid w:val="4F1AFB42"/>
    <w:rsid w:val="4F3C7E0F"/>
    <w:rsid w:val="4F539536"/>
    <w:rsid w:val="4FF96424"/>
    <w:rsid w:val="50B24120"/>
    <w:rsid w:val="51344ED5"/>
    <w:rsid w:val="51344ED5"/>
    <w:rsid w:val="51BE010F"/>
    <w:rsid w:val="522ED81E"/>
    <w:rsid w:val="5391ABD4"/>
    <w:rsid w:val="54325D1F"/>
    <w:rsid w:val="543F2531"/>
    <w:rsid w:val="54AE730D"/>
    <w:rsid w:val="55316C02"/>
    <w:rsid w:val="558B70A8"/>
    <w:rsid w:val="5815F84A"/>
    <w:rsid w:val="586BDCBB"/>
    <w:rsid w:val="589B833A"/>
    <w:rsid w:val="589C2F5B"/>
    <w:rsid w:val="58D5FDDD"/>
    <w:rsid w:val="58DE1A51"/>
    <w:rsid w:val="58E920A8"/>
    <w:rsid w:val="58E9BD86"/>
    <w:rsid w:val="5993728B"/>
    <w:rsid w:val="59BF9CA2"/>
    <w:rsid w:val="59CCE573"/>
    <w:rsid w:val="5A2551B9"/>
    <w:rsid w:val="5AE8FE7C"/>
    <w:rsid w:val="5B2B9BD8"/>
    <w:rsid w:val="5B532DA4"/>
    <w:rsid w:val="5B54D997"/>
    <w:rsid w:val="5B80CCC1"/>
    <w:rsid w:val="5B9991E3"/>
    <w:rsid w:val="5C38BC29"/>
    <w:rsid w:val="5CB9CAF9"/>
    <w:rsid w:val="5D7DC765"/>
    <w:rsid w:val="5DA75153"/>
    <w:rsid w:val="5DB1F1EB"/>
    <w:rsid w:val="5DE45827"/>
    <w:rsid w:val="5DED5861"/>
    <w:rsid w:val="5ECF75ED"/>
    <w:rsid w:val="5F50ECE8"/>
    <w:rsid w:val="5FAA897F"/>
    <w:rsid w:val="6038E6D7"/>
    <w:rsid w:val="60419195"/>
    <w:rsid w:val="60FAA1DF"/>
    <w:rsid w:val="613E78F2"/>
    <w:rsid w:val="614D7FB8"/>
    <w:rsid w:val="614EBCE9"/>
    <w:rsid w:val="6166E7E0"/>
    <w:rsid w:val="632C2814"/>
    <w:rsid w:val="632EEE9D"/>
    <w:rsid w:val="63660869"/>
    <w:rsid w:val="636884F1"/>
    <w:rsid w:val="6413CBED"/>
    <w:rsid w:val="649BDEBC"/>
    <w:rsid w:val="65F1B7B4"/>
    <w:rsid w:val="6601B05B"/>
    <w:rsid w:val="664FF0B5"/>
    <w:rsid w:val="666F7BED"/>
    <w:rsid w:val="6694E2A5"/>
    <w:rsid w:val="66A76790"/>
    <w:rsid w:val="66EF9BF8"/>
    <w:rsid w:val="67148F51"/>
    <w:rsid w:val="673D7DC6"/>
    <w:rsid w:val="6793ADEB"/>
    <w:rsid w:val="67E25FD5"/>
    <w:rsid w:val="68C19AA2"/>
    <w:rsid w:val="691C8486"/>
    <w:rsid w:val="69C91D4E"/>
    <w:rsid w:val="69E7BB56"/>
    <w:rsid w:val="69FCC9B2"/>
    <w:rsid w:val="6A0CE527"/>
    <w:rsid w:val="6AD9587B"/>
    <w:rsid w:val="6ADCB6C5"/>
    <w:rsid w:val="6ADF4D72"/>
    <w:rsid w:val="6AF588D5"/>
    <w:rsid w:val="6BE2FFED"/>
    <w:rsid w:val="6BE4E805"/>
    <w:rsid w:val="6C2C93AF"/>
    <w:rsid w:val="6C68701F"/>
    <w:rsid w:val="6C73A4FF"/>
    <w:rsid w:val="6CAE7B53"/>
    <w:rsid w:val="6DA74720"/>
    <w:rsid w:val="6E93FF66"/>
    <w:rsid w:val="6ED28419"/>
    <w:rsid w:val="6F66D525"/>
    <w:rsid w:val="6FCC73C9"/>
    <w:rsid w:val="6FCEFB6E"/>
    <w:rsid w:val="7019A80F"/>
    <w:rsid w:val="705E21A3"/>
    <w:rsid w:val="7076120F"/>
    <w:rsid w:val="70ADE64C"/>
    <w:rsid w:val="710D5707"/>
    <w:rsid w:val="7172583E"/>
    <w:rsid w:val="71CD4C7F"/>
    <w:rsid w:val="73178658"/>
    <w:rsid w:val="739D64CB"/>
    <w:rsid w:val="73D36631"/>
    <w:rsid w:val="73E40F22"/>
    <w:rsid w:val="74476215"/>
    <w:rsid w:val="74DD4FDB"/>
    <w:rsid w:val="74ED385C"/>
    <w:rsid w:val="74EEB8F1"/>
    <w:rsid w:val="75042028"/>
    <w:rsid w:val="75ABFB27"/>
    <w:rsid w:val="75BB2F72"/>
    <w:rsid w:val="76B4F529"/>
    <w:rsid w:val="770C5058"/>
    <w:rsid w:val="77A04158"/>
    <w:rsid w:val="78174E23"/>
    <w:rsid w:val="7928F6FE"/>
    <w:rsid w:val="7AC3A78E"/>
    <w:rsid w:val="7ACCB822"/>
    <w:rsid w:val="7ACE3C3B"/>
    <w:rsid w:val="7B58253C"/>
    <w:rsid w:val="7BC4EF78"/>
    <w:rsid w:val="7BD92A21"/>
    <w:rsid w:val="7C474F8F"/>
    <w:rsid w:val="7CD5B8D6"/>
    <w:rsid w:val="7D010598"/>
    <w:rsid w:val="7D2828B3"/>
    <w:rsid w:val="7D2F4E1B"/>
    <w:rsid w:val="7D4A3844"/>
    <w:rsid w:val="7DC66419"/>
    <w:rsid w:val="7DEEE764"/>
    <w:rsid w:val="7E7A0453"/>
    <w:rsid w:val="7ED12014"/>
    <w:rsid w:val="7F86C40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7AC8"/>
  <w15:docId w15:val="{831F2720-5EC2-4A1D-BD9E-12D20B40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Revision">
    <w:name w:val="Revision"/>
    <w:hidden/>
    <w:uiPriority w:val="99"/>
    <w:semiHidden/>
    <w:rsid w:val="00AA2632"/>
  </w:style>
  <w:style w:type="character" w:styleId="CommentReference">
    <w:name w:val="annotation reference"/>
    <w:basedOn w:val="DefaultParagraphFont"/>
    <w:uiPriority w:val="99"/>
    <w:semiHidden/>
    <w:unhideWhenUsed/>
    <w:rsid w:val="009D6CA8"/>
    <w:rPr>
      <w:sz w:val="16"/>
      <w:szCs w:val="16"/>
    </w:rPr>
  </w:style>
  <w:style w:type="paragraph" w:styleId="CommentText">
    <w:name w:val="annotation text"/>
    <w:basedOn w:val="Normal"/>
    <w:link w:val="CommentTextChar"/>
    <w:uiPriority w:val="99"/>
    <w:unhideWhenUsed/>
    <w:rsid w:val="009D6CA8"/>
    <w:rPr>
      <w:sz w:val="20"/>
      <w:szCs w:val="20"/>
    </w:rPr>
  </w:style>
  <w:style w:type="character" w:styleId="CommentTextChar" w:customStyle="1">
    <w:name w:val="Comment Text Char"/>
    <w:basedOn w:val="DefaultParagraphFont"/>
    <w:link w:val="CommentText"/>
    <w:uiPriority w:val="99"/>
    <w:rsid w:val="009D6CA8"/>
    <w:rPr>
      <w:sz w:val="20"/>
      <w:szCs w:val="20"/>
    </w:rPr>
  </w:style>
  <w:style w:type="paragraph" w:styleId="CommentSubject">
    <w:name w:val="annotation subject"/>
    <w:basedOn w:val="CommentText"/>
    <w:next w:val="CommentText"/>
    <w:link w:val="CommentSubjectChar"/>
    <w:uiPriority w:val="99"/>
    <w:semiHidden/>
    <w:unhideWhenUsed/>
    <w:rsid w:val="009D6CA8"/>
    <w:rPr>
      <w:b/>
      <w:bCs/>
    </w:rPr>
  </w:style>
  <w:style w:type="character" w:styleId="CommentSubjectChar" w:customStyle="1">
    <w:name w:val="Comment Subject Char"/>
    <w:basedOn w:val="CommentTextChar"/>
    <w:link w:val="CommentSubject"/>
    <w:uiPriority w:val="99"/>
    <w:semiHidden/>
    <w:rsid w:val="009D6CA8"/>
    <w:rPr>
      <w:b/>
      <w:bCs/>
      <w:sz w:val="20"/>
      <w:szCs w:val="20"/>
    </w:rPr>
  </w:style>
  <w:style w:type="paragraph" w:styleId="Header">
    <w:name w:val="header"/>
    <w:basedOn w:val="Normal"/>
    <w:link w:val="HeaderChar"/>
    <w:uiPriority w:val="99"/>
    <w:semiHidden/>
    <w:unhideWhenUsed/>
    <w:rsid w:val="00155ADD"/>
    <w:pPr>
      <w:tabs>
        <w:tab w:val="center" w:pos="4680"/>
        <w:tab w:val="right" w:pos="9360"/>
      </w:tabs>
    </w:pPr>
  </w:style>
  <w:style w:type="character" w:styleId="HeaderChar" w:customStyle="1">
    <w:name w:val="Header Char"/>
    <w:basedOn w:val="DefaultParagraphFont"/>
    <w:link w:val="Header"/>
    <w:uiPriority w:val="99"/>
    <w:semiHidden/>
    <w:rsid w:val="00784423"/>
  </w:style>
  <w:style w:type="paragraph" w:styleId="Footer">
    <w:name w:val="footer"/>
    <w:basedOn w:val="Normal"/>
    <w:link w:val="FooterChar"/>
    <w:uiPriority w:val="99"/>
    <w:semiHidden/>
    <w:unhideWhenUsed/>
    <w:rsid w:val="00155ADD"/>
    <w:pPr>
      <w:tabs>
        <w:tab w:val="center" w:pos="4680"/>
        <w:tab w:val="right" w:pos="9360"/>
      </w:tabs>
    </w:pPr>
  </w:style>
  <w:style w:type="character" w:styleId="FooterChar" w:customStyle="1">
    <w:name w:val="Footer Char"/>
    <w:basedOn w:val="DefaultParagraphFont"/>
    <w:link w:val="Footer"/>
    <w:uiPriority w:val="99"/>
    <w:semiHidden/>
    <w:rsid w:val="00784423"/>
  </w:style>
  <w:style w:type="character" w:styleId="Mention">
    <w:name w:val="Mention"/>
    <w:basedOn w:val="DefaultParagraphFont"/>
    <w:uiPriority w:val="99"/>
    <w:unhideWhenUsed/>
    <w:rsid w:val="00A03B4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08F23A3E-A563-46A1-8D35-36C5F1DEBBBA}">
    <t:Anchor>
      <t:Comment id="1683391449"/>
    </t:Anchor>
    <t:History>
      <t:Event id="{782A33CE-70F8-4DD2-9323-B662CA9CEC76}" time="2026-07-21T10:41:46.367Z">
        <t:Attribution userId="S::cormac.farrell@auroraer.com::e50272ac-fb21-4ea4-b7d6-6e0594110ed6" userProvider="AD" userName="Cormac Farrell"/>
        <t:Anchor>
          <t:Comment id="1009095208"/>
        </t:Anchor>
        <t:Create/>
      </t:Event>
      <t:Event id="{075745AD-DF2F-4450-B9B4-4C8267436D9A}" time="2026-07-21T10:41:46.367Z">
        <t:Attribution userId="S::cormac.farrell@auroraer.com::e50272ac-fb21-4ea4-b7d6-6e0594110ed6" userProvider="AD" userName="Cormac Farrell"/>
        <t:Anchor>
          <t:Comment id="1009095208"/>
        </t:Anchor>
        <t:Assign userId="S::amina.abuzahra@auroraer.com::f5073361-cdbf-4a92-973c-dfcfcb051d87" userProvider="AD" userName="Amina Abu Zahra"/>
      </t:Event>
      <t:Event id="{63FBF973-2005-4F51-AC89-C14D8A4228C7}" time="2026-07-21T10:41:46.367Z">
        <t:Attribution userId="S::cormac.farrell@auroraer.com::e50272ac-fb21-4ea4-b7d6-6e0594110ed6" userProvider="AD" userName="Cormac Farrell"/>
        <t:Anchor>
          <t:Comment id="1009095208"/>
        </t:Anchor>
        <t:SetTitle title="The GB Research team included this line in their methodology doc: 'The BESS assets included in the benchmark are maintained in a curated asset register'. @Amina Abu Zahra - can you check where this register is with Ashutosh Padelkar in GB Research?"/>
      </t:Event>
      <t:Event id="{3E625789-9B98-40A3-87DE-02821FB15EEC}" time="2026-07-27T13:23:50.713Z">
        <t:Attribution userId="S::amina.abuzahra@auroraer.com::f5073361-cdbf-4a92-973c-dfcfcb051d87" userProvider="AD" userName="Amina Abu Zahra"/>
        <t:Progress percentComplete="100"/>
      </t:Event>
    </t:History>
  </t:Task>
  <t:Task id="{19FFF246-A643-41DF-B014-4B3ED302F4FE}">
    <t:Anchor>
      <t:Comment id="1812195650"/>
    </t:Anchor>
    <t:History>
      <t:Event id="{3260A830-FA4B-4DEB-99B9-17D220E8E149}" time="2026-07-21T10:49:47.227Z">
        <t:Attribution userId="S::cormac.farrell@auroraer.com::e50272ac-fb21-4ea4-b7d6-6e0594110ed6" userProvider="AD" userName="Cormac Farrell"/>
        <t:Anchor>
          <t:Comment id="904773196"/>
        </t:Anchor>
        <t:Create/>
      </t:Event>
      <t:Event id="{48B22448-0C8E-4725-A921-8DF39EF05755}" time="2026-07-21T10:49:47.227Z">
        <t:Attribution userId="S::cormac.farrell@auroraer.com::e50272ac-fb21-4ea4-b7d6-6e0594110ed6" userProvider="AD" userName="Cormac Farrell"/>
        <t:Anchor>
          <t:Comment id="904773196"/>
        </t:Anchor>
        <t:Assign userId="S::amina.abuzahra@auroraer.com::f5073361-cdbf-4a92-973c-dfcfcb051d87" userProvider="AD" userName="Amina Abu Zahra"/>
      </t:Event>
      <t:Event id="{9371E03C-ADE4-48AD-A3BD-5076CEB50EF3}" time="2026-07-21T10:49:47.227Z">
        <t:Attribution userId="S::cormac.farrell@auroraer.com::e50272ac-fb21-4ea4-b7d6-6e0594110ed6" userProvider="AD" userName="Cormac Farrell"/>
        <t:Anchor>
          <t:Comment id="904773196"/>
        </t:Anchor>
        <t:SetTitle title="Good point. @Amina Abu Zahra can you check this with Ashutosh (or Timothee may know) and update the doc with size threshold?"/>
      </t:Event>
      <t:Event id="{4249D00E-1E7B-4851-AA98-4C5614EC46EA}" time="2026-07-22T15:57:56.397Z">
        <t:Attribution userId="S::amina.abuzahra@auroraer.com::f5073361-cdbf-4a92-973c-dfcfcb051d87" userProvider="AD" userName="Amina Abu Zahra"/>
        <t:Progress percentComplete="100"/>
      </t:Event>
      <t:Event id="{CA12C4C5-F88B-48F6-AB1D-809D31F73262}" time="2026-07-23T07:16:17.302Z">
        <t:Attribution userId="S::rowan.vonspreckelsen@auroraer.com::b9c95817-980f-4657-8f1b-14fab931ab0d" userProvider="AD" userName="Rowan von Spreckelsen"/>
        <t:Progress percentComplete="0"/>
      </t:Event>
      <t:Event id="{5A58D189-4081-4631-9577-347B84B27C27}" time="2026-07-23T07:18:49.51Z">
        <t:Attribution userId="S::rowan.vonspreckelsen@auroraer.com::b9c95817-980f-4657-8f1b-14fab931ab0d" userProvider="AD" userName="Rowan von Spreckelsen"/>
        <t:Anchor>
          <t:Comment id="1060959487"/>
        </t:Anchor>
        <t:UnassignAll/>
      </t:Event>
      <t:Event id="{B2C52E3B-B3D8-4CA8-9B1D-A613CE811CDA}" time="2026-07-23T07:18:49.51Z">
        <t:Attribution userId="S::rowan.vonspreckelsen@auroraer.com::b9c95817-980f-4657-8f1b-14fab931ab0d" userProvider="AD" userName="Rowan von Spreckelsen"/>
        <t:Anchor>
          <t:Comment id="1060959487"/>
        </t:Anchor>
        <t:Assign userId="S::cormac.farrell@auroraer.com::e50272ac-fb21-4ea4-b7d6-6e0594110ed6" userProvider="AD" userName="Cormac Farrell"/>
      </t:Event>
    </t:History>
  </t:Task>
  <t:Task id="{F084D78D-74D6-4E03-83AD-0F0767CED767}">
    <t:Anchor>
      <t:Comment id="321770892"/>
    </t:Anchor>
    <t:History>
      <t:Event id="{8CDE8F63-3AF1-4100-9757-60E6828A648C}" time="2026-07-21T10:48:33.295Z">
        <t:Attribution userId="S::cormac.farrell@auroraer.com::e50272ac-fb21-4ea4-b7d6-6e0594110ed6" userProvider="AD" userName="Cormac Farrell"/>
        <t:Anchor>
          <t:Comment id="879961810"/>
        </t:Anchor>
        <t:Create/>
      </t:Event>
      <t:Event id="{CE0788F1-5DCF-486F-87A8-F6A347738624}" time="2026-07-21T10:48:33.295Z">
        <t:Attribution userId="S::cormac.farrell@auroraer.com::e50272ac-fb21-4ea4-b7d6-6e0594110ed6" userProvider="AD" userName="Cormac Farrell"/>
        <t:Anchor>
          <t:Comment id="879961810"/>
        </t:Anchor>
        <t:Assign userId="S::amina.abuzahra@auroraer.com::f5073361-cdbf-4a92-973c-dfcfcb051d87" userProvider="AD" userName="Amina Abu Zahra"/>
      </t:Event>
      <t:Event id="{4346FD26-30F6-4DF2-B803-45CD98F5D2B8}" time="2026-07-21T10:48:33.295Z">
        <t:Attribution userId="S::cormac.farrell@auroraer.com::e50272ac-fb21-4ea4-b7d6-6e0594110ed6" userProvider="AD" userName="Cormac Farrell"/>
        <t:Anchor>
          <t:Comment id="879961810"/>
        </t:Anchor>
        <t:SetTitle title="Agree - @Amina Abu Zahra - can you create a new 'universal' Data section in the document and move these paragraphs from the country-specific area to universal? Thanks"/>
      </t:Event>
      <t:Event id="{09AD49FC-36F7-45A7-9C40-C096A960E34F}" time="2026-07-21T13:36:57.91Z">
        <t:Attribution userId="S::amina.abuzahra@auroraer.com::f5073361-cdbf-4a92-973c-dfcfcb051d87" userProvider="AD" userName="Amina Abu Zahra"/>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4e4e3b3-9260-444e-ae86-c9c2cf2f8143" xsi:nil="true"/>
    <lcf76f155ced4ddcb4097134ff3c332f xmlns="4d3b788f-c636-4852-8128-a0190acc962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36D81047D9E1E4FB56A8EA0914AE42F" ma:contentTypeVersion="23" ma:contentTypeDescription="Create a new document." ma:contentTypeScope="" ma:versionID="3ef8929b292965e4e0de2f52e575f9fb">
  <xsd:schema xmlns:xsd="http://www.w3.org/2001/XMLSchema" xmlns:xs="http://www.w3.org/2001/XMLSchema" xmlns:p="http://schemas.microsoft.com/office/2006/metadata/properties" xmlns:ns1="http://schemas.microsoft.com/sharepoint/v3" xmlns:ns2="4d3b788f-c636-4852-8128-a0190acc9621" xmlns:ns3="14e4e3b3-9260-444e-ae86-c9c2cf2f8143" targetNamespace="http://schemas.microsoft.com/office/2006/metadata/properties" ma:root="true" ma:fieldsID="0ef80a8c64da6a6a44068bf5f95494aa" ns1:_="" ns2:_="" ns3:_="">
    <xsd:import namespace="http://schemas.microsoft.com/sharepoint/v3"/>
    <xsd:import namespace="4d3b788f-c636-4852-8128-a0190acc9621"/>
    <xsd:import namespace="14e4e3b3-9260-444e-ae86-c9c2cf2f81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3:TaxCatchAll" minOccurs="0"/>
                <xsd:element ref="ns2:lcf76f155ced4ddcb4097134ff3c332f"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b788f-c636-4852-8128-a0190acc96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fa6926d-f3ad-4091-8a7b-f3d8b1cd9e1a"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e4e3b3-9260-444e-ae86-c9c2cf2f81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fad106e-f7aa-49fc-9607-26c772ab77a1}" ma:internalName="TaxCatchAll" ma:showField="CatchAllData" ma:web="14e4e3b3-9260-444e-ae86-c9c2cf2f81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184F46-3179-4C21-A65D-0F4DB03342ED}">
  <ds:schemaRefs>
    <ds:schemaRef ds:uri="http://schemas.microsoft.com/office/2006/metadata/properties"/>
    <ds:schemaRef ds:uri="http://schemas.microsoft.com/office/infopath/2007/PartnerControls"/>
    <ds:schemaRef ds:uri="http://schemas.microsoft.com/sharepoint/v3"/>
    <ds:schemaRef ds:uri="14e4e3b3-9260-444e-ae86-c9c2cf2f8143"/>
    <ds:schemaRef ds:uri="4d3b788f-c636-4852-8128-a0190acc9621"/>
  </ds:schemaRefs>
</ds:datastoreItem>
</file>

<file path=customXml/itemProps2.xml><?xml version="1.0" encoding="utf-8"?>
<ds:datastoreItem xmlns:ds="http://schemas.openxmlformats.org/officeDocument/2006/customXml" ds:itemID="{5F933B38-9B98-424A-933F-D3981858DCF7}">
  <ds:schemaRefs>
    <ds:schemaRef ds:uri="http://schemas.microsoft.com/sharepoint/v3/contenttype/forms"/>
  </ds:schemaRefs>
</ds:datastoreItem>
</file>

<file path=customXml/itemProps3.xml><?xml version="1.0" encoding="utf-8"?>
<ds:datastoreItem xmlns:ds="http://schemas.openxmlformats.org/officeDocument/2006/customXml" ds:itemID="{082C701B-AAD4-423B-A29D-F6BD93C72E8E}">
  <ds:schemaRefs>
    <ds:schemaRef ds:uri="http://schemas.openxmlformats.org/officeDocument/2006/bibliography"/>
  </ds:schemaRefs>
</ds:datastoreItem>
</file>

<file path=customXml/itemProps4.xml><?xml version="1.0" encoding="utf-8"?>
<ds:datastoreItem xmlns:ds="http://schemas.openxmlformats.org/officeDocument/2006/customXml" ds:itemID="{FAAF08F6-5FBF-4C03-B25B-E89BB3695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d3b788f-c636-4852-8128-a0190acc9621"/>
    <ds:schemaRef ds:uri="14e4e3b3-9260-444e-ae86-c9c2cf2f81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Cormac Farrell</cp:lastModifiedBy>
  <cp:revision>59</cp:revision>
  <dcterms:created xsi:type="dcterms:W3CDTF">2026-08-05T08:08:00Z</dcterms:created>
  <dcterms:modified xsi:type="dcterms:W3CDTF">2026-08-18T15:54:15Z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0x010100636D81047D9E1E4FB56A8EA0914AE42F</vt:lpwstr>
  </property>
  <property fmtid="{D5CDD505-2E9C-101B-9397-08002B2CF9AE}" pid="3" name="MediaServiceImageTags">
    <vt:lpwstr/>
  </property>
  <property fmtid="{D5CDD505-2E9C-101B-9397-08002B2CF9AE}" pid="5" name="docLang">
    <vt:lpwstr>en</vt:lpwstr>
  </property>
</Properties>
</file>