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b w:val="1"/>
          <w:bCs w:val="1"/>
          <w:color w:val="000000"/>
          <w:sz w:val="24"/>
          <w:szCs w:val="24"/>
        </w:rPr>
      </w:pPr>
      <w:r w:rsidDel="00000000" w:rsidR="00000000" w:rsidRPr="00000000">
        <w:rPr>
          <w:color w:val="000000"/>
          <w:sz w:val="24"/>
          <w:szCs w:val="24"/>
          <w:rtl w:val="0"/>
        </w:rPr>
        <w:t xml:space="preserve">​​</w:t>
      </w:r>
      <w:r w:rsidDel="00000000" w:rsidR="00000000" w:rsidRPr="00000000">
        <w:rPr>
          <w:b w:val="1"/>
          <w:bCs w:val="1"/>
          <w:color w:val="000000"/>
          <w:sz w:val="24"/>
          <w:szCs w:val="24"/>
          <w:rtl w:val="0"/>
        </w:rPr>
        <w:t xml:space="preserve">SMART FESTIVALS AS EXPERIENCE ENGINES: LINKING TECHNOLOGY EVALUATIONS, ANTICIPATED PERSONALISATION, IMMERSION AND LOYALTY INTENTIONS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Abstract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Smart festivals increasingly rely on digital infrastructures (apps, access control, cashless systems and immersive activations) to reduce friction and deliver personalised, emotionally engaging experiences. Because many festivalgoers have limited exposure to advanced festival technologies, this study examines adoption readiness through anticipated evaluations of smart festival technologies and their links to perceived personalisation, anticipated immersion and loyalty intentions. Using a survey of festival attendees (N = 338) and covariance-based SEM, results show that perceived ease of use strongly shapes perceived usefulness, while usefulness and trust are key antecedents of perceived personalisation. Personalisation, in turn, intensifies anticipated immersion and strengthens loyalty both directly and indirectly via attitude and intention to use. Privacy concerns display a small but significant positive association with perceived personalisation, consistent with a privacy–personalisation tension in data-intensive festival settings. Findings translate into actionable design and governance principles for delivering ethical personalisation that enhances immersion and repeat attendance.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smart festivals; personalisation; immersive experience; technology acceptance; trust; privacy concerns; adoption readiness; loyalty intentions.</w:t>
      </w:r>
    </w:p>
    <w:p w:rsidR="00000000" w:rsidDel="00000000" w:rsidP="00000000" w:rsidRDefault="00000000" w:rsidRPr="00000000" w14:paraId="00000005">
      <w:pPr>
        <w:pStyle w:val="Heading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Statement of Contribution to Events-Related Research</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paper contributes to the Special Issue on “Personalisation and Immersive Experiences in Events” by explaining how smart festival technologies translate into personalised and immersive outcomes that matter for loyalty. Festivals constitute high-density, time-pressured environments where usability frictions can quickly undermine experience quality, yet research often treats technology adoption as a generic service context. We address this gap by positioning “smart festivals” as distinctive experience settings and by integrating technology acceptance beliefs with two experiential mechanisms: perceived personalisation and technology-enabled immersion.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Conceptually, the study extends TAM by modelling personalisation as a value mechanism linking perceived usefulness and trust to immersion and, ultimately, loyalty intentions. This approach connects acceptance-based pathways (attitude and intention to use) with experience-based pathways (immersion), clarifying how “smartness” becomes experiential value and behavioural loyalty in festival contexts. The model also incorporates privacy concerns to reflect the governance and ethical tensions inherent to data-intensive festival infrastructures.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Empirically, we test the model using survey data from festival attendees (N = 338) and covariance-based SEM. Results show that usefulness and trust are key antecedents of perceived personalisation, which strongly increases anticipated immersion and influences loyalty largely through indirect pathways via attitude and intention. Privacy concerns display a small positive association with personalisation, suggesting a privacy–personalisation tension rather than a purely inhibiting effect. Practically, the findings translate into design and governance principles for organisers seeking to deliver ethical personalisation, deepen immersion, and strengthen revisit and recommendation intentions under peak festival operating conditions.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Festivals are increasingly managed as high-density, time-pressured environments in which attendees continuously make on-site decisions (where to go next, what to prioritise, how to avoid queues and crowding). At the same time, the events industry faces growing expectations for meaningful, emotionally engaging and highly personalised experiences, while organisers operate under constraints and uncertainty that intensify the need for innovation and resilience (Azara et al., 2023; Michopoulou et al., 2023). In response, “smart festival” infrastructures: festival apps, QR/RFID access control, cashless payments, real-time updates, and interactive or immersive activations are increasingly deployed to streamline operations and enhance the attendee journey (Cimbaljević et al., 2019; Neuhofer et al., 2020). In these contexts, technology is not merely an add-on: it can shape the lived festival experience by reducing friction and increasing relevance.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Smart festival technologies can function as operant resources that enable value co-creation among organisers, attendees and stakeholders, but they can also trigger co-destruction when usability fails under peak demand or when data practices are perceived as opaque (Azara et al., 2018; Wallace &amp; Michopoulou, 2023). This duality is particularly salient because many smart functionalities are data-intensive. Privacy concerns reflect apprehensions about data collection and loss of control (Malhotra et al., 2004) and often operate as perceived “costs” in a privacy calculus where users weigh expected benefits against perceived risks (Awad &amp; Krishnan, 2006). In event contexts, such tensions are evident in adoption evaluations of identification and recognition systems, where trust and privacy considerations shape willingness to engage with technology (Norfolk &amp; O’Regan, 2020; Ciftci et al., 2024). Accordingly, the smart festival challenge is not only adoption, but experience governance: how to deliver personalisation and immersion without undermining trust and perceived legitimacy.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festival research has long linked immersion, memorability and meaning to revisit and recommendation intentions (Van Winkle &amp; Falk, 2015; Iversen et al., 2023), and event technology studies show that perceived usefulness and ease of use remain relevant predictors of attitudes and intentions (Talantis et al., 2020; Norfolk &amp; O’Regan, 2020), limited work integrates these streams to explain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acceptance beliefs translate into the personalised and immersive outcomes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Moreover, advanced festival technologies evolve rapidly, and attendees often have uneven exposure to AI-enabled guidance or immersive activations. This makes it important to examine adoption readiness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through anticipated evaluations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formed prior to, or alongside limited, direct experience.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address these gaps, this study develops and tests an integrated model linking core Technology Acceptance Model (TAM) beliefs, perceived ease of use and perceived usefulness (Davis, 1989; Venkatesh et al., 2003), to perceived personalisation and anticipated technology-enabled immersion, and subsequently to loyalty intentions. The model incorporates trust as a facilitator of data-enabled tailoring (Gefen et al., 2003) and privacy concerns as a potential inhibitor via perceived risk and control considerations (Malhotra et al., 2004; Awad &amp; Krishnan, 2006). Immersion is conceptualised as anticipated, technology-facilitated absorption and presence enabled by interactive and vivid media (Sobitan &amp; Vlachos, 2020; Chen et al., 2025), and loyalty intentions are operationalised as revisit and recommendation intentions common in festival research (Van Winkle &amp; Falk, 2015; Sisson &amp; Alcorn, 2022). Empirically, the model is tested with survey data from festival attendees (N = 338) using covariance-based SEM.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study contributes by (1) positioning smart festivals as distinctive </w:t>
      </w:r>
      <w:r w:rsidDel="00000000" w:rsidR="00000000" w:rsidRPr="00000000">
        <w:rPr>
          <w:sz w:val="24"/>
          <w:szCs w:val="24"/>
          <w:rtl w:val="0"/>
        </w:rPr>
        <w:t xml:space="preserve">hyper-sensory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environments where acceptance mechanisms and experiential mechanisms interact; (2) extending TAM in a festival context by demonstrating how perceived personalisation functions as a value mechanism that enables immersion and strengthens loyalty intentions; and (3) informing the emerging governance debate by examining the role of trust and privacy concerns in shaping personalisation evaluations, including the possibility of a privacy–personalisation tension in data-intensive festival infrastructures (Ciftci et al., 2024; Karwatzki et al., 2017). The paper concludes with experience design and management implications for delivering ethical personalisation and meaningful immersion under peak festival operating conditions.</w:t>
      </w:r>
      <w:r w:rsidDel="00000000" w:rsidR="00000000" w:rsidRPr="00000000">
        <w:rPr>
          <w:rtl w:val="0"/>
        </w:rPr>
      </w:r>
    </w:p>
    <w:p w:rsidR="00000000" w:rsidDel="00000000" w:rsidP="00000000" w:rsidRDefault="00000000" w:rsidRPr="00000000" w14:paraId="0000000F">
      <w:pPr>
        <w:pStyle w:val="Heading2"/>
        <w:numPr>
          <w:ilvl w:val="0"/>
          <w:numId w:val="1"/>
        </w:numPr>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Literature Review</w:t>
      </w:r>
    </w:p>
    <w:p w:rsidR="00000000" w:rsidDel="00000000" w:rsidP="00000000" w:rsidRDefault="00000000" w:rsidRPr="00000000" w14:paraId="00000010">
      <w:pPr>
        <w:pStyle w:val="Heading3"/>
        <w:ind w:left="720" w:firstLine="0"/>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2.1 Smart festivals and adoption readiness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Smart festivals constitute transient, high-density events that integrate digital infrastructures and interactive elements throughout the attendee experience pathway. In festival environments, the pertinence of these technologies is heightened by peak demand, queuing, overcrowding, and temporal pressures, rendering attendees more reliant on real-time information and services that alleviate friction. Empirical insights from event tourism underscore how technology adoption can mould the formation of memorable experiences and subsequent behavioural outcomes in major cultural events (Shafeeque &amp; Azees, 2024).</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Given that a considerable proportion of festival attendees possess limited prior exposure to advanced festival technologies, this study centres on adoption readiness by modelling prospective evaluations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anticipated perceptions of usefulness, ease of use, personalisation, and immersion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direct interaction with these systems. Festivals also represent value co-creation arenas via interactions among organisers, attendees, and stakeholders; yet, under peak-load conditions, suboptimal usability or unclear data practices may convert smart infrastructures from experiential facilitators into friction-inducing barriers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(Azara et al., 2023; Wallace &amp; Michopoulou, 2023; Michopoulou et al., 2023).</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Therefore, understanding the nuances of technology integration in these dynamic environments is crucial for optimizing visitor engagement and satisfaction (Chen et al., 2025).</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growing emphasis on technology calls for a deeper understanding of how smart festival technologies, including digital platforms and data-enabled services such as festival apps, access and payment systems, real-time information tools, and interactive/immersive touchpoints, are integrated to support personalised experiences, streamline operations, and manage crowds more effectively (Neuhofer et al., 2020; Norfolk &amp; O’Regan, 2020; Lopes et al., 2025). This also includes immersive and hybrid applications, AR/VR features and interactive installations, that can enhance engagement before and during attendance, elevating the overall festival experience (Sjukriana et al., 2024). Such developments not only shape attendees’ leisure experiences but also provide organisers with opportunities to improve operational efficiency and introduce new engagement formats (Bossey, 2018; Cimbaljević et al., 2019).</w:t>
      </w:r>
    </w:p>
    <w:p w:rsidR="00000000" w:rsidDel="00000000" w:rsidP="00000000" w:rsidRDefault="00000000" w:rsidRPr="00000000" w14:paraId="00000013">
      <w:pPr>
        <w:pStyle w:val="Heading3"/>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2.2 Core technology acceptance beliefs: perceived ease of use and perceived usefulness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Technology Acceptance Model (TAM), perceived ease of use denotes the anticipated degree of effortlessness in employing a technological system, whereas perceived usefulness signifies the expected enhancement of performance and attainment of beneficial outcomes. These core beliefs gain particular salience in festival environments, where they are intensified by context-specific challenges such as overcrowding, queuing, temporal pressures, and inconsistent connectivity. Prior empirical research on technology adoption in events and festivals demonstrates that TAM constructs serve as primary predictors of attitudes and intentions toward technology, especially when such innovations provide evident functional advantages during on-site participation (Talantis et al., 2020). Supporting evidence from AI-enabled smart service contexts in hospitality further highlights the critical role of usability and performance expectancy in forming consumer receptivity and behavioral intentions, thereby reinforcing the applicability of TAM principles to technology-mediated experiences. Specifically, perceived ease of use influences technology adoption by reducing the cognitive load associated with new systems, while perceived usefulness drives acceptance by aligning the technology with users' goals and desired outcomes (Du et al., 2024;). This dual emphasis on cognitive accessibility and practical utility is critical in dynamic festival settings where rapid adoption and seamless integration are paramount for enhancing attendee satisfaction and operational efficacy (</w:t>
      </w:r>
      <w:r w:rsidDel="00000000" w:rsidR="00000000" w:rsidRPr="00000000">
        <w:rPr>
          <w:sz w:val="24"/>
          <w:szCs w:val="24"/>
          <w:rtl w:val="0"/>
        </w:rPr>
        <w:t xml:space="preserve">Bär et al.,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H1: Perceived Ease of Use (PEOU) positively influences Perceived Usefulness (PU).</w:t>
      </w:r>
    </w:p>
    <w:p w:rsidR="00000000" w:rsidDel="00000000" w:rsidP="00000000" w:rsidRDefault="00000000" w:rsidRPr="00000000" w14:paraId="00000016">
      <w:pPr>
        <w:pStyle w:val="Heading3"/>
        <w:ind w:left="720" w:firstLine="0"/>
        <w:rPr>
          <w:rFonts w:ascii="Arial" w:cs="Arial" w:eastAsia="Arial" w:hAnsi="Arial"/>
          <w:b w:val="0"/>
          <w:bCs w:val="0"/>
        </w:rPr>
      </w:pPr>
      <w:r w:rsidDel="00000000" w:rsidR="00000000" w:rsidRPr="00000000">
        <w:rPr>
          <w:rFonts w:ascii="Arial" w:cs="Arial" w:eastAsia="Arial" w:hAnsi="Arial"/>
          <w:b w:val="0"/>
          <w:bCs w:val="0"/>
          <w:color w:val="000000"/>
          <w:sz w:val="24"/>
          <w:szCs w:val="24"/>
          <w:rtl w:val="0"/>
        </w:rPr>
        <w:t xml:space="preserve">2.3 Trust in smart festival technologies</w:t>
      </w:r>
      <w:r w:rsidDel="00000000" w:rsidR="00000000" w:rsidRPr="00000000">
        <w:rPr>
          <w:rtl w:val="0"/>
        </w:rPr>
      </w:r>
    </w:p>
    <w:p w:rsidR="00000000" w:rsidDel="00000000" w:rsidP="00000000" w:rsidRDefault="00000000" w:rsidRPr="00000000" w14:paraId="00000017">
      <w:pPr>
        <w:pStyle w:val="Heading3"/>
        <w:spacing w:line="360" w:lineRule="auto"/>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Trust in smart festival technologies is conceptualised as the confidence that the festival's technological ecosystem, in conjunction with organisers or technology providers, will function dependably and prioritise users' interests. This construct typically incorporates perceptions of competence and reliability, alongside integrity and benevolence. Incorporating trust into technology acceptance models holds particular relevance in settings marked by uncertainty and risk; Gefen et al (2003) demonstrate that trust serves as a complementary element to TAM by alleviating perceived risk and reinforcing positive evaluations that underpin intention formation in technology-mediated services. In festival contexts, trust is especially pertinent owing to the vulnerability of essential, time-critical services to failure under peak demand, as well as the data disclosure necessitated by many "smart" features, rendering attendees reliant on organisers' responsible management of personal information. The confluence of these factors underscores the necessity of establishing robust trust mechanisms to foster sustained adoption and mitigate potential disengagement from smart festival technologies.</w:t>
      </w:r>
    </w:p>
    <w:p w:rsidR="00000000" w:rsidDel="00000000" w:rsidP="00000000" w:rsidRDefault="00000000" w:rsidRPr="00000000" w14:paraId="00000018">
      <w:pPr>
        <w:pStyle w:val="Heading3"/>
        <w:spacing w:line="360" w:lineRule="auto"/>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Consequently, festival attendees who place trust in the technological ecosystem are more inclined to embrace data-driven personalization, viewing tailored recommendations and navigational aids as authentic and beneficial rather than invasive. Empirical evidence from events substantiates this rationale: studies on biometric technologies at music festivals emphasise the interplay between trust-related perceptions and perceived benefits in moulding adoption assessments (Norfolk &amp; O’Regan, 2020), while research on facial recognition in corporate events likewise demonstrates that trust in the system fosters positive intentions to use within data-intensive settings (Ciftci et al., 2024). Aligning with these insights, trust is poised to enhance adoption preparedness by amplifying perceived personalisation in smart festival environments.</w:t>
      </w:r>
    </w:p>
    <w:p w:rsidR="00000000" w:rsidDel="00000000" w:rsidP="00000000" w:rsidRDefault="00000000" w:rsidRPr="00000000" w14:paraId="00000019">
      <w:pPr>
        <w:pStyle w:val="Heading3"/>
        <w:spacing w:line="360" w:lineRule="auto"/>
        <w:jc w:val="both"/>
        <w:rPr>
          <w:rFonts w:ascii="Arial" w:cs="Arial" w:eastAsia="Arial" w:hAnsi="Arial"/>
          <w:b w:val="0"/>
          <w:bCs w:val="0"/>
          <w:color w:val="000000"/>
          <w:sz w:val="24"/>
          <w:szCs w:val="24"/>
        </w:rPr>
      </w:pPr>
      <w:r w:rsidDel="00000000" w:rsidR="00000000" w:rsidRPr="00000000">
        <w:rPr>
          <w:rtl w:val="0"/>
        </w:rPr>
      </w:r>
    </w:p>
    <w:p w:rsidR="00000000" w:rsidDel="00000000" w:rsidP="00000000" w:rsidRDefault="00000000" w:rsidRPr="00000000" w14:paraId="0000001A">
      <w:pPr>
        <w:pStyle w:val="Heading3"/>
        <w:spacing w:line="360" w:lineRule="auto"/>
        <w:jc w:val="both"/>
        <w:rPr>
          <w:rFonts w:ascii="Arial" w:cs="Arial" w:eastAsia="Arial" w:hAnsi="Arial"/>
          <w:b w:val="0"/>
          <w:bCs w:val="0"/>
          <w:color w:val="000000"/>
          <w:sz w:val="24"/>
          <w:szCs w:val="24"/>
        </w:rPr>
      </w:pPr>
      <w:r w:rsidDel="00000000" w:rsidR="00000000" w:rsidRPr="00000000">
        <w:rPr>
          <w:rtl w:val="0"/>
        </w:rPr>
      </w:r>
    </w:p>
    <w:p w:rsidR="00000000" w:rsidDel="00000000" w:rsidP="00000000" w:rsidRDefault="00000000" w:rsidRPr="00000000" w14:paraId="0000001B">
      <w:pPr>
        <w:pStyle w:val="Heading3"/>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2.4 Privacy concerns and the personalisation–privacy trade-off</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Privacy concerns encompass individuals' worries regarding the gathering, utilization, and dissemination of personal data, coupled with the sense of diminished control over such information. Within data-intensive services, the advantages of personalisation are frequently offset by privacy-related drawbacks, prompting a privacy calculus whereby users balance prospective benefits against apprehended privacy hazards (Awad &amp; Krishnan, 2006; Karwatzki et al., 2017). This dichotomy holds special relevance in smart festival settings, wherein mechanisms like access management, cashless payments, and geolocation-based navigation heighten data exposure, rendering disclosure seemingly urgent and inescapable. Empirical findings from event studies underscore privacy as a salient impediment in data-heavy festival innovations; for instance, investigations into biometric applications at music festivals pinpoint privacy apprehensions as a primary deterrent alongside anticipated gains (Norfolk &amp; O’Regan, 2020), whereas analyses of facial recognition in corporate events reveal that privacy evaluations interact with personalisation assessments to shape technology adoption decisions (Ciftci et al., 2024). Complementary research in digital tourism services on the personalisation–privacy paradox further illustrates how privacy safeguards and risk perceptions modulate consumer reactions to tailored offerings. Collectively, these considerations imply that elevated privacy concerns diminish perceived personalisation in smart festival technologies, recasting customisation as potentially invasive or hazardous. This creates a tension between the perceived value of personalized services and the heightened anxiety regarding the misuse or unauthorized access of personal data, which can undermine trust in the underlying technology (Priyanka &amp; Siraj, 2021). This suggests that organizations developing smart services must proactively address privacy concerns to cultivate user trust, as perceptions of a provider's benevolence are critical for fostering adoption (Viot et al., 2024).  Taken together, these arguments suggest that higher privacy concerns should reduce perceived personalisation in smart festival technologies by reframing tailoring as intrusive or risky.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H2c: Privacy and data concerns (PRIVC) negatively influence Perceived Personalisation (PERS).</w:t>
      </w:r>
    </w:p>
    <w:p w:rsidR="00000000" w:rsidDel="00000000" w:rsidP="00000000" w:rsidRDefault="00000000" w:rsidRPr="00000000" w14:paraId="0000001F">
      <w:pPr>
        <w:pStyle w:val="Heading3"/>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2.5 Perceived personalisation as a value mechanism in smart festivals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Perceived personalisation is conceptualised as the degree to which festival attendees perceive that the festival's technological systems customise information, recommendations, and operational assistance in alignment with their individual preferences and requirements. Within digital services, perceived personalisation enhances perceptions of relevance and value, thereby bolstering positive user responses (Bleier &amp; Eisenbeiß, 2015). In tourism and technology-facilitated experiential contexts, personalisation has been associated with improved evaluations of experiences and heightened behavioural intentions, owing to augmented perceptions of suitability, convenience, and overall value (Koo et al., 2025; Jeong &amp; Shin, 2019; Pai et al., 2020). In the context of smart festivals, perceived usefulness is anticipated to bolster perceptions of personalisation, as efficacious systems are more readily interpreted as providing pertinent, context-sensitive assistance; likewise, trust is expected to validate personalisation as a benevolent feature rather than an intrusive one.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H2a: Perceived Usefulness (PU) positively influences Perceived Personalisation (PERS).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Trust should further facilitate personalisation perceptions in data-intensive festival environments. Personalised services typically rely on data collection and processing; therefore, festivalgoers who trust the technology ecosystem and organiser’s stewardship are more likely to accept and legitimise tailoring as benevolent support, while mistrust can lead attendees to discount personalised features as intrusive, manipulative, or unreliable (Gefen et al., 2003; Awad &amp; Krishnan, 2006). In turn, stronger trust should increase perceived personalisation.</w:t>
        <w:br w:type="textWrapping"/>
        <w:t xml:space="preserve">H2b: Trust in smart festival technologies (TRUST/CONF) positively influences Perceived Personalisation (PERS).</w:t>
      </w:r>
    </w:p>
    <w:p w:rsidR="00000000" w:rsidDel="00000000" w:rsidP="00000000" w:rsidRDefault="00000000" w:rsidRPr="00000000" w14:paraId="00000023">
      <w:pPr>
        <w:pStyle w:val="Heading3"/>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2.6 Anticipated immersive experience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this study, immersive experience is defined as the anticipated technology-facilitated absorption and presence, entailing profound engagement distinguished by elevated attention and sensory immersion, which interactive and vivid media, such as augmented or virtual reality (AR/VR), responsive installations, and immersive sensory stimuli, can engender (Sobitan &amp; Vlachos, 2020; Chen et al., 2025). Scholarship on events demonstrates that immersive festival experiences bolster identity construction, memory consolidation, and revisit inclinations within festival and heritage domains (Iversen et al., 2023), while AR-augmented interaction points heighten experiential quality and intentions to return relative to non-AR counterparts (Ngan &amp; Lei, 2024). Personalisation promotes immersion by alleviating experiential disruptions and amplifying contextual relevance, thereby enabling attendees to sustain undivided presence in the immediate moment. This enhanced presence, facilitated by tailored technological interventions, optimizes the subjective perception of the festival environment, transforming it into a more deeply engaging and memorable encounter (Dieck et al., 2017; Sustacha et al., 2023). In the context of smart festivals, personalised features are anticipated to alleviate cognitive load and decision fatigue amid time pressures, thereby enabling attendees to direct greater attention towards the festival's sensory and social dimensions. By enhancing perceived relevance and mitigating experiential friction, personalisation is thus expected to reinforce the anticipated absorption and presence that define immersive experiences.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H3: Perceived Personalisation (PERS) positively influences Immersive Experience (INM).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3"/>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2.8 Attitude and intention to use smart festival technologies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Attitude towards utilising smart festival technologies embodies a holistic evaluative predisposition concerning the integration of the festival's technological framework (Davis, 1989). In technology acceptance literature, attitude delineates the degree to which users deem a system's employment a "good idea," acting as a principal immediate antecedent of behavioural intention, particularly for elective and emergent technologies among users. Within smart festival environments, this attitudinal perspective is moulded by context-specific exigencies, such as overcrowding, temporal urgency, and demands for expeditious on-site choices, that magnify the experiential ramifications of technology engagement.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Fundamentally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festivals represent hedonic and experience-oriented contexts. Hence, attitudes towards smart festival technologies are expected to be shaped not only by utilitarian factors but also by anticipated experiential benefits. Perceived personalisation enhances attitudes by delivering customised schedules, recommendations, and context-sensitive assistance, which heighten perceived relevance and mitigate cognitive load, thereby positioning the technology as efficacious rather than commonplace. Similarly, anticipated immersion bolsters attitudes, as technologies promoting profound absorption and presence tend to receive positive evaluations in live-event settings, where emotional involvement and memorability constitute core determinants of success. This proposition is substantiated by prior event studies on mobile applications, which reveal that technology appraisals are strongly linked to favourable attitudes and subsequent behavioural intentions in event contexts. Moreover, a positive attitude is poised to elevate the intention to adopt smart festival technologies, reflecting a deliberate commitment to engage with the technological ecosystem in future festival encounters (Talantis et al., 2020). This aligns with previous research indicating that positive attitudes towards technology are strong predictors of behavioral intentions, particularly in contexts where technology mediates engaging and satisfying user experiences (Ahmad et al., 2022).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H4: Perceived Personalisation (PERS) positively influences Attitude (ACT).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H5: Immersive Experience (INM) positively influences Attitude (ACT).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H6: Attitude (ACT) positively influences Intention to use smart festival technologies (INT).</w:t>
      </w:r>
    </w:p>
    <w:p w:rsidR="00000000" w:rsidDel="00000000" w:rsidP="00000000" w:rsidRDefault="00000000" w:rsidRPr="00000000" w14:paraId="0000002D">
      <w:pPr>
        <w:pStyle w:val="Heading3"/>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2.9 Loyalty intention in smart festivals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Behavioural loyalty intentions (LOY) towards festivals are typically defined as intentions signifying sustained involvement with the festival brand, most often measured via revisit intentions and positive word-of-mouth or recommendations. In festival contexts, loyalty is predominantly experience-driven, given that the core offering constitutes a transient, emotionally intense encounter whose positive appraisals manifest as enduring memories shaping future attendance and promotional behaviours. This aligns with festival scholarship, which links profound, memorable experiences, bolstered by immersion, identity-related dynamics, and narrative immersion, to elevated revisit intentions and recommendation tendencies (Van Winkle &amp; Falk, 2015; Iversen et al., 2023). Additionally, technology-facilitated interactions can augment experiential quality and promote revisit intentions by fostering deeper engagement while alleviating on-site impediments (Ngan &amp; Lei, 2024). Therefore, the development of loyalty within the smart festival paradigm is not solely a function of satisfaction, but rather a multifaceted outcome influenced by the holistic, technology-enhanced experience (Wang et al., 2024). Specifically, consumers' behavioral intentions are closely linked to their overall satisfaction and perceived quality of the event (Lamari &amp; Bouslama, 2025), with higher satisfaction directly translating into increased behavioral intentions within a festival context. This suggests that positive interactions with smart festival technologies, leading to enhanced experiences and satisfaction, are crucial for fostering sustained loyalty behaviors (Muanas et al., 2025).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technology-mediated festival settings, loyalty may be bolstered via acceptance-driven and experience-driven mechanisms. Firstly, the intention to utilise the festival's technology ecosystem signifies preparedness to interact with digital interfaces on-site; such intentions enable attendees to gain from enhanced access, superior navigation and scheduling, along with prompt informational aid, thereby optimising the overall attendee journey and elevating propensities for revisitation and endorsements (Davis, 1989; Talantis et al., 2020). Secondly, perceived personalisation bolsters loyalty by augmenting perceived relevance and congruence between festival provisions and participants' preferences, thus cultivating a deeper psychological bond with the festival encounter (Bleier &amp; Eisenbeiß, 2015; Jeong &amp; Shin, 2019). Thirdly, immersive experience directly fosters loyalty by amplifying emotional involvement, sense of presence, and memorability, core processes underpinning post-event promotion and recurrent participation in festival milieus (Sobitan &amp; Vlachos, 2020; Iversen et al., 2023; Ngan &amp; Lei, 2024).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H7: Intention to use smart festival technologies (INT) positively influences Behavioural Loyalty Intention (LOY).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H8: Perceived Personalisation (PERS) positively influences Behavioural Loyalty Intention (LOY).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H9: Immersive Experience (INM) positively influences Behavioural Loyalty Intention (LOY).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color w:val="000000"/>
          <w:rtl w:val="0"/>
        </w:rPr>
        <w:t xml:space="preserve">[INSERT FIGURE 1. STRUCTURAL MODEL]</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illustrates the proposed theoretical structural model.</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numPr>
          <w:ilvl w:val="0"/>
          <w:numId w:val="1"/>
        </w:numPr>
        <w:spacing w:after="80" w:before="14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Methodology</w:t>
      </w:r>
    </w:p>
    <w:p w:rsidR="00000000" w:rsidDel="00000000" w:rsidP="00000000" w:rsidRDefault="00000000" w:rsidRPr="00000000" w14:paraId="00000038">
      <w:pPr>
        <w:pStyle w:val="Heading2"/>
        <w:spacing w:after="80" w:before="140" w:lineRule="auto"/>
        <w:ind w:left="720" w:firstLine="0"/>
        <w:jc w:val="both"/>
        <w:rPr/>
      </w:pPr>
      <w:r w:rsidDel="00000000" w:rsidR="00000000" w:rsidRPr="00000000">
        <w:rPr>
          <w:rFonts w:ascii="Arial" w:cs="Arial" w:eastAsia="Arial" w:hAnsi="Arial"/>
          <w:b w:val="0"/>
          <w:bCs w:val="0"/>
          <w:color w:val="000000"/>
          <w:sz w:val="24"/>
          <w:szCs w:val="24"/>
          <w:rtl w:val="0"/>
        </w:rPr>
        <w:t xml:space="preserve">3.1 Study design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study adopted a quantitative, cross-sectional survey design to examine festival attendees’ adoption readiness for smart festivals technologies and their anticipated effects on personalisation, immersion and loyalty outcomes. Because a substantial share of respondents had limited direct exposure to immersive or AI-enabled festival technologies, the measures capture anticipated evaluations (i.e., prospective usefulness, personalisation and immersion) rather than purely post-consumption assessments. This positioning is consistent with technology adoption research examining pre-use beliefs and intention formation in experiential contexts (Davis, 1989; Venkatesh et al., 2003).</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study is positioned in the broader context of live festivals where attendees face peak demand, queues, crowding, time pressure and wayfinding needs. To reduce ambiguity in prospective evaluations, respondents were instructed to think about live festivals they attend and the types of smart-festival technologies increasingly used in these settings (festival apps, digital ticketing, access control, QR, RFID wearables, cashless payments, real-time updates, and immersive activations).</w:t>
      </w:r>
      <w:r w:rsidDel="00000000" w:rsidR="00000000" w:rsidRPr="00000000">
        <w:rPr>
          <w:rtl w:val="0"/>
        </w:rPr>
      </w:r>
    </w:p>
    <w:p w:rsidR="00000000" w:rsidDel="00000000" w:rsidP="00000000" w:rsidRDefault="00000000" w:rsidRPr="00000000" w14:paraId="0000003B">
      <w:pPr>
        <w:pStyle w:val="Heading2"/>
        <w:spacing w:after="80" w:before="140" w:lineRule="auto"/>
        <w:ind w:left="720" w:firstLine="0"/>
        <w:jc w:val="both"/>
        <w:rPr/>
      </w:pPr>
      <w:r w:rsidDel="00000000" w:rsidR="00000000" w:rsidRPr="00000000">
        <w:rPr>
          <w:rFonts w:ascii="Arial" w:cs="Arial" w:eastAsia="Arial" w:hAnsi="Arial"/>
          <w:b w:val="0"/>
          <w:bCs w:val="0"/>
          <w:color w:val="000000"/>
          <w:sz w:val="24"/>
          <w:szCs w:val="24"/>
          <w:rtl w:val="0"/>
        </w:rPr>
        <w:t xml:space="preserve">3.2 Questionnaire and measures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questionnaire was developed to capture respondents’ previous experience with live festivals and technologies, their general familiarity with new technologies, and their evaluations of smart technologies used in festival settings. Multi-item constructs were measured using seven-point Likert-type scales ranging from 1 (“strongly disagree”) to 7 (“strongly agree”). The instrument began with an informed consent statement and assurances of anonymity and confidentiality, followed by sections on festival attendance, experience with festival technologies, main construct scales and sociodemographic questions.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evaluation of Perceived usefulness (PU) and perceived ease of use (PEOU) were each measured with four reflective items adapted from prior technology acceptance research in digital event contexts (Bär et al., 2025), consistent with the original TAM conceptualisation (Davis, 1989).</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Perceived personalisation (PERS) was measured with four items capturing the extent to which festival technologies are perceived to tailor information and recommendations and support user-controlled customisation, adapted from smart tourism and personalisation research (Koo et al., 2025; Jeong &amp; Shin, 2020).</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Anticipated immersive experience (INM) was measured with three items capturing perceived absorption and deep engagement enabled by immersive and interactive festival touchpoints, adapted from immersive experience research in event contexts (Chen et al., 2025).</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Trust in smart festival technologies (CONF) was measured with three items adapted from the integrated trust–TAM framework (Gefen et al., 2003), reflecting beliefs about reliability and acting in the user’s interest.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Privacy and data concerns (PRIVC) were measured with three items adapted from the IUIPC scale (Malhotra et al., 2004), capturing concerns about data collection and use.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Attitude toward using smart festival technologies (ACT) was measured with three items reflecting overall evaluative orientation toward adoption, adapted from recent smart-service acceptance research in hospitality contexts (Du et al., 2025). </w:t>
        <w:br w:type="textWrapping"/>
        <w:t xml:space="preserve">Intention to use smart festival technologies (INT) was measured with three items adapted from event-related technology acceptance research, including prior work applying extended TAM in a festival context (Lee et al., 2012). </w:t>
        <w:br w:type="textWrapping"/>
        <w:t xml:space="preserve">Behavioral loyalty intention (LOY) was measured with three items capturing revisit and recommendation intentions, adapted from festival/tourism loyalty research (Lee et al., 2012; Jeong &amp; Shin, 2020).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 to the main data collection, the questionnaire was piloted with 45 individuals who had experience attending live festivals. Based on the pretest results, two academic scholars reviewed and refined the questions. All constructs were modelled as reflective latent variables. Reliability was assessed using Cronbach’s al</w:t>
      </w:r>
      <w:r w:rsidDel="00000000" w:rsidR="00000000" w:rsidRPr="00000000">
        <w:rPr>
          <w:sz w:val="24"/>
          <w:szCs w:val="24"/>
          <w:rtl w:val="0"/>
        </w:rPr>
        <w:t xml:space="preserve">pha (</w:t>
      </w:r>
      <w:r w:rsidDel="00000000" w:rsidR="00000000" w:rsidRPr="00000000">
        <w:rPr>
          <w:sz w:val="24"/>
          <w:szCs w:val="24"/>
          <w:rtl w:val="0"/>
        </w:rPr>
        <w:t xml:space="preserve">Hair et al. 2010)</w:t>
      </w:r>
      <w:r w:rsidDel="00000000" w:rsidR="00000000" w:rsidRPr="00000000">
        <w:rPr>
          <w:sz w:val="24"/>
          <w:szCs w:val="24"/>
          <w:rtl w:val="0"/>
        </w:rPr>
        <w:t xml:space="preserve">. During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measurement evaluation, two items: “I would like to use smart technologies at future festivals” in Attitude Toward Smart Technologies in Festivals and “I predict that I would use smart technologies if they were available at a festivals” in Intention to use Smart Technologies at Festivals showed inadequate psychometric performance. Consistent with scale purification guidelines, these items were removed from the measurement model and excluded from further analyses to improve reliability and convergent validity. The remaining indicators for each construct exhibited satisfactory reliability and validity.</w:t>
      </w:r>
      <w:r w:rsidDel="00000000" w:rsidR="00000000" w:rsidRPr="00000000">
        <w:rPr>
          <w:rtl w:val="0"/>
        </w:rPr>
      </w:r>
    </w:p>
    <w:p w:rsidR="00000000" w:rsidDel="00000000" w:rsidP="00000000" w:rsidRDefault="00000000" w:rsidRPr="00000000" w14:paraId="00000044">
      <w:pPr>
        <w:pStyle w:val="Heading2"/>
        <w:spacing w:after="80" w:before="140" w:line="360" w:lineRule="auto"/>
        <w:ind w:left="720" w:firstLine="0"/>
        <w:jc w:val="both"/>
        <w:rPr/>
      </w:pPr>
      <w:r w:rsidDel="00000000" w:rsidR="00000000" w:rsidRPr="00000000">
        <w:rPr>
          <w:rFonts w:ascii="Arial" w:cs="Arial" w:eastAsia="Arial" w:hAnsi="Arial"/>
          <w:b w:val="0"/>
          <w:bCs w:val="0"/>
          <w:color w:val="000000"/>
          <w:sz w:val="24"/>
          <w:szCs w:val="24"/>
          <w:rtl w:val="0"/>
        </w:rPr>
        <w:t xml:space="preserve">3.3 Sampling, data collection, and controls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Fieldwork for this research took place between November 2025 and February 2026 and was facilitated by an online questionnaire disseminated through social media and online communities relevant to live-festival audiences. Thus, the sample was drawn through non-probability, purposive sampling. Respondents were 18 years of age or older.</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ensure relevance to the festival context, the survey included a screening item asking whether respondents had attended any live festival within the past two years. Participants who did not meet this criterion were directed to the end of the questionnaire.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a priori power analysis using G*Power indicated a minimum required sample size of N = 205. Given that SEM typically requires larger samples than single-equation regression, and following conservative guidance on sample size considerations for covariance-based SEM (Reinartz et al., 2009), we adopted a target of at least N = 305. The final sample (N = 338) therefore exceeds both the minimum power requirement and this conservative benchmark, supporting adequate statistical power and reliable parameter estimation for the CB-SEM analyses.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Because the survey </w:t>
      </w:r>
      <w:r w:rsidDel="00000000" w:rsidR="00000000" w:rsidRPr="00000000">
        <w:rPr>
          <w:sz w:val="24"/>
          <w:szCs w:val="24"/>
          <w:rtl w:val="0"/>
        </w:rPr>
        <w:t xml:space="preserve">survey used a forced-response format, the dataset contained no missing values.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Accordingly, CFA and SEM were estimated using complete cases (listwise deletion), which in practice corresponds to analysing the full available sample for the measurement and structural models. Model estimation converged without issues and fit indices were within acceptable ranges.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the study relies on a self-reported, cross-sectional survey, we took steps to reduce potential response biases. The questionnaire used clear, non-technical wording and emphasised that there were no right or wrong answers, encouraging honest responses. Post-hoc common method bias diagnostics suggested CMV is unlikely to be a major concern. Harman’s single-factor test indicated that the first factor accounted for 44.7% of the variance (&lt; 50%). F</w:t>
      </w:r>
      <w:r w:rsidDel="00000000" w:rsidR="00000000" w:rsidRPr="00000000">
        <w:rPr>
          <w:sz w:val="24"/>
          <w:szCs w:val="24"/>
          <w:rtl w:val="0"/>
        </w:rPr>
        <w:t xml:space="preserve">urther confirming the absence of CMV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one-factor CFA showed poor fit (CFI = 0.644, RMSEA = 0.150, SRMR = 0.105) relative to the measurement model (CFI = 0.939, RMSEA = 0.065, SRMR = 0.053). </w:t>
      </w:r>
      <w:r w:rsidDel="00000000" w:rsidR="00000000" w:rsidRPr="00000000">
        <w:rPr>
          <w:sz w:val="24"/>
          <w:szCs w:val="24"/>
          <w:rtl w:val="0"/>
        </w:rPr>
        <w:t xml:space="preserve">Maximum Likelihood (ML) estimation was employed, as it is robust for reflective CB-SEM models when data follow a near-normal distribution (Hair et al. 2010).</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TABLE 1. CFA MODEL COMPARISONS]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subscrip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04D">
      <w:pPr>
        <w:pStyle w:val="Heading2"/>
        <w:spacing w:after="80" w:before="140" w:line="360" w:lineRule="auto"/>
        <w:ind w:left="720" w:firstLine="0"/>
        <w:jc w:val="both"/>
        <w:rPr/>
      </w:pPr>
      <w:r w:rsidDel="00000000" w:rsidR="00000000" w:rsidRPr="00000000">
        <w:rPr>
          <w:rFonts w:ascii="Arial" w:cs="Arial" w:eastAsia="Arial" w:hAnsi="Arial"/>
          <w:b w:val="0"/>
          <w:bCs w:val="0"/>
          <w:color w:val="000000"/>
          <w:sz w:val="24"/>
          <w:szCs w:val="24"/>
          <w:rtl w:val="0"/>
        </w:rPr>
        <w:t xml:space="preserve">4.1 Descriptive statistics and sample profile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2 summarises the sample profile and prior experience with emerging technologies in live festivals.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jc w:val="center"/>
        <w:rPr>
          <w:color w:val="000000"/>
          <w:sz w:val="24"/>
          <w:szCs w:val="24"/>
        </w:rPr>
      </w:pPr>
      <w:r w:rsidDel="00000000" w:rsidR="00000000" w:rsidRPr="00000000">
        <w:rPr>
          <w:sz w:val="24"/>
          <w:szCs w:val="24"/>
          <w:rtl w:val="0"/>
        </w:rPr>
        <w:t xml:space="preserve">[INSERT TABLE 2. </w:t>
      </w:r>
      <w:r w:rsidDel="00000000" w:rsidR="00000000" w:rsidRPr="00000000">
        <w:rPr>
          <w:color w:val="000000"/>
          <w:sz w:val="24"/>
          <w:szCs w:val="24"/>
          <w:rtl w:val="0"/>
        </w:rPr>
        <w:t xml:space="preserve">RESPONDENTS’ CHARACTERISTICS (N = 338)]</w:t>
      </w:r>
    </w:p>
    <w:p w:rsidR="00000000" w:rsidDel="00000000" w:rsidP="00000000" w:rsidRDefault="00000000" w:rsidRPr="00000000" w14:paraId="00000051">
      <w:pPr>
        <w:jc w:val="center"/>
        <w:rPr>
          <w:vertAlign w:val="subscrip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sample (N = 338) was predominantly young adults: 75.1% were aged 18–29, followed by 15.7% aged 30–39, 4.4% aged 40–49, and 4.7% aged 50 or above. The gender distribution was 56.8% female and 41.4% male, with a small share identifying as non-binary (0.6%) or preferring not to say (1.2%). In terms of festival engagement, respondents reported frequent attendance: 43.5% attended festivals once per year and 42.0% attended 2–3 times per year, while 8.3% attended 4–5 times and 3.8% attended six or more festivals annually; responses classified as “Other” were aggregated into a single category (2.4%). Employment status was dominated by students (56.5%), followed by full-time employees (24.9%), part-time employees (7.4%), and self-employed respondents (4.7%); the remaining categories (unemployed, homemaker/caregiver, retired, and other) jointly represented 6.6%. Monthly income was mixed, with 34.3% preferring not to disclose; among those who reported income, the most common category was below €500 (24.6%), consistent with the high proportion of students, followed by €1,000–€1,499 (10.9%) and €2,000–€2,999 (10.1%).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Respondents reported attending a diverse mix of festival types (multiple responses permitted). Most indicated music festivals (87.6%), followed by food festivals (46.7%) and arts festivals (45.9%). Cultural festivals were also common (37.9%), while smaller shares reported attending literature/book festivals (19.8%) and videogames/technology festivals (18.6%). This distribution suggests that the sample reflects a broad festivalgoing profile, with strong representation of high-density music festivals alongside other festival formats.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relation to festival technology, respondents showed heterogeneous exposure: 36.1% had never used emerging technologies at festivals, whereas 36.1% reported using them sometimes, 10.9% only once, and 16.9% frequently. Despite this mixed exposure, self-reported technology readiness was generally high: 60.1% reported a high ability to adapt to new technologies and 15.1% reported very high readiness, while only 5.0% reported low or very low comfort. This profile supports the study’s focus on adoption readiness and anticipated evaluations, capturing both less-experienced and more technologically engaged festivalgoers.</w:t>
      </w:r>
      <w:r w:rsidDel="00000000" w:rsidR="00000000" w:rsidRPr="00000000">
        <w:rPr>
          <w:rtl w:val="0"/>
        </w:rPr>
      </w:r>
    </w:p>
    <w:p w:rsidR="00000000" w:rsidDel="00000000" w:rsidP="00000000" w:rsidRDefault="00000000" w:rsidRPr="00000000" w14:paraId="00000057">
      <w:pPr>
        <w:pStyle w:val="Heading2"/>
        <w:spacing w:after="80" w:before="140" w:line="360" w:lineRule="auto"/>
        <w:ind w:left="720" w:firstLine="0"/>
        <w:jc w:val="both"/>
        <w:rPr/>
      </w:pPr>
      <w:r w:rsidDel="00000000" w:rsidR="00000000" w:rsidRPr="00000000">
        <w:rPr>
          <w:rFonts w:ascii="Arial" w:cs="Arial" w:eastAsia="Arial" w:hAnsi="Arial"/>
          <w:b w:val="0"/>
          <w:bCs w:val="0"/>
          <w:color w:val="000000"/>
          <w:sz w:val="24"/>
          <w:szCs w:val="24"/>
          <w:rtl w:val="0"/>
        </w:rPr>
        <w:t xml:space="preserve">4.2 Measurement model</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TABLE 3.</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 DESCRIPTIVES AND RELIABILITY]</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analysis began by assessing the measurement model, followed by the SEM evaluation. The measurement model comprised nine constructs: Perceived Usefulness, Perceived Ease of Use, Perceived Personalization, Immersive Experience, Trust in Smart Technologies,  Privacy and Data Concerns, Attitude Toward Smart Technologies in Festivals, Intention to use Smart Technologies at Festivals and Behavioral Loyalty Intention. Sampling adequacy was excellent (KMO = 0.942) and Bartlett’s test was significant χ²(435) = 8746,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.001, supporting factorability. The nine-factor CFA showed good fit χ² = 896.386, df = 369; CFI = 0.939; TLI = 0.928; RMSEA = 0.065; SRMR = 0.053. All standardized loadings were significant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sdt>
        <w:sdtPr>
          <w:id w:val="140115517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&lt; .001). Composite reliability (CR) exceeded recommended thresholds (CR ≥ .70) and average variance extracted (AVE</w:t>
          </w:r>
        </w:sdtContent>
      </w:sdt>
      <w:r w:rsidDel="00000000" w:rsidR="00000000" w:rsidRPr="00000000">
        <w:rPr>
          <w:sz w:val="24"/>
          <w:szCs w:val="24"/>
          <w:rtl w:val="0"/>
        </w:rPr>
        <w:t xml:space="preserve">) met or exceeded the .50 criterion, supporting convergent validity (</w:t>
      </w:r>
      <w:r w:rsidDel="00000000" w:rsidR="00000000" w:rsidRPr="00000000">
        <w:rPr>
          <w:sz w:val="24"/>
          <w:szCs w:val="24"/>
          <w:rtl w:val="0"/>
        </w:rPr>
        <w:t xml:space="preserve">Hair et al. 2010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Fornell &amp; Larcker, 1981).</w:t>
      </w:r>
    </w:p>
    <w:p w:rsidR="00000000" w:rsidDel="00000000" w:rsidP="00000000" w:rsidRDefault="00000000" w:rsidRPr="00000000" w14:paraId="0000005A">
      <w:pPr>
        <w:spacing w:line="360" w:lineRule="auto"/>
        <w:jc w:val="center"/>
        <w:rPr>
          <w:sz w:val="24"/>
          <w:szCs w:val="24"/>
          <w:vertAlign w:val="subscript"/>
        </w:rPr>
      </w:pPr>
      <w:r w:rsidDel="00000000" w:rsidR="00000000" w:rsidRPr="00000000">
        <w:rPr>
          <w:sz w:val="24"/>
          <w:szCs w:val="24"/>
          <w:rtl w:val="0"/>
        </w:rPr>
        <w:t xml:space="preserve">[INSERT TABLE 4. </w:t>
      </w:r>
      <w:r w:rsidDel="00000000" w:rsidR="00000000" w:rsidRPr="00000000">
        <w:rPr>
          <w:color w:val="000000"/>
          <w:sz w:val="24"/>
          <w:szCs w:val="24"/>
          <w:rtl w:val="0"/>
        </w:rPr>
        <w:t xml:space="preserve">Factor Loading, Composite Reliability (CR), and Average Variance Extracted (AVE)]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3 reports item descriptives and internal consistency (Cronbach’s alpha).</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6932228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Table 4 reports standardized loadings, CR, AVE and √AVE.</w:t>
          </w:r>
        </w:sdtContent>
      </w:sdt>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5 reports discriminant validity using HTMT criterion.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spacing w:after="80" w:before="140" w:line="360" w:lineRule="auto"/>
        <w:jc w:val="center"/>
        <w:rPr/>
      </w:pPr>
      <w:r w:rsidDel="00000000" w:rsidR="00000000" w:rsidRPr="00000000">
        <w:rPr>
          <w:rFonts w:ascii="Arial" w:cs="Arial" w:eastAsia="Arial" w:hAnsi="Arial"/>
          <w:b w:val="0"/>
          <w:bCs w:val="0"/>
          <w:color w:val="000000"/>
          <w:sz w:val="24"/>
          <w:szCs w:val="24"/>
          <w:rtl w:val="0"/>
        </w:rPr>
        <w:t xml:space="preserve">[INSERT TABLE 5. DISCRIMINANT VALIDITY (HTMT RATIOS)]</w:t>
      </w:r>
      <w:r w:rsidDel="00000000" w:rsidR="00000000" w:rsidRPr="00000000">
        <w:rPr>
          <w:rtl w:val="0"/>
        </w:rPr>
      </w:r>
    </w:p>
    <w:p w:rsidR="00000000" w:rsidDel="00000000" w:rsidP="00000000" w:rsidRDefault="00000000" w:rsidRPr="00000000" w14:paraId="00000060">
      <w:pPr>
        <w:spacing w:line="360" w:lineRule="auto"/>
        <w:jc w:val="both"/>
        <w:rPr>
          <w:color w:val="000000"/>
          <w:sz w:val="24"/>
          <w:szCs w:val="24"/>
        </w:rPr>
      </w:pPr>
      <w:r w:rsidDel="00000000" w:rsidR="00000000" w:rsidRPr="00000000">
        <w:rPr>
          <w:color w:val="000000"/>
          <w:sz w:val="24"/>
          <w:szCs w:val="24"/>
          <w:rtl w:val="0"/>
        </w:rPr>
        <w:t xml:space="preserve">Discriminant validity was assessed using the heterotrait–monotrait ratio (HTMT). HTMT values below 0.90 indicate adequate discriminant validity. As reported in Table 5, HTMT ratios were below the recommended threshold; the highest HTMT was observed for Attitude and Intention (HTMT = 0.885), consistent with their conceptual proximity in technology acceptance research (Li et al., 2024).</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Structural model and hypothesis testing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TABLE 6. HYPOTHESES TESTING]</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structural model demonstrated acceptable overall fit χ²(391) = 1127.864, CFI = 0.915, TLI = 0.905, RMSEA = 0.075, SRMR = 0.085. Although SRMR was slightly above the conservative 0.08 guideline, values below 0.10 are often considered acceptable when other indices indicate reasonable fit and the model is theoretically well-specified. The model explained substantial variance in perceived personalisation (R² = 0.723), attitude (R² = 0.687), intention (R² = 0.780) and loyalty (R² = 0.797) (Figure 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Hypothesis tests (Table 6) support the proposed acceptance and experiential pathways. Perceived ease of use strongly increased perceived usefulness (β = 0.693,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.001). Usefulness (β = 0.548,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.001) and trust (β = 0.459, p &lt; .001) were the main antecedents of perceived personalization. Perceived personalization was a strong predictor of immersion (β = 0.678,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.001) and also positively related to attitude (β = 0.549, p &lt; .001). Immersion further enhanced attitude (β = 0.352, p &lt; .001), and attitude strongly predicted intention to use smart festival technologies (β = 0.883,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.001). Finally, intention predicted loyalty intentions (β = 0.558,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.001), while perceived personalization (β = 0.189,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.001) and immersion (β = 0.249,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&lt; .001) also showed significant direct associations with loyalty.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6 reports path coefficients and hypothesis decisions; Figure 2 reports structural relationships.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Given the unexpected positive association between privacy concerns and perceived personalization, three post-hoc checks were conducted. The relationship remained positive in bivariate analyses and OLS regressions after controlling for perceived usefulness and trust, although the effect was small (r = .164; R² = .027). An alternative SEM specifying the reverse direction produced virtually identical fit, indicating that causal direction cannot be inferred from cross-sectional data. Finally, removing this path yielded only trivial changes in global fit, despite a statistically significant nested chi-square difference test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.019), suggesting a small incremental contribution rather than a central mechanism.</w:t>
      </w:r>
    </w:p>
    <w:p w:rsidR="00000000" w:rsidDel="00000000" w:rsidP="00000000" w:rsidRDefault="00000000" w:rsidRPr="00000000" w14:paraId="00000068">
      <w:pPr>
        <w:pStyle w:val="Heading2"/>
        <w:spacing w:after="80" w:before="14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4.4 Total and indirect effects on loyalty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[INSERT FIGURE 2. RESULTS OF STRUCTURAL RELATIONSHIPS]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jc w:val="center"/>
        <w:rPr>
          <w:sz w:val="24"/>
          <w:szCs w:val="24"/>
        </w:rPr>
      </w:pPr>
      <w:r w:rsidDel="00000000" w:rsidR="00000000" w:rsidRPr="00000000">
        <w:rPr>
          <w:sz w:val="24"/>
          <w:szCs w:val="24"/>
          <w:rtl w:val="0"/>
        </w:rPr>
        <w:t xml:space="preserve">[INSERT TABLE 7. TOTAL AND INDIRECT EFFECTS]</w:t>
      </w:r>
    </w:p>
    <w:p w:rsidR="00000000" w:rsidDel="00000000" w:rsidP="00000000" w:rsidRDefault="00000000" w:rsidRPr="00000000" w14:paraId="0000006E">
      <w:pPr>
        <w:pStyle w:val="Heading2"/>
        <w:spacing w:line="360" w:lineRule="auto"/>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Indirect and total effects were examined using bias-corrected bootstrapping (5,000 resamples; 95% CI) and are summarised in Table 7. Perceived personalisation showed a substantial mediated influence on loyalty through both the immersion route (indirect = 0.187, 95% CI [0.093, 0.305]) and the attitude–intention route (indirect = 0.299, 95% CI [0.171, 0.466]), with an additional serial pathway via immersion, attitude and intention (indirect = 0.130, 95% CI [0.053, 0.211]). The total indirect effect of personalisation on loyalty was large (0.616, 95% CI [0.461, 0.823]), and the overall total effect remained significant (total = 0.825, 95% CI [0.639, 1.063]). Upstream, perceived ease of use also exerted a significant overall indirect effect on loyalty through usefulness and downstream mechanisms (total indirect = 0.289, 95% CI [0.163, 0.437]).</w:t>
      </w:r>
    </w:p>
    <w:p w:rsidR="00000000" w:rsidDel="00000000" w:rsidP="00000000" w:rsidRDefault="00000000" w:rsidRPr="00000000" w14:paraId="0000006F">
      <w:pPr>
        <w:pStyle w:val="Heading2"/>
        <w:numPr>
          <w:ilvl w:val="0"/>
          <w:numId w:val="1"/>
        </w:numPr>
        <w:spacing w:line="36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Discussion </w:t>
      </w:r>
    </w:p>
    <w:p w:rsidR="00000000" w:rsidDel="00000000" w:rsidP="00000000" w:rsidRDefault="00000000" w:rsidRPr="00000000" w14:paraId="00000070">
      <w:pPr>
        <w:spacing w:line="360" w:lineRule="auto"/>
        <w:jc w:val="both"/>
        <w:rPr>
          <w:sz w:val="24"/>
          <w:szCs w:val="24"/>
        </w:rPr>
      </w:pPr>
      <w:r w:rsidDel="00000000" w:rsidR="00000000" w:rsidRPr="00000000">
        <w:rPr>
          <w:sz w:val="24"/>
          <w:szCs w:val="24"/>
          <w:rtl w:val="0"/>
        </w:rPr>
        <w:t xml:space="preserve">This research advances the field of smart festival studies by demonstrating how festival operational conditions enhance technology acceptance processes and mould expectations of personalisation and technology-mediated immersion. These results align with the extant literature, which emphasises the critical role of stakeholder needs alongside value co-creation and co-destruction in driving the success of contemporary festivals. (Azara et al., 2023; Wallace &amp; Michopoulou, 2023; Michopoulou et al., 2023). Furthermore, this research contributes by providing a robust theoretical framework for understanding the intricate interplay between festival attributes, attendee perceptions, and loyalty intentions within technology-enriched festival environments, addressing prior limitations regarding generalizability (Tanford &amp; Jung, 2017). Specifically, the mediating role of place attachment further elucidates how satisfactory experiences foster emotional connections and behavioral intentions toward festival host communities (Lee et al., 2012). This suggests that place attachment, alongside festival satisfaction and co-creation experiences, plays a crucial role in influencing festival evaluation and subsequent re-patronizing intention (Zhang et al., 2019). This comprehensive framework underscores the importance of integrating motivational dimensions to fully comprehend the cultural tourism experience, advocating for culturally engaging programs and innovative technology to enhance satisfaction and cultivate loyalty in cultural events (Carvache</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Franco et al., 2025). </w:t>
      </w:r>
    </w:p>
    <w:p w:rsidR="00000000" w:rsidDel="00000000" w:rsidP="00000000" w:rsidRDefault="00000000" w:rsidRPr="00000000" w14:paraId="00000071">
      <w:pPr>
        <w:spacing w:line="360" w:lineRule="auto"/>
        <w:jc w:val="both"/>
        <w:rPr>
          <w:sz w:val="24"/>
          <w:szCs w:val="24"/>
        </w:rPr>
      </w:pPr>
      <w:r w:rsidDel="00000000" w:rsidR="00000000" w:rsidRPr="00000000">
        <w:rPr>
          <w:sz w:val="24"/>
          <w:szCs w:val="24"/>
          <w:rtl w:val="0"/>
        </w:rPr>
        <w:t xml:space="preserve">Overall, the findings endorse an integrated pathway combining technology acceptance and experiential dimensions in smart festivals. Perceived ease of use substantially bolstered perceived usefulness, while usefulness and trust constituted primary predictors of perceived personalisation. Personalisation, in turn, amplified anticipated immersion and shaped loyalty intentions both directly and indirectly through attitude and intention to use. These dynamics align with contemporary event tourism research indicating that technology adoption fosters memorable experiences and subsequent behavioural outcomes (Hanaa &amp; P, 2024), as well as festival studies associating experiential quality with loyalty and word-of-mouth (Sisson &amp; Alcorn, 2021). Accordingly, this study advances extant theory by exploring novel constructs and empirically validating their interrelationships within the smart festival context (Swart et al., 2019). Moreover, the framework synthesises principles from the Technology Acceptance Model and the Experience Economy Framework, thereby providing a comprehensive lens for understanding how technology-enabled tourism offerings enrich attendee experiences and cultivate loyalty in smart tourism destinations (Chhabra et al., 2025).</w:t>
      </w:r>
    </w:p>
    <w:p w:rsidR="00000000" w:rsidDel="00000000" w:rsidP="00000000" w:rsidRDefault="00000000" w:rsidRPr="00000000" w14:paraId="00000072">
      <w:pPr>
        <w:pStyle w:val="Heading3"/>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5.1 Theoretical contribution</w:t>
      </w:r>
    </w:p>
    <w:p w:rsidR="00000000" w:rsidDel="00000000" w:rsidP="00000000" w:rsidRDefault="00000000" w:rsidRPr="00000000" w14:paraId="00000073">
      <w:pPr>
        <w:spacing w:line="360" w:lineRule="auto"/>
        <w:jc w:val="both"/>
        <w:rPr>
          <w:sz w:val="24"/>
          <w:szCs w:val="24"/>
        </w:rPr>
      </w:pPr>
      <w:r w:rsidDel="00000000" w:rsidR="00000000" w:rsidRPr="00000000">
        <w:rPr>
          <w:sz w:val="24"/>
          <w:szCs w:val="24"/>
          <w:rtl w:val="0"/>
        </w:rPr>
        <w:t xml:space="preserve">This study advances festival and event scholarship in three principal ways. First, it conceptualises smart festivals as unique organisational contexts wherein operational conditions intensify technology acceptance processes. In these settings, minor usability impediments can rapidly result in overlooked performances and eroded perceived value, thereby heightening the applied significance of ease-of-use and usefulness perceptions. This underscores the imperative for intuitive digital interfaces and resilient technological infrastructure to enable fluid incorporation into the festival experience (Xiong &amp; Zhang, 2024).</w:t>
      </w:r>
    </w:p>
    <w:p w:rsidR="00000000" w:rsidDel="00000000" w:rsidP="00000000" w:rsidRDefault="00000000" w:rsidRPr="00000000" w14:paraId="00000074">
      <w:pPr>
        <w:spacing w:line="360" w:lineRule="auto"/>
        <w:jc w:val="both"/>
        <w:rPr>
          <w:sz w:val="24"/>
          <w:szCs w:val="24"/>
        </w:rPr>
      </w:pPr>
      <w:r w:rsidDel="00000000" w:rsidR="00000000" w:rsidRPr="00000000">
        <w:rPr>
          <w:sz w:val="24"/>
          <w:szCs w:val="24"/>
          <w:rtl w:val="0"/>
        </w:rPr>
        <w:t xml:space="preserve">Secondly, the results elucidate the transformation of ‘smartness’ into experiential value within festival contexts: perceived personalisation serves as a key value mechanism that translates technology-related beliefs into immersive engagement and loyalty intentions (Çiğdemli &amp; Avci, 2022; Hlee &amp; Lee, 2022). This highlights the importance of value co-creation through stakeholder interactions and resource integration (Azara et al., 2023; Wallace &amp; Michopoulou, 2023; Michopoulou et al., 2023).</w:t>
      </w:r>
    </w:p>
    <w:p w:rsidR="00000000" w:rsidDel="00000000" w:rsidP="00000000" w:rsidRDefault="00000000" w:rsidRPr="00000000" w14:paraId="00000075">
      <w:pPr>
        <w:spacing w:line="360" w:lineRule="auto"/>
        <w:jc w:val="both"/>
        <w:rPr>
          <w:sz w:val="24"/>
          <w:szCs w:val="24"/>
        </w:rPr>
      </w:pPr>
      <w:r w:rsidDel="00000000" w:rsidR="00000000" w:rsidRPr="00000000">
        <w:rPr>
          <w:sz w:val="24"/>
          <w:szCs w:val="24"/>
          <w:rtl w:val="0"/>
        </w:rPr>
        <w:t xml:space="preserve">Third, the results sharpen the conceptual relationship between technology-enabled immersion and behavioural outcomes in festivals. The proposed model demonstrates that immersive experiences promote behavioural loyalty both directly and indirectly, mediated by more positive attitudes and heightened intentions to adopt smart festival technologies. This advances existing festival literature, which connects immersion to identity development, memory formation, and revisit intentions, by delineating the pivotal role of technology-mediated interactions in facilitating such immersive outcomes </w:t>
      </w:r>
      <w:r w:rsidDel="00000000" w:rsidR="00000000" w:rsidRPr="00000000">
        <w:rPr>
          <w:color w:val="000000"/>
          <w:sz w:val="24"/>
          <w:szCs w:val="24"/>
          <w:rtl w:val="0"/>
        </w:rPr>
        <w:t xml:space="preserve">(Sobitan &amp; Vlachos, 2020; Iversen et al., 2023)</w:t>
      </w:r>
      <w:r w:rsidDel="00000000" w:rsidR="00000000" w:rsidRPr="00000000">
        <w:rPr>
          <w:sz w:val="24"/>
          <w:szCs w:val="24"/>
          <w:rtl w:val="0"/>
        </w:rPr>
        <w:t xml:space="preserve">. This alignment reinforces the concept that advanced digital tools, particularly those offering personalization and accessibility, are instrumental in shaping both hedonic and utilitarian consumption motivations within tourism experiences (Yahya et al., 2026).</w:t>
      </w:r>
    </w:p>
    <w:p w:rsidR="00000000" w:rsidDel="00000000" w:rsidP="00000000" w:rsidRDefault="00000000" w:rsidRPr="00000000" w14:paraId="00000076">
      <w:pPr>
        <w:pStyle w:val="Heading3"/>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5.2 Privacy concerns and the privacy–personalisation tension in smart festivals</w:t>
      </w:r>
    </w:p>
    <w:p w:rsidR="00000000" w:rsidDel="00000000" w:rsidP="00000000" w:rsidRDefault="00000000" w:rsidRPr="00000000" w14:paraId="00000077">
      <w:pPr>
        <w:pStyle w:val="Heading3"/>
        <w:spacing w:line="360" w:lineRule="auto"/>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Although it was hypothesized that privacy concerns would diminish perceived personalization, the empirical relationship proved positive yet modest in magnitude. This outcome may reflect a privacy–personalization tension akin to the personalization–privacy paradox, whereby festival attendees who value data-driven customization are concurrently more cognizant of the data collection processes necessary to enable it (Awad &amp; Krishnan, 2006; Karwatzki et al., 2017). IIn data-intensive festival infrastructures, apprehensions about privacy can thus coexist alongside enhanced perceptions of personalisation, rather than diminishing them. This pattern mirrors recent empirical evidence from event-specific contexts involving facial recognition at business gatherings (Ciftci et al., 2024) and related findings in tourism digital services (Lee &amp; Cranage, 2011; Lei et al., 2022). This suggests that while consumers may express privacy concerns, their behavioral intentions and engagement are more significantly influenced by the benefits derived from personalized experiences, particularly when framed within a memorable tourism experience (Chang et al., 2023).</w:t>
      </w:r>
    </w:p>
    <w:p w:rsidR="00000000" w:rsidDel="00000000" w:rsidP="00000000" w:rsidRDefault="00000000" w:rsidRPr="00000000" w14:paraId="00000078">
      <w:pPr>
        <w:pStyle w:val="Heading3"/>
        <w:spacing w:line="360" w:lineRule="auto"/>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Notably, robustness analyses indicate that this effect does not constitute a modeling artifact, with its practical implications being supplementary rather than pivotal. Owing to the cross-sectional design and focus on anticipated evaluations, the causal direction cannot be conclusively determined. Consequently, privacy ought to be conceptualized as an experience-governance concern, wherein transparency, perceived control, and the legitimacy of data practices are key factors shaping whether personalization is viewed as empowering facilitation or intrusive oversight (Malhotra et al., 2004; Xu et al., 2011).</w:t>
      </w:r>
    </w:p>
    <w:p w:rsidR="00000000" w:rsidDel="00000000" w:rsidP="00000000" w:rsidRDefault="00000000" w:rsidRPr="00000000" w14:paraId="00000079">
      <w:pPr>
        <w:pStyle w:val="Heading3"/>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5.3 Practical implications</w:t>
      </w:r>
    </w:p>
    <w:p w:rsidR="00000000" w:rsidDel="00000000" w:rsidP="00000000" w:rsidRDefault="00000000" w:rsidRPr="00000000" w14:paraId="0000007A">
      <w:pPr>
        <w:spacing w:line="360" w:lineRule="auto"/>
        <w:jc w:val="both"/>
        <w:rPr>
          <w:color w:val="000000"/>
          <w:sz w:val="24"/>
          <w:szCs w:val="24"/>
        </w:rPr>
      </w:pPr>
      <w:r w:rsidDel="00000000" w:rsidR="00000000" w:rsidRPr="00000000">
        <w:rPr>
          <w:color w:val="000000"/>
          <w:sz w:val="24"/>
          <w:szCs w:val="24"/>
          <w:rtl w:val="0"/>
        </w:rPr>
        <w:t xml:space="preserve">The findings offer clear implications for smart festival design and management. A central priority is to implement personalisation as situational relevance rather than preference matching alone. Tailoring that reduces friction under peak conditions—such as dynamic itineraries, moment-based recommendations, congestion alerts, and quiet or alternative routes—can lower cognitive load and decision fatigue during attendance. In practice, this implies designing personalised recommendations for services such as optimal navigation routes or real-time crowd-sourced insights to enhance the attendee journey and minimise negative experiential aspects (Ramli et al., 2023). Such a proactive approach leverages data analytics to deliver relevant information at opportune moments, thereby mitigating information overload and improving the overall visitor experience (Lei et al., 2022).</w:t>
      </w:r>
    </w:p>
    <w:p w:rsidR="00000000" w:rsidDel="00000000" w:rsidP="00000000" w:rsidRDefault="00000000" w:rsidRPr="00000000" w14:paraId="0000007B">
      <w:pPr>
        <w:spacing w:line="360" w:lineRule="auto"/>
        <w:jc w:val="both"/>
        <w:rPr>
          <w:color w:val="000000"/>
          <w:sz w:val="24"/>
          <w:szCs w:val="24"/>
        </w:rPr>
      </w:pPr>
      <w:r w:rsidDel="00000000" w:rsidR="00000000" w:rsidRPr="00000000">
        <w:rPr>
          <w:color w:val="000000"/>
          <w:sz w:val="24"/>
          <w:szCs w:val="24"/>
          <w:rtl w:val="0"/>
        </w:rPr>
        <w:t xml:space="preserve">In parallel, immersive design should be approached as an experience strategy that is embedded within the festival’s theme, identity and storytelling. Interactive installations and AR/VR touchpoints can deepen presence and emotional engagement, but they are most valuable when technological novelty is translated into meaningful experience and memory formation. Leveraging virtual reality to provide immersive experiences may also attract new and younger audiences, extending the festival’s reach and strengthening engagement (Gallarza et al., 2023). Moreover, personalised and interactive AI features, such as tailored activity suggestions or gamification elements, can enhance emotional and experiential value, contributing to a more enjoyable and meaningful user experience (Nookhao &amp; Homsud, 2025). This strategic integration of advanced digital technologies, including virtual reality, can support sophisticated experiential marketing strategies that resonate with diverse customer segments (Fernandes &amp; Krolikowska, 2022; Lee et al., 2022). Beyond increasing engagement and cultural exploration, it can also enable dynamic narratives where attendees create and share personalised experiences, extending the festival’s value proposition beyond its physical boundaries</w:t>
      </w:r>
      <w:r w:rsidDel="00000000" w:rsidR="00000000" w:rsidRPr="00000000">
        <w:rPr>
          <w:sz w:val="24"/>
          <w:szCs w:val="24"/>
          <w:rtl w:val="0"/>
        </w:rPr>
        <w:t xml:space="preserve">. </w:t>
      </w:r>
      <w:r w:rsidDel="00000000" w:rsidR="00000000" w:rsidRPr="00000000">
        <w:rPr>
          <w:color w:val="000000"/>
          <w:sz w:val="24"/>
          <w:szCs w:val="24"/>
          <w:rtl w:val="0"/>
        </w:rPr>
        <w:t xml:space="preserve">Over time, such design choices can foster a co-creative environment in which the festival narrative is not merely consumed but actively shaped by participants, leading to stronger emotional resonance and self-renewal (Wang et al., 2025).</w:t>
      </w:r>
    </w:p>
    <w:p w:rsidR="00000000" w:rsidDel="00000000" w:rsidP="00000000" w:rsidRDefault="00000000" w:rsidRPr="00000000" w14:paraId="0000007C">
      <w:pPr>
        <w:spacing w:line="360" w:lineRule="auto"/>
        <w:jc w:val="both"/>
        <w:rPr>
          <w:color w:val="000000"/>
          <w:sz w:val="24"/>
          <w:szCs w:val="24"/>
        </w:rPr>
      </w:pPr>
      <w:r w:rsidDel="00000000" w:rsidR="00000000" w:rsidRPr="00000000">
        <w:rPr>
          <w:color w:val="000000"/>
          <w:sz w:val="24"/>
          <w:szCs w:val="24"/>
          <w:rtl w:val="0"/>
        </w:rPr>
        <w:t xml:space="preserve">Finally, trust and privacy should be treated as integral components of the festival experience rather than background compliance. Reliability and data governance can be strengthened through clear explanations of data use, fine-grained consent mechanisms, and opt-out options that do not restrict access to essential services. Operationally, robust support protocols are needed to manage disruptions during periods of peak demand so that service failures do not trigger co-destruction dynamics. This requires transparent communication regarding data utilisation and empowering users with meaningful control over personal information, which supports the trust needed for sustained engagement within digital tourism ecosystems (Orea-Giner et al., 2022). More broadly, leveraging digital advancements to build robust infrastructure, provide personalised services, and implement sophisticated digital marketing and analytics can enhance attractiveness and visitor satisfaction (Vujko et al., 2025). Taken together, a smart festival approach that combines situationally relevant personalisation, narrative-integrated immersion, and trust-by-design can contribute to subjective well-being and strengthen loyalty within the festival tourism ecosystem (Zhang &amp; Deng, 2022).</w:t>
      </w:r>
    </w:p>
    <w:p w:rsidR="00000000" w:rsidDel="00000000" w:rsidP="00000000" w:rsidRDefault="00000000" w:rsidRPr="00000000" w14:paraId="0000007D">
      <w:pPr>
        <w:pStyle w:val="Heading2"/>
        <w:spacing w:line="360" w:lineRule="auto"/>
        <w:ind w:left="720" w:firstLine="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5.4 Limitations and future research </w:t>
      </w:r>
    </w:p>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Several limitations should be acknowledged. First, the sample is non-probabilistic and includes a large student share; thus, generalisation should be cautious. Second, all measures are self-reported and collected in a single survey; although procedural remedies and statistical diagnostics suggest common method variance is unlikely to be the primary driver, some shared-method influence cannot be entirely ruled out. Third, the design is cross-sectional and focuses on anticipated evaluations, which precludes causal claims and may differ from post-experience evaluations after actual technology use.</w:t>
      </w:r>
    </w:p>
    <w:p w:rsidR="00000000" w:rsidDel="00000000" w:rsidP="00000000" w:rsidRDefault="00000000" w:rsidRPr="00000000" w14:paraId="0000007F">
      <w:pPr>
        <w:spacing w:line="360" w:lineRule="auto"/>
        <w:jc w:val="both"/>
        <w:rPr>
          <w:sz w:val="24"/>
          <w:szCs w:val="24"/>
        </w:rPr>
      </w:pPr>
      <w:r w:rsidDel="00000000" w:rsidR="00000000" w:rsidRPr="00000000">
        <w:rPr>
          <w:sz w:val="24"/>
          <w:szCs w:val="24"/>
          <w:rtl w:val="0"/>
        </w:rPr>
        <w:t xml:space="preserve">Future research avenues include extending these findings through diverse methodological approaches. Model validation should employ on-site or longitudinal studies encompassing pre-event anticipations, in-event experiential dynamics, and post-event loyalty metrics, incorporating behavioral measures. Comparative analyses across festival variants and boundary condition tests, such as crowd density levels, network stability, and technological advancement, are recommended. Moderators elucidating the privacy-personalization paradox warrant investigation. Moreover, the framework may be augmented to address ethical and inclusivity facets, including perceived equity, accessibility provisions, and heterogeneous effects of data-intensive personalization among attendee cohorts.</w:t>
      </w:r>
    </w:p>
    <w:p w:rsidR="00000000" w:rsidDel="00000000" w:rsidP="00000000" w:rsidRDefault="00000000" w:rsidRPr="00000000" w14:paraId="00000080">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081">
      <w:pPr>
        <w:spacing w:line="360" w:lineRule="auto"/>
        <w:ind w:left="720" w:hanging="720"/>
        <w:jc w:val="both"/>
        <w:rPr>
          <w:sz w:val="24"/>
          <w:szCs w:val="24"/>
        </w:rPr>
      </w:pPr>
      <w:r w:rsidDel="00000000" w:rsidR="00000000" w:rsidRPr="00000000">
        <w:rPr>
          <w:sz w:val="24"/>
          <w:szCs w:val="24"/>
          <w:rtl w:val="0"/>
        </w:rPr>
        <w:t xml:space="preserve">Ahmad, H., Butt, A. H., &amp; Muzaffar, A. (2023). Travel before you actually travel with augmented reality: Role of augmented reality in future destination. </w:t>
      </w:r>
      <w:r w:rsidDel="00000000" w:rsidR="00000000" w:rsidRPr="00000000">
        <w:rPr>
          <w:i w:val="1"/>
          <w:iCs w:val="1"/>
          <w:sz w:val="24"/>
          <w:szCs w:val="24"/>
          <w:rtl w:val="0"/>
        </w:rPr>
        <w:t xml:space="preserve">Current Issues in Tourism</w:t>
      </w:r>
      <w:r w:rsidDel="00000000" w:rsidR="00000000" w:rsidRPr="00000000">
        <w:rPr>
          <w:sz w:val="24"/>
          <w:szCs w:val="24"/>
          <w:rtl w:val="0"/>
        </w:rPr>
        <w:t xml:space="preserve">, 26(17), 2845–2862. https://doi.org/10.1080/13683500.2022.2101436</w:t>
      </w:r>
    </w:p>
    <w:p w:rsidR="00000000" w:rsidDel="00000000" w:rsidP="00000000" w:rsidRDefault="00000000" w:rsidRPr="00000000" w14:paraId="00000082">
      <w:pPr>
        <w:spacing w:line="360" w:lineRule="auto"/>
        <w:ind w:left="720" w:hanging="720"/>
        <w:jc w:val="both"/>
        <w:rPr>
          <w:sz w:val="24"/>
          <w:szCs w:val="24"/>
        </w:rPr>
      </w:pPr>
      <w:r w:rsidDel="00000000" w:rsidR="00000000" w:rsidRPr="00000000">
        <w:rPr>
          <w:sz w:val="24"/>
          <w:szCs w:val="24"/>
          <w:rtl w:val="0"/>
        </w:rPr>
        <w:t xml:space="preserve">Awad, N. F., &amp; Krishnan, M. S. (2006). The personalization privacy paradox: An empirical evaluation of information transparency and the willingness to be profiled online for personalization. </w:t>
      </w:r>
      <w:r w:rsidDel="00000000" w:rsidR="00000000" w:rsidRPr="00000000">
        <w:rPr>
          <w:i w:val="1"/>
          <w:iCs w:val="1"/>
          <w:sz w:val="24"/>
          <w:szCs w:val="24"/>
          <w:rtl w:val="0"/>
        </w:rPr>
        <w:t xml:space="preserve">MIS Quarterly</w:t>
      </w:r>
      <w:r w:rsidDel="00000000" w:rsidR="00000000" w:rsidRPr="00000000">
        <w:rPr>
          <w:sz w:val="24"/>
          <w:szCs w:val="24"/>
          <w:rtl w:val="0"/>
        </w:rPr>
        <w:t xml:space="preserve">, 30(1), 13–28. https://doi.org/10.2307/25148715</w:t>
      </w:r>
    </w:p>
    <w:p w:rsidR="00000000" w:rsidDel="00000000" w:rsidP="00000000" w:rsidRDefault="00000000" w:rsidRPr="00000000" w14:paraId="00000083">
      <w:pPr>
        <w:spacing w:line="360" w:lineRule="auto"/>
        <w:ind w:left="720" w:hanging="720"/>
        <w:jc w:val="both"/>
        <w:rPr>
          <w:sz w:val="24"/>
          <w:szCs w:val="24"/>
        </w:rPr>
      </w:pPr>
      <w:r w:rsidDel="00000000" w:rsidR="00000000" w:rsidRPr="00000000">
        <w:rPr>
          <w:sz w:val="24"/>
          <w:szCs w:val="24"/>
          <w:rtl w:val="0"/>
        </w:rPr>
        <w:t xml:space="preserve">Azara, I., Wiltshier, P., &amp; Greatorex, J. (2018). Against all odds: Embedding new knowledge for event continuity and community well-being. </w:t>
      </w:r>
      <w:r w:rsidDel="00000000" w:rsidR="00000000" w:rsidRPr="00000000">
        <w:rPr>
          <w:i w:val="1"/>
          <w:iCs w:val="1"/>
          <w:sz w:val="24"/>
          <w:szCs w:val="24"/>
          <w:rtl w:val="0"/>
        </w:rPr>
        <w:t xml:space="preserve">Event Management,</w:t>
      </w:r>
      <w:r w:rsidDel="00000000" w:rsidR="00000000" w:rsidRPr="00000000">
        <w:rPr>
          <w:sz w:val="24"/>
          <w:szCs w:val="24"/>
          <w:rtl w:val="0"/>
        </w:rPr>
        <w:t xml:space="preserve"> 22(1), 25–36. https://doi.org/10.3727/152599517X15111988553964</w:t>
      </w:r>
    </w:p>
    <w:p w:rsidR="00000000" w:rsidDel="00000000" w:rsidP="00000000" w:rsidRDefault="00000000" w:rsidRPr="00000000" w14:paraId="00000084">
      <w:pPr>
        <w:spacing w:line="360" w:lineRule="auto"/>
        <w:ind w:left="720" w:hanging="720"/>
        <w:jc w:val="both"/>
        <w:rPr>
          <w:sz w:val="24"/>
          <w:szCs w:val="24"/>
        </w:rPr>
      </w:pPr>
      <w:r w:rsidDel="00000000" w:rsidR="00000000" w:rsidRPr="00000000">
        <w:rPr>
          <w:sz w:val="24"/>
          <w:szCs w:val="24"/>
          <w:rtl w:val="0"/>
        </w:rPr>
        <w:t xml:space="preserve">Azara, I., Pappas, N., &amp; Michopoulou, E. (2023). Revisiting value co-creation and co-destruction in events: An overview. </w:t>
      </w:r>
      <w:r w:rsidDel="00000000" w:rsidR="00000000" w:rsidRPr="00000000">
        <w:rPr>
          <w:i w:val="1"/>
          <w:iCs w:val="1"/>
          <w:sz w:val="24"/>
          <w:szCs w:val="24"/>
          <w:rtl w:val="0"/>
        </w:rPr>
        <w:t xml:space="preserve">Event Management</w:t>
      </w:r>
      <w:r w:rsidDel="00000000" w:rsidR="00000000" w:rsidRPr="00000000">
        <w:rPr>
          <w:sz w:val="24"/>
          <w:szCs w:val="24"/>
          <w:rtl w:val="0"/>
        </w:rPr>
        <w:t xml:space="preserve">, 27(2), 157–162. https://doi.org/10.3727/152599521X16367300695672</w:t>
      </w:r>
    </w:p>
    <w:p w:rsidR="00000000" w:rsidDel="00000000" w:rsidP="00000000" w:rsidRDefault="00000000" w:rsidRPr="00000000" w14:paraId="00000085">
      <w:pPr>
        <w:spacing w:line="360" w:lineRule="auto"/>
        <w:ind w:left="720" w:hanging="720"/>
        <w:jc w:val="both"/>
        <w:rPr>
          <w:sz w:val="24"/>
          <w:szCs w:val="24"/>
        </w:rPr>
      </w:pPr>
      <w:r w:rsidDel="00000000" w:rsidR="00000000" w:rsidRPr="00000000">
        <w:rPr>
          <w:sz w:val="24"/>
          <w:szCs w:val="24"/>
          <w:rtl w:val="0"/>
        </w:rPr>
        <w:t xml:space="preserve">Bär, S., Boyacıoğlu, S., &amp; Kurscheidt, M. (2025). On the edge of a digital event era: Which innovative factors influence the willingness to pay for virtual concerts? </w:t>
      </w:r>
      <w:r w:rsidDel="00000000" w:rsidR="00000000" w:rsidRPr="00000000">
        <w:rPr>
          <w:i w:val="1"/>
          <w:iCs w:val="1"/>
          <w:sz w:val="24"/>
          <w:szCs w:val="24"/>
          <w:rtl w:val="0"/>
        </w:rPr>
        <w:t xml:space="preserve">Journal of Innovation &amp; Knowledge</w:t>
      </w:r>
      <w:r w:rsidDel="00000000" w:rsidR="00000000" w:rsidRPr="00000000">
        <w:rPr>
          <w:sz w:val="24"/>
          <w:szCs w:val="24"/>
          <w:rtl w:val="0"/>
        </w:rPr>
        <w:t xml:space="preserve">, 10(5), Article 100776. https://doi.org/10.1016/j.jik.2025.100776</w:t>
      </w:r>
    </w:p>
    <w:p w:rsidR="00000000" w:rsidDel="00000000" w:rsidP="00000000" w:rsidRDefault="00000000" w:rsidRPr="00000000" w14:paraId="00000086">
      <w:pPr>
        <w:spacing w:line="360" w:lineRule="auto"/>
        <w:ind w:left="720" w:hanging="720"/>
        <w:jc w:val="both"/>
        <w:rPr>
          <w:sz w:val="24"/>
          <w:szCs w:val="24"/>
        </w:rPr>
      </w:pPr>
      <w:r w:rsidDel="00000000" w:rsidR="00000000" w:rsidRPr="00000000">
        <w:rPr>
          <w:sz w:val="24"/>
          <w:szCs w:val="24"/>
          <w:rtl w:val="0"/>
        </w:rPr>
        <w:t xml:space="preserve">Bitner, M. J. (1992). Servicescapes: The impact of physical surroundings on customers and employees. </w:t>
      </w:r>
      <w:r w:rsidDel="00000000" w:rsidR="00000000" w:rsidRPr="00000000">
        <w:rPr>
          <w:i w:val="1"/>
          <w:iCs w:val="1"/>
          <w:sz w:val="24"/>
          <w:szCs w:val="24"/>
          <w:rtl w:val="0"/>
        </w:rPr>
        <w:t xml:space="preserve">Journal of Marketing</w:t>
      </w:r>
      <w:r w:rsidDel="00000000" w:rsidR="00000000" w:rsidRPr="00000000">
        <w:rPr>
          <w:sz w:val="24"/>
          <w:szCs w:val="24"/>
          <w:rtl w:val="0"/>
        </w:rPr>
        <w:t xml:space="preserve">, 56(2), 57–71. https://doi.org/10.2307/1252042</w:t>
      </w:r>
    </w:p>
    <w:p w:rsidR="00000000" w:rsidDel="00000000" w:rsidP="00000000" w:rsidRDefault="00000000" w:rsidRPr="00000000" w14:paraId="00000087">
      <w:pPr>
        <w:spacing w:line="360" w:lineRule="auto"/>
        <w:ind w:left="720" w:hanging="720"/>
        <w:jc w:val="both"/>
        <w:rPr>
          <w:sz w:val="24"/>
          <w:szCs w:val="24"/>
        </w:rPr>
      </w:pPr>
      <w:r w:rsidDel="00000000" w:rsidR="00000000" w:rsidRPr="00000000">
        <w:rPr>
          <w:sz w:val="24"/>
          <w:szCs w:val="24"/>
          <w:rtl w:val="0"/>
        </w:rPr>
        <w:t xml:space="preserve">Bleier, A., &amp; Eisenbeiss, M. (2015). Personalized online advertising effectiveness: The interplay of what, when, and where. </w:t>
      </w:r>
      <w:r w:rsidDel="00000000" w:rsidR="00000000" w:rsidRPr="00000000">
        <w:rPr>
          <w:i w:val="1"/>
          <w:iCs w:val="1"/>
          <w:sz w:val="24"/>
          <w:szCs w:val="24"/>
          <w:rtl w:val="0"/>
        </w:rPr>
        <w:t xml:space="preserve">Marketing Science</w:t>
      </w:r>
      <w:r w:rsidDel="00000000" w:rsidR="00000000" w:rsidRPr="00000000">
        <w:rPr>
          <w:sz w:val="24"/>
          <w:szCs w:val="24"/>
          <w:rtl w:val="0"/>
        </w:rPr>
        <w:t xml:space="preserve">, 34(5), 669–688. https://doi.org/10.1287/mksc.2015.0930</w:t>
      </w:r>
    </w:p>
    <w:p w:rsidR="00000000" w:rsidDel="00000000" w:rsidP="00000000" w:rsidRDefault="00000000" w:rsidRPr="00000000" w14:paraId="00000088">
      <w:pPr>
        <w:spacing w:line="360" w:lineRule="auto"/>
        <w:ind w:left="720" w:hanging="720"/>
        <w:jc w:val="both"/>
        <w:rPr>
          <w:sz w:val="24"/>
          <w:szCs w:val="24"/>
        </w:rPr>
      </w:pPr>
      <w:r w:rsidDel="00000000" w:rsidR="00000000" w:rsidRPr="00000000">
        <w:rPr>
          <w:sz w:val="24"/>
          <w:szCs w:val="24"/>
          <w:rtl w:val="0"/>
        </w:rPr>
        <w:t xml:space="preserve">Bossey, A. (2018). Industry perceptions of potential digital futures for live performance in the staging and consumption of music festivals. </w:t>
      </w:r>
      <w:r w:rsidDel="00000000" w:rsidR="00000000" w:rsidRPr="00000000">
        <w:rPr>
          <w:i w:val="1"/>
          <w:iCs w:val="1"/>
          <w:sz w:val="24"/>
          <w:szCs w:val="24"/>
          <w:rtl w:val="0"/>
        </w:rPr>
        <w:t xml:space="preserve">In Routledge eBooks</w:t>
      </w:r>
      <w:r w:rsidDel="00000000" w:rsidR="00000000" w:rsidRPr="00000000">
        <w:rPr>
          <w:sz w:val="24"/>
          <w:szCs w:val="24"/>
          <w:rtl w:val="0"/>
        </w:rPr>
        <w:t xml:space="preserve"> (p. 406). Informa. https://doi.org/10.4324/9781315186320-41</w:t>
      </w:r>
    </w:p>
    <w:p w:rsidR="00000000" w:rsidDel="00000000" w:rsidP="00000000" w:rsidRDefault="00000000" w:rsidRPr="00000000" w14:paraId="00000089">
      <w:pPr>
        <w:spacing w:line="360" w:lineRule="auto"/>
        <w:ind w:left="720" w:hanging="720"/>
        <w:jc w:val="both"/>
        <w:rPr>
          <w:sz w:val="24"/>
          <w:szCs w:val="24"/>
        </w:rPr>
      </w:pPr>
      <w:r w:rsidDel="00000000" w:rsidR="00000000" w:rsidRPr="00000000">
        <w:rPr>
          <w:sz w:val="24"/>
          <w:szCs w:val="24"/>
          <w:rtl w:val="0"/>
        </w:rPr>
        <w:t xml:space="preserve">Buhalis, D., &amp; Amaranggana, A. (2014). Smart tourism destinations. In Z. Xiang &amp; I. Tussyadiah (Eds.), </w:t>
      </w:r>
      <w:r w:rsidDel="00000000" w:rsidR="00000000" w:rsidRPr="00000000">
        <w:rPr>
          <w:i w:val="1"/>
          <w:iCs w:val="1"/>
          <w:sz w:val="24"/>
          <w:szCs w:val="24"/>
          <w:rtl w:val="0"/>
        </w:rPr>
        <w:t xml:space="preserve">Information and Communication Technologies in Tourism 2014</w:t>
      </w:r>
      <w:r w:rsidDel="00000000" w:rsidR="00000000" w:rsidRPr="00000000">
        <w:rPr>
          <w:sz w:val="24"/>
          <w:szCs w:val="24"/>
          <w:rtl w:val="0"/>
        </w:rPr>
        <w:t xml:space="preserve"> (pp. 553–564). Springer. https://doi.org/10.1007/978-3-319-03973-2_40</w:t>
      </w:r>
    </w:p>
    <w:p w:rsidR="00000000" w:rsidDel="00000000" w:rsidP="00000000" w:rsidRDefault="00000000" w:rsidRPr="00000000" w14:paraId="0000008A">
      <w:pPr>
        <w:spacing w:line="360" w:lineRule="auto"/>
        <w:ind w:left="720" w:hanging="720"/>
        <w:jc w:val="both"/>
        <w:rPr>
          <w:sz w:val="24"/>
          <w:szCs w:val="24"/>
        </w:rPr>
      </w:pPr>
      <w:r w:rsidDel="00000000" w:rsidR="00000000" w:rsidRPr="00000000">
        <w:rPr>
          <w:sz w:val="24"/>
          <w:szCs w:val="24"/>
          <w:rtl w:val="0"/>
        </w:rPr>
        <w:t xml:space="preserve">Byon, K. K., Zhang, J., &amp; Jang, W. (2022). Examining the value co-creation model in motor racing events: Moderating effect of residents and tourists. </w:t>
      </w:r>
      <w:r w:rsidDel="00000000" w:rsidR="00000000" w:rsidRPr="00000000">
        <w:rPr>
          <w:i w:val="1"/>
          <w:iCs w:val="1"/>
          <w:sz w:val="24"/>
          <w:szCs w:val="24"/>
          <w:rtl w:val="0"/>
        </w:rPr>
        <w:t xml:space="preserve">Sustainability</w:t>
      </w:r>
      <w:r w:rsidDel="00000000" w:rsidR="00000000" w:rsidRPr="00000000">
        <w:rPr>
          <w:sz w:val="24"/>
          <w:szCs w:val="24"/>
          <w:rtl w:val="0"/>
        </w:rPr>
        <w:t xml:space="preserve">, 14(15), 9648. https://doi.org/10.3390/su14159648</w:t>
      </w:r>
    </w:p>
    <w:p w:rsidR="00000000" w:rsidDel="00000000" w:rsidP="00000000" w:rsidRDefault="00000000" w:rsidRPr="00000000" w14:paraId="0000008B">
      <w:pPr>
        <w:spacing w:line="360" w:lineRule="auto"/>
        <w:ind w:left="720" w:hanging="720"/>
        <w:jc w:val="both"/>
        <w:rPr>
          <w:sz w:val="24"/>
          <w:szCs w:val="24"/>
        </w:rPr>
      </w:pPr>
      <w:r w:rsidDel="00000000" w:rsidR="00000000" w:rsidRPr="00000000">
        <w:rPr>
          <w:sz w:val="24"/>
          <w:szCs w:val="24"/>
          <w:rtl w:val="0"/>
        </w:rPr>
        <w:t xml:space="preserve">Carvache</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Franco, M., Hassan, T., Orden-Mejía, M., Carvache</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Franco, O., &amp; Carvache</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Franco, W. (2025). Motivations driving satisfaction and loyalty in cultural festivals: the case of Bahrain’s spring of culture festival. </w:t>
      </w:r>
      <w:r w:rsidDel="00000000" w:rsidR="00000000" w:rsidRPr="00000000">
        <w:rPr>
          <w:i w:val="1"/>
          <w:iCs w:val="1"/>
          <w:sz w:val="24"/>
          <w:szCs w:val="24"/>
          <w:rtl w:val="0"/>
        </w:rPr>
        <w:t xml:space="preserve">Cogent Social Sciences</w:t>
      </w:r>
      <w:r w:rsidDel="00000000" w:rsidR="00000000" w:rsidRPr="00000000">
        <w:rPr>
          <w:sz w:val="24"/>
          <w:szCs w:val="24"/>
          <w:rtl w:val="0"/>
        </w:rPr>
        <w:t xml:space="preserve">, 11(1). https://doi.org/10.1080/23311886.2025.2556475</w:t>
      </w:r>
    </w:p>
    <w:p w:rsidR="00000000" w:rsidDel="00000000" w:rsidP="00000000" w:rsidRDefault="00000000" w:rsidRPr="00000000" w14:paraId="0000008C">
      <w:pPr>
        <w:spacing w:line="360" w:lineRule="auto"/>
        <w:ind w:left="720" w:hanging="720"/>
        <w:jc w:val="both"/>
        <w:rPr>
          <w:sz w:val="24"/>
          <w:szCs w:val="24"/>
        </w:rPr>
      </w:pPr>
      <w:r w:rsidDel="00000000" w:rsidR="00000000" w:rsidRPr="00000000">
        <w:rPr>
          <w:sz w:val="24"/>
          <w:szCs w:val="24"/>
          <w:rtl w:val="0"/>
        </w:rPr>
        <w:t xml:space="preserve">Chang, J. Y.-S., Konar, R., Cheah, J.-H., &amp; Lim, X.-J. (2024). Does privacy still matter in smart technology experience? A conditional mediation analysis. </w:t>
      </w:r>
      <w:r w:rsidDel="00000000" w:rsidR="00000000" w:rsidRPr="00000000">
        <w:rPr>
          <w:i w:val="1"/>
          <w:iCs w:val="1"/>
          <w:sz w:val="24"/>
          <w:szCs w:val="24"/>
          <w:rtl w:val="0"/>
        </w:rPr>
        <w:t xml:space="preserve">Journal of Marketing Analytics</w:t>
      </w:r>
      <w:r w:rsidDel="00000000" w:rsidR="00000000" w:rsidRPr="00000000">
        <w:rPr>
          <w:sz w:val="24"/>
          <w:szCs w:val="24"/>
          <w:rtl w:val="0"/>
        </w:rPr>
        <w:t xml:space="preserve">, 12(1), 71–86. https://doi.org/10.1057/s41270-023-00240-8</w:t>
      </w:r>
    </w:p>
    <w:p w:rsidR="00000000" w:rsidDel="00000000" w:rsidP="00000000" w:rsidRDefault="00000000" w:rsidRPr="00000000" w14:paraId="0000008D">
      <w:pPr>
        <w:spacing w:line="360" w:lineRule="auto"/>
        <w:ind w:left="720" w:hanging="720"/>
        <w:jc w:val="both"/>
        <w:rPr>
          <w:sz w:val="24"/>
          <w:szCs w:val="24"/>
        </w:rPr>
      </w:pPr>
      <w:r w:rsidDel="00000000" w:rsidR="00000000" w:rsidRPr="00000000">
        <w:rPr>
          <w:sz w:val="24"/>
          <w:szCs w:val="24"/>
          <w:rtl w:val="0"/>
        </w:rPr>
        <w:t xml:space="preserve">Chen, J., Jung, S., &amp; Cai, L. A. (2025). A critical review of technology- facilitated event engagement: current landscape and pathway forward. International </w:t>
      </w:r>
      <w:r w:rsidDel="00000000" w:rsidR="00000000" w:rsidRPr="00000000">
        <w:rPr>
          <w:i w:val="1"/>
          <w:iCs w:val="1"/>
          <w:sz w:val="24"/>
          <w:szCs w:val="24"/>
          <w:rtl w:val="0"/>
        </w:rPr>
        <w:t xml:space="preserve">Journal of Contemporary Hospitality Management</w:t>
      </w:r>
      <w:r w:rsidDel="00000000" w:rsidR="00000000" w:rsidRPr="00000000">
        <w:rPr>
          <w:sz w:val="24"/>
          <w:szCs w:val="24"/>
          <w:rtl w:val="0"/>
        </w:rPr>
        <w:t xml:space="preserve">, Vol. 37 No. 13 pp. 169–189 https://doi.org/10.1108/IJCHM-02-2025-0236</w:t>
      </w:r>
    </w:p>
    <w:p w:rsidR="00000000" w:rsidDel="00000000" w:rsidP="00000000" w:rsidRDefault="00000000" w:rsidRPr="00000000" w14:paraId="0000008E">
      <w:pPr>
        <w:spacing w:line="360" w:lineRule="auto"/>
        <w:ind w:left="720" w:hanging="720"/>
        <w:jc w:val="both"/>
        <w:rPr>
          <w:sz w:val="24"/>
          <w:szCs w:val="24"/>
        </w:rPr>
      </w:pPr>
      <w:r w:rsidDel="00000000" w:rsidR="00000000" w:rsidRPr="00000000">
        <w:rPr>
          <w:sz w:val="24"/>
          <w:szCs w:val="24"/>
          <w:rtl w:val="0"/>
        </w:rPr>
        <w:t xml:space="preserve">Chen, S. X., Wu, H.-C., &amp; Cheng, D. (2025). The influences of immersive sensory cues on immersive experience recommendation intentions in a digital exhibition: A cognitive-affective-conative model. </w:t>
      </w:r>
      <w:r w:rsidDel="00000000" w:rsidR="00000000" w:rsidRPr="00000000">
        <w:rPr>
          <w:i w:val="1"/>
          <w:iCs w:val="1"/>
          <w:sz w:val="24"/>
          <w:szCs w:val="24"/>
          <w:rtl w:val="0"/>
        </w:rPr>
        <w:t xml:space="preserve">Event Management,</w:t>
      </w:r>
      <w:r w:rsidDel="00000000" w:rsidR="00000000" w:rsidRPr="00000000">
        <w:rPr>
          <w:sz w:val="24"/>
          <w:szCs w:val="24"/>
          <w:rtl w:val="0"/>
        </w:rPr>
        <w:t xml:space="preserve"> 29(2), 131–148. https://doi.org/10.3727/152599524X17229013810202</w:t>
      </w:r>
    </w:p>
    <w:p w:rsidR="00000000" w:rsidDel="00000000" w:rsidP="00000000" w:rsidRDefault="00000000" w:rsidRPr="00000000" w14:paraId="0000008F">
      <w:pPr>
        <w:spacing w:line="360" w:lineRule="auto"/>
        <w:ind w:left="720" w:hanging="720"/>
        <w:jc w:val="both"/>
        <w:rPr>
          <w:sz w:val="24"/>
          <w:szCs w:val="24"/>
        </w:rPr>
      </w:pPr>
      <w:r w:rsidDel="00000000" w:rsidR="00000000" w:rsidRPr="00000000">
        <w:rPr>
          <w:sz w:val="24"/>
          <w:szCs w:val="24"/>
          <w:rtl w:val="0"/>
        </w:rPr>
        <w:t xml:space="preserve">Chhabra, M., Roy, B., Gupta, Y., Kumar, A., &amp; Yaja, M. (2025). Mapping the transformative impact of technology on experiential tourism: a systematic literature review. </w:t>
      </w:r>
      <w:r w:rsidDel="00000000" w:rsidR="00000000" w:rsidRPr="00000000">
        <w:rPr>
          <w:i w:val="1"/>
          <w:iCs w:val="1"/>
          <w:sz w:val="24"/>
          <w:szCs w:val="24"/>
          <w:rtl w:val="0"/>
        </w:rPr>
        <w:t xml:space="preserve">Journal of Tourism Futures</w:t>
      </w:r>
      <w:r w:rsidDel="00000000" w:rsidR="00000000" w:rsidRPr="00000000">
        <w:rPr>
          <w:sz w:val="24"/>
          <w:szCs w:val="24"/>
          <w:rtl w:val="0"/>
        </w:rPr>
        <w:t xml:space="preserve">, 1. https://doi.org/10.1108/jtf-10-2024-0222</w:t>
      </w:r>
    </w:p>
    <w:p w:rsidR="00000000" w:rsidDel="00000000" w:rsidP="00000000" w:rsidRDefault="00000000" w:rsidRPr="00000000" w14:paraId="00000090">
      <w:pPr>
        <w:spacing w:line="360" w:lineRule="auto"/>
        <w:ind w:left="720" w:hanging="720"/>
        <w:jc w:val="both"/>
        <w:rPr>
          <w:sz w:val="24"/>
          <w:szCs w:val="24"/>
        </w:rPr>
      </w:pPr>
      <w:r w:rsidDel="00000000" w:rsidR="00000000" w:rsidRPr="00000000">
        <w:rPr>
          <w:sz w:val="24"/>
          <w:szCs w:val="24"/>
          <w:rtl w:val="0"/>
        </w:rPr>
        <w:t xml:space="preserve">Ciftci, O., Berezina, K., &amp; Soifer, I. (2024). Exploring privacy-personalization paradox: Facial recognition systems at business events. </w:t>
      </w:r>
      <w:r w:rsidDel="00000000" w:rsidR="00000000" w:rsidRPr="00000000">
        <w:rPr>
          <w:i w:val="1"/>
          <w:iCs w:val="1"/>
          <w:sz w:val="24"/>
          <w:szCs w:val="24"/>
          <w:rtl w:val="0"/>
        </w:rPr>
        <w:t xml:space="preserve">Computers in Human Behavior</w:t>
      </w:r>
      <w:r w:rsidDel="00000000" w:rsidR="00000000" w:rsidRPr="00000000">
        <w:rPr>
          <w:sz w:val="24"/>
          <w:szCs w:val="24"/>
          <w:rtl w:val="0"/>
        </w:rPr>
        <w:t xml:space="preserve">, 159, 108335. https://doi.org/10.1016/j.chb.2024.108335</w:t>
      </w:r>
    </w:p>
    <w:p w:rsidR="00000000" w:rsidDel="00000000" w:rsidP="00000000" w:rsidRDefault="00000000" w:rsidRPr="00000000" w14:paraId="00000091">
      <w:pPr>
        <w:spacing w:line="360" w:lineRule="auto"/>
        <w:ind w:left="720" w:hanging="720"/>
        <w:jc w:val="both"/>
        <w:rPr>
          <w:sz w:val="24"/>
          <w:szCs w:val="24"/>
        </w:rPr>
      </w:pPr>
      <w:r w:rsidDel="00000000" w:rsidR="00000000" w:rsidRPr="00000000">
        <w:rPr>
          <w:sz w:val="24"/>
          <w:szCs w:val="24"/>
          <w:rtl w:val="0"/>
        </w:rPr>
        <w:t xml:space="preserve">Çiğdemli, A. Ö. Ö., &amp; Avci, C. (2022). Technology Usage in Tourism Events, Fairs and Festivals: Samples from Turkey (p. 331). In: Hassan, A. (eds) Technology Application in Tourism Fairs, Festivals and Events in Asia. Springer, Singapore. https://doi.org/10.1007/978-981-16-8070-0_20</w:t>
      </w:r>
    </w:p>
    <w:p w:rsidR="00000000" w:rsidDel="00000000" w:rsidP="00000000" w:rsidRDefault="00000000" w:rsidRPr="00000000" w14:paraId="00000092">
      <w:pPr>
        <w:spacing w:line="360" w:lineRule="auto"/>
        <w:ind w:left="720" w:hanging="720"/>
        <w:jc w:val="both"/>
        <w:rPr>
          <w:sz w:val="24"/>
          <w:szCs w:val="24"/>
        </w:rPr>
      </w:pPr>
      <w:r w:rsidDel="00000000" w:rsidR="00000000" w:rsidRPr="00000000">
        <w:rPr>
          <w:sz w:val="24"/>
          <w:szCs w:val="24"/>
          <w:rtl w:val="0"/>
        </w:rPr>
        <w:t xml:space="preserve">Cimbaljević, M., Stankov, U., Bajrami, D. D., &amp; Pavluković, V. (2021). Nice and smart: Creating a smarter festival – the study of EXIT (Novi Sad, Serbia). </w:t>
      </w:r>
      <w:r w:rsidDel="00000000" w:rsidR="00000000" w:rsidRPr="00000000">
        <w:rPr>
          <w:i w:val="1"/>
          <w:iCs w:val="1"/>
          <w:sz w:val="24"/>
          <w:szCs w:val="24"/>
          <w:rtl w:val="0"/>
        </w:rPr>
        <w:t xml:space="preserve">Asia Pacific Journal of Tourism Research</w:t>
      </w:r>
      <w:r w:rsidDel="00000000" w:rsidR="00000000" w:rsidRPr="00000000">
        <w:rPr>
          <w:sz w:val="24"/>
          <w:szCs w:val="24"/>
          <w:rtl w:val="0"/>
        </w:rPr>
        <w:t xml:space="preserve">, 26(4), 415–427. https://doi.org/10.1080/10941665.2019.1596139</w:t>
      </w:r>
    </w:p>
    <w:p w:rsidR="00000000" w:rsidDel="00000000" w:rsidP="00000000" w:rsidRDefault="00000000" w:rsidRPr="00000000" w14:paraId="00000093">
      <w:pPr>
        <w:spacing w:line="360" w:lineRule="auto"/>
        <w:ind w:left="720" w:hanging="720"/>
        <w:jc w:val="both"/>
        <w:rPr>
          <w:sz w:val="24"/>
          <w:szCs w:val="24"/>
        </w:rPr>
      </w:pPr>
      <w:r w:rsidDel="00000000" w:rsidR="00000000" w:rsidRPr="00000000">
        <w:rPr>
          <w:sz w:val="24"/>
          <w:szCs w:val="24"/>
          <w:rtl w:val="0"/>
        </w:rPr>
        <w:t xml:space="preserve">Davis, F. D. (1989). Perceived usefulness, perceived ease of use, and user acceptance of information technology. </w:t>
      </w:r>
      <w:r w:rsidDel="00000000" w:rsidR="00000000" w:rsidRPr="00000000">
        <w:rPr>
          <w:i w:val="1"/>
          <w:iCs w:val="1"/>
          <w:sz w:val="24"/>
          <w:szCs w:val="24"/>
          <w:rtl w:val="0"/>
        </w:rPr>
        <w:t xml:space="preserve">MIS Quarterly</w:t>
      </w:r>
      <w:r w:rsidDel="00000000" w:rsidR="00000000" w:rsidRPr="00000000">
        <w:rPr>
          <w:sz w:val="24"/>
          <w:szCs w:val="24"/>
          <w:rtl w:val="0"/>
        </w:rPr>
        <w:t xml:space="preserve">, 13(3), 319–340. https://doi.org/10.2307/249008</w:t>
      </w:r>
    </w:p>
    <w:p w:rsidR="00000000" w:rsidDel="00000000" w:rsidP="00000000" w:rsidRDefault="00000000" w:rsidRPr="00000000" w14:paraId="00000094">
      <w:pPr>
        <w:spacing w:line="360" w:lineRule="auto"/>
        <w:ind w:left="720" w:hanging="720"/>
        <w:jc w:val="both"/>
        <w:rPr>
          <w:sz w:val="24"/>
          <w:szCs w:val="24"/>
        </w:rPr>
      </w:pPr>
      <w:r w:rsidDel="00000000" w:rsidR="00000000" w:rsidRPr="00000000">
        <w:rPr>
          <w:sz w:val="24"/>
          <w:szCs w:val="24"/>
          <w:rtl w:val="0"/>
        </w:rPr>
        <w:t xml:space="preserve">Dieck, M. C. tom, Jung, T., &amp; Rauschnabel, P. A. (2017). Determining visitor engagement through augmented reality at science festivals: An experience economy perspective. </w:t>
      </w:r>
      <w:r w:rsidDel="00000000" w:rsidR="00000000" w:rsidRPr="00000000">
        <w:rPr>
          <w:i w:val="1"/>
          <w:iCs w:val="1"/>
          <w:sz w:val="24"/>
          <w:szCs w:val="24"/>
          <w:rtl w:val="0"/>
        </w:rPr>
        <w:t xml:space="preserve">Computers in Human Behavior</w:t>
      </w:r>
      <w:r w:rsidDel="00000000" w:rsidR="00000000" w:rsidRPr="00000000">
        <w:rPr>
          <w:sz w:val="24"/>
          <w:szCs w:val="24"/>
          <w:rtl w:val="0"/>
        </w:rPr>
        <w:t xml:space="preserve">, 82, 44. https://doi.org/10.1016/j.chb.2017.12.043</w:t>
      </w:r>
    </w:p>
    <w:p w:rsidR="00000000" w:rsidDel="00000000" w:rsidP="00000000" w:rsidRDefault="00000000" w:rsidRPr="00000000" w14:paraId="00000095">
      <w:pPr>
        <w:spacing w:line="360" w:lineRule="auto"/>
        <w:ind w:left="720" w:hanging="720"/>
        <w:jc w:val="both"/>
        <w:rPr>
          <w:sz w:val="24"/>
          <w:szCs w:val="24"/>
        </w:rPr>
      </w:pPr>
      <w:r w:rsidDel="00000000" w:rsidR="00000000" w:rsidRPr="00000000">
        <w:rPr>
          <w:sz w:val="24"/>
          <w:szCs w:val="24"/>
          <w:rtl w:val="0"/>
        </w:rPr>
        <w:t xml:space="preserve">Du, H., Li, J., So, K. K. F., &amp; King, C. (2024). Artificial intelligence in hospitality services: Examining consumers’ receptivity to unmanned smart hotels. </w:t>
      </w:r>
      <w:r w:rsidDel="00000000" w:rsidR="00000000" w:rsidRPr="00000000">
        <w:rPr>
          <w:i w:val="1"/>
          <w:iCs w:val="1"/>
          <w:sz w:val="24"/>
          <w:szCs w:val="24"/>
          <w:rtl w:val="0"/>
        </w:rPr>
        <w:t xml:space="preserve">Journal of Hospitality and Tourism Insights</w:t>
      </w:r>
      <w:r w:rsidDel="00000000" w:rsidR="00000000" w:rsidRPr="00000000">
        <w:rPr>
          <w:sz w:val="24"/>
          <w:szCs w:val="24"/>
          <w:rtl w:val="0"/>
        </w:rPr>
        <w:t xml:space="preserve">, 8(11), 55–78. https://doi.org/10.1108/JHTI-06-2024-0548</w:t>
      </w:r>
    </w:p>
    <w:p w:rsidR="00000000" w:rsidDel="00000000" w:rsidP="00000000" w:rsidRDefault="00000000" w:rsidRPr="00000000" w14:paraId="0000009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7">
      <w:pPr>
        <w:spacing w:line="360" w:lineRule="auto"/>
        <w:ind w:left="720" w:hanging="720"/>
        <w:jc w:val="both"/>
        <w:rPr>
          <w:sz w:val="24"/>
          <w:szCs w:val="24"/>
        </w:rPr>
      </w:pPr>
      <w:r w:rsidDel="00000000" w:rsidR="00000000" w:rsidRPr="00000000">
        <w:rPr>
          <w:sz w:val="24"/>
          <w:szCs w:val="24"/>
          <w:rtl w:val="0"/>
        </w:rPr>
        <w:t xml:space="preserve">Eroglu, S. A., Machleit, K. A., &amp; Davis, L. M. (2001). Atmospheric qualities of online retailing: A conceptual model and implications. </w:t>
      </w:r>
      <w:r w:rsidDel="00000000" w:rsidR="00000000" w:rsidRPr="00000000">
        <w:rPr>
          <w:i w:val="1"/>
          <w:iCs w:val="1"/>
          <w:sz w:val="24"/>
          <w:szCs w:val="24"/>
          <w:rtl w:val="0"/>
        </w:rPr>
        <w:t xml:space="preserve">Journal of Business Research</w:t>
      </w:r>
      <w:r w:rsidDel="00000000" w:rsidR="00000000" w:rsidRPr="00000000">
        <w:rPr>
          <w:sz w:val="24"/>
          <w:szCs w:val="24"/>
          <w:rtl w:val="0"/>
        </w:rPr>
        <w:t xml:space="preserve">, 54(2), 177–184. https://doi.org/10.1016/S0148-2963(99)00087-9</w:t>
      </w:r>
    </w:p>
    <w:p w:rsidR="00000000" w:rsidDel="00000000" w:rsidP="00000000" w:rsidRDefault="00000000" w:rsidRPr="00000000" w14:paraId="00000098">
      <w:pPr>
        <w:spacing w:line="360" w:lineRule="auto"/>
        <w:ind w:left="720" w:hanging="720"/>
        <w:jc w:val="both"/>
        <w:rPr>
          <w:sz w:val="24"/>
          <w:szCs w:val="24"/>
        </w:rPr>
      </w:pPr>
      <w:r w:rsidDel="00000000" w:rsidR="00000000" w:rsidRPr="00000000">
        <w:rPr>
          <w:sz w:val="24"/>
          <w:szCs w:val="24"/>
          <w:rtl w:val="0"/>
        </w:rPr>
        <w:t xml:space="preserve">Fernandes, J. V., &amp; Krolikowska, E. (2022). The festival customer experience: A conceptual framework. </w:t>
      </w:r>
      <w:r w:rsidDel="00000000" w:rsidR="00000000" w:rsidRPr="00000000">
        <w:rPr>
          <w:i w:val="1"/>
          <w:iCs w:val="1"/>
          <w:sz w:val="24"/>
          <w:szCs w:val="24"/>
          <w:rtl w:val="0"/>
        </w:rPr>
        <w:t xml:space="preserve">International Journal of Event and Festival Management</w:t>
      </w:r>
      <w:r w:rsidDel="00000000" w:rsidR="00000000" w:rsidRPr="00000000">
        <w:rPr>
          <w:sz w:val="24"/>
          <w:szCs w:val="24"/>
          <w:rtl w:val="0"/>
        </w:rPr>
        <w:t xml:space="preserve">, 14(1), 23–40. https://doi.org/10.1108/IJEFM-11-2021-0083</w:t>
      </w:r>
    </w:p>
    <w:p w:rsidR="00000000" w:rsidDel="00000000" w:rsidP="00000000" w:rsidRDefault="00000000" w:rsidRPr="00000000" w14:paraId="00000099">
      <w:pPr>
        <w:spacing w:line="360" w:lineRule="auto"/>
        <w:ind w:left="720" w:hanging="720"/>
        <w:jc w:val="both"/>
        <w:rPr>
          <w:sz w:val="24"/>
          <w:szCs w:val="24"/>
        </w:rPr>
      </w:pPr>
      <w:r w:rsidDel="00000000" w:rsidR="00000000" w:rsidRPr="00000000">
        <w:rPr>
          <w:sz w:val="24"/>
          <w:szCs w:val="24"/>
          <w:rtl w:val="0"/>
        </w:rPr>
        <w:t xml:space="preserve">Gallarza, M. G., Tubillejas</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Andrés, B., &amp; Samartin, K. (2023). Consumer value of virtual music festivals. </w:t>
      </w:r>
      <w:r w:rsidDel="00000000" w:rsidR="00000000" w:rsidRPr="00000000">
        <w:rPr>
          <w:i w:val="1"/>
          <w:iCs w:val="1"/>
          <w:sz w:val="24"/>
          <w:szCs w:val="24"/>
          <w:rtl w:val="0"/>
        </w:rPr>
        <w:t xml:space="preserve">International Journal of Consumer Studies</w:t>
      </w:r>
      <w:r w:rsidDel="00000000" w:rsidR="00000000" w:rsidRPr="00000000">
        <w:rPr>
          <w:sz w:val="24"/>
          <w:szCs w:val="24"/>
          <w:rtl w:val="0"/>
        </w:rPr>
        <w:t xml:space="preserve">, 47(5), 2012. https://doi.org/10.1111/ijcs.12978</w:t>
      </w:r>
    </w:p>
    <w:p w:rsidR="00000000" w:rsidDel="00000000" w:rsidP="00000000" w:rsidRDefault="00000000" w:rsidRPr="00000000" w14:paraId="0000009A">
      <w:pPr>
        <w:spacing w:line="360" w:lineRule="auto"/>
        <w:ind w:left="720" w:hanging="720"/>
        <w:jc w:val="both"/>
        <w:rPr>
          <w:sz w:val="24"/>
          <w:szCs w:val="24"/>
        </w:rPr>
      </w:pPr>
      <w:r w:rsidDel="00000000" w:rsidR="00000000" w:rsidRPr="00000000">
        <w:rPr>
          <w:sz w:val="24"/>
          <w:szCs w:val="24"/>
          <w:rtl w:val="0"/>
        </w:rPr>
        <w:t xml:space="preserve">Gefen, D., Karahanna, E., &amp; Straub, D. W. (2003). Trust and TAM in online shopping: An integrated model. </w:t>
      </w:r>
      <w:r w:rsidDel="00000000" w:rsidR="00000000" w:rsidRPr="00000000">
        <w:rPr>
          <w:i w:val="1"/>
          <w:iCs w:val="1"/>
          <w:sz w:val="24"/>
          <w:szCs w:val="24"/>
          <w:rtl w:val="0"/>
        </w:rPr>
        <w:t xml:space="preserve">MIS Quarterly</w:t>
      </w:r>
      <w:r w:rsidDel="00000000" w:rsidR="00000000" w:rsidRPr="00000000">
        <w:rPr>
          <w:sz w:val="24"/>
          <w:szCs w:val="24"/>
          <w:rtl w:val="0"/>
        </w:rPr>
        <w:t xml:space="preserve">, 27(1), 51–90. https://doi.org/10.2307/30036519</w:t>
      </w:r>
    </w:p>
    <w:p w:rsidR="00000000" w:rsidDel="00000000" w:rsidP="00000000" w:rsidRDefault="00000000" w:rsidRPr="00000000" w14:paraId="0000009B">
      <w:pPr>
        <w:spacing w:line="360" w:lineRule="auto"/>
        <w:ind w:left="720" w:hanging="720"/>
        <w:jc w:val="both"/>
        <w:rPr>
          <w:sz w:val="24"/>
          <w:szCs w:val="24"/>
        </w:rPr>
      </w:pPr>
      <w:r w:rsidDel="00000000" w:rsidR="00000000" w:rsidRPr="00000000">
        <w:rPr>
          <w:sz w:val="24"/>
          <w:szCs w:val="24"/>
          <w:rtl w:val="0"/>
        </w:rPr>
        <w:t xml:space="preserve">Gretzel, U., Sigala, M., Xiang, Z., &amp; Koo, C. (2015). Smart tourism: Foundations and developments. </w:t>
      </w:r>
      <w:r w:rsidDel="00000000" w:rsidR="00000000" w:rsidRPr="00000000">
        <w:rPr>
          <w:i w:val="1"/>
          <w:iCs w:val="1"/>
          <w:sz w:val="24"/>
          <w:szCs w:val="24"/>
          <w:rtl w:val="0"/>
        </w:rPr>
        <w:t xml:space="preserve">Electronic Markets</w:t>
      </w:r>
      <w:r w:rsidDel="00000000" w:rsidR="00000000" w:rsidRPr="00000000">
        <w:rPr>
          <w:sz w:val="24"/>
          <w:szCs w:val="24"/>
          <w:rtl w:val="0"/>
        </w:rPr>
        <w:t xml:space="preserve">, 25(3), 179–188. https://doi.org/10.1007/s12525-015-0196-8</w:t>
      </w:r>
    </w:p>
    <w:p w:rsidR="00000000" w:rsidDel="00000000" w:rsidP="00000000" w:rsidRDefault="00000000" w:rsidRPr="00000000" w14:paraId="0000009C">
      <w:pPr>
        <w:spacing w:line="360" w:lineRule="auto"/>
        <w:ind w:left="720" w:hanging="720"/>
        <w:jc w:val="both"/>
        <w:rPr>
          <w:sz w:val="24"/>
          <w:szCs w:val="24"/>
        </w:rPr>
      </w:pPr>
      <w:r w:rsidDel="00000000" w:rsidR="00000000" w:rsidRPr="00000000">
        <w:rPr>
          <w:sz w:val="24"/>
          <w:szCs w:val="24"/>
          <w:rtl w:val="0"/>
        </w:rPr>
        <w:t xml:space="preserve">Habachi, S., Palau-Saumell, R., &amp; Matute, J. (2024). Transforming event experiences: The role of application technology in shaping behavioral intentions and attachment to places. </w:t>
      </w:r>
      <w:r w:rsidDel="00000000" w:rsidR="00000000" w:rsidRPr="00000000">
        <w:rPr>
          <w:i w:val="1"/>
          <w:iCs w:val="1"/>
          <w:sz w:val="24"/>
          <w:szCs w:val="24"/>
          <w:rtl w:val="0"/>
        </w:rPr>
        <w:t xml:space="preserve">International Journal of Tourism Research</w:t>
      </w:r>
      <w:r w:rsidDel="00000000" w:rsidR="00000000" w:rsidRPr="00000000">
        <w:rPr>
          <w:sz w:val="24"/>
          <w:szCs w:val="24"/>
          <w:rtl w:val="0"/>
        </w:rPr>
        <w:t xml:space="preserve">, 26(5), e2782. https://doi.org/10.1002/jtr.2782</w:t>
      </w:r>
    </w:p>
    <w:p w:rsidR="00000000" w:rsidDel="00000000" w:rsidP="00000000" w:rsidRDefault="00000000" w:rsidRPr="00000000" w14:paraId="0000009D">
      <w:pPr>
        <w:spacing w:line="360" w:lineRule="auto"/>
        <w:ind w:left="720" w:hanging="720"/>
        <w:jc w:val="both"/>
        <w:rPr>
          <w:sz w:val="24"/>
          <w:szCs w:val="24"/>
        </w:rPr>
      </w:pPr>
      <w:r w:rsidDel="00000000" w:rsidR="00000000" w:rsidRPr="00000000">
        <w:rPr>
          <w:sz w:val="24"/>
          <w:szCs w:val="24"/>
          <w:rtl w:val="0"/>
        </w:rPr>
        <w:t xml:space="preserve">Hair, J. F., Black, W. C., Babin, B. J., &amp; Anderson, R. E. (2010). </w:t>
      </w:r>
      <w:r w:rsidDel="00000000" w:rsidR="00000000" w:rsidRPr="00000000">
        <w:rPr>
          <w:i w:val="1"/>
          <w:iCs w:val="1"/>
          <w:sz w:val="24"/>
          <w:szCs w:val="24"/>
          <w:rtl w:val="0"/>
        </w:rPr>
        <w:t xml:space="preserve">Multivariate data analysis</w:t>
      </w:r>
      <w:r w:rsidDel="00000000" w:rsidR="00000000" w:rsidRPr="00000000">
        <w:rPr>
          <w:sz w:val="24"/>
          <w:szCs w:val="24"/>
          <w:rtl w:val="0"/>
        </w:rPr>
        <w:t xml:space="preserve"> (7th ed.). Pearson Education.</w:t>
      </w:r>
    </w:p>
    <w:p w:rsidR="00000000" w:rsidDel="00000000" w:rsidP="00000000" w:rsidRDefault="00000000" w:rsidRPr="00000000" w14:paraId="0000009E">
      <w:pPr>
        <w:spacing w:line="360" w:lineRule="auto"/>
        <w:ind w:left="720" w:hanging="720"/>
        <w:jc w:val="both"/>
        <w:rPr>
          <w:sz w:val="24"/>
          <w:szCs w:val="24"/>
        </w:rPr>
      </w:pPr>
      <w:r w:rsidDel="00000000" w:rsidR="00000000" w:rsidRPr="00000000">
        <w:rPr>
          <w:sz w:val="24"/>
          <w:szCs w:val="24"/>
          <w:rtl w:val="0"/>
        </w:rPr>
        <w:t xml:space="preserve">Hlee, S., &amp; Lee, H. (2022). Spatial agglomeration effects on eSports events: An intra- and inter-industry and regional analysis approach. </w:t>
      </w:r>
      <w:r w:rsidDel="00000000" w:rsidR="00000000" w:rsidRPr="00000000">
        <w:rPr>
          <w:i w:val="1"/>
          <w:iCs w:val="1"/>
          <w:sz w:val="24"/>
          <w:szCs w:val="24"/>
          <w:rtl w:val="0"/>
        </w:rPr>
        <w:t xml:space="preserve">Information Processing &amp; Management</w:t>
      </w:r>
      <w:r w:rsidDel="00000000" w:rsidR="00000000" w:rsidRPr="00000000">
        <w:rPr>
          <w:sz w:val="24"/>
          <w:szCs w:val="24"/>
          <w:rtl w:val="0"/>
        </w:rPr>
        <w:t xml:space="preserve">, 60(2), 103246. https://doi.org/10.1016/j.ipm.2022.103246</w:t>
      </w:r>
    </w:p>
    <w:p w:rsidR="00000000" w:rsidDel="00000000" w:rsidP="00000000" w:rsidRDefault="00000000" w:rsidRPr="00000000" w14:paraId="0000009F">
      <w:pPr>
        <w:spacing w:line="360" w:lineRule="auto"/>
        <w:ind w:left="720" w:hanging="720"/>
        <w:jc w:val="both"/>
        <w:rPr>
          <w:sz w:val="24"/>
          <w:szCs w:val="24"/>
        </w:rPr>
      </w:pPr>
      <w:r w:rsidDel="00000000" w:rsidR="00000000" w:rsidRPr="00000000">
        <w:rPr>
          <w:sz w:val="24"/>
          <w:szCs w:val="24"/>
          <w:rtl w:val="0"/>
        </w:rPr>
        <w:t xml:space="preserve">Hu, L.-t., &amp; Bentler, P. M. (1999). Cutoff criteria for fit indexes in covariance structure analysis: Conventional criteria versus new alternatives. </w:t>
      </w:r>
      <w:r w:rsidDel="00000000" w:rsidR="00000000" w:rsidRPr="00000000">
        <w:rPr>
          <w:i w:val="1"/>
          <w:iCs w:val="1"/>
          <w:sz w:val="24"/>
          <w:szCs w:val="24"/>
          <w:rtl w:val="0"/>
        </w:rPr>
        <w:t xml:space="preserve">Structural Equation Modeling: A Multidisciplinary Journal</w:t>
      </w:r>
      <w:r w:rsidDel="00000000" w:rsidR="00000000" w:rsidRPr="00000000">
        <w:rPr>
          <w:sz w:val="24"/>
          <w:szCs w:val="24"/>
          <w:rtl w:val="0"/>
        </w:rPr>
        <w:t xml:space="preserve">, 6(1), 1–55. https://doi.org/10.1080/10705519909540118</w:t>
      </w:r>
    </w:p>
    <w:p w:rsidR="00000000" w:rsidDel="00000000" w:rsidP="00000000" w:rsidRDefault="00000000" w:rsidRPr="00000000" w14:paraId="000000A0">
      <w:pPr>
        <w:spacing w:line="360" w:lineRule="auto"/>
        <w:ind w:left="720" w:hanging="720"/>
        <w:jc w:val="both"/>
        <w:rPr>
          <w:sz w:val="24"/>
          <w:szCs w:val="24"/>
        </w:rPr>
      </w:pPr>
      <w:r w:rsidDel="00000000" w:rsidR="00000000" w:rsidRPr="00000000">
        <w:rPr>
          <w:sz w:val="24"/>
          <w:szCs w:val="24"/>
          <w:rtl w:val="0"/>
        </w:rPr>
        <w:t xml:space="preserve">Huang, C. D., Goo, J., Nam, K., &amp; Yoo, C. W. (2017). Smart tourism technologies in travel planning: The role of exploration and exploitation. </w:t>
      </w:r>
      <w:r w:rsidDel="00000000" w:rsidR="00000000" w:rsidRPr="00000000">
        <w:rPr>
          <w:i w:val="1"/>
          <w:iCs w:val="1"/>
          <w:sz w:val="24"/>
          <w:szCs w:val="24"/>
          <w:rtl w:val="0"/>
        </w:rPr>
        <w:t xml:space="preserve">Information &amp; Management</w:t>
      </w:r>
      <w:r w:rsidDel="00000000" w:rsidR="00000000" w:rsidRPr="00000000">
        <w:rPr>
          <w:sz w:val="24"/>
          <w:szCs w:val="24"/>
          <w:rtl w:val="0"/>
        </w:rPr>
        <w:t xml:space="preserve">, 54(6), 757–770. https://doi.org/10.1016/j.im.2016.11.010</w:t>
      </w:r>
    </w:p>
    <w:p w:rsidR="00000000" w:rsidDel="00000000" w:rsidP="00000000" w:rsidRDefault="00000000" w:rsidRPr="00000000" w14:paraId="000000A1">
      <w:pPr>
        <w:spacing w:line="360" w:lineRule="auto"/>
        <w:ind w:left="720" w:hanging="720"/>
        <w:jc w:val="both"/>
        <w:rPr>
          <w:sz w:val="24"/>
          <w:szCs w:val="24"/>
        </w:rPr>
      </w:pPr>
      <w:r w:rsidDel="00000000" w:rsidR="00000000" w:rsidRPr="00000000">
        <w:rPr>
          <w:sz w:val="24"/>
          <w:szCs w:val="24"/>
          <w:rtl w:val="0"/>
        </w:rPr>
        <w:t xml:space="preserve">Iversen, N. M., Foley, C., &amp; Hem, L. E. (2023). The role of immersive festival experiences, identity, and memory in cultural heritage tourism. </w:t>
      </w:r>
      <w:r w:rsidDel="00000000" w:rsidR="00000000" w:rsidRPr="00000000">
        <w:rPr>
          <w:i w:val="1"/>
          <w:iCs w:val="1"/>
          <w:sz w:val="24"/>
          <w:szCs w:val="24"/>
          <w:rtl w:val="0"/>
        </w:rPr>
        <w:t xml:space="preserve">Event Management</w:t>
      </w:r>
      <w:r w:rsidDel="00000000" w:rsidR="00000000" w:rsidRPr="00000000">
        <w:rPr>
          <w:sz w:val="24"/>
          <w:szCs w:val="24"/>
          <w:rtl w:val="0"/>
        </w:rPr>
        <w:t xml:space="preserve">, 27(1), 33–50. https://doi.org/10.3727/152599522X16419948694847</w:t>
      </w:r>
    </w:p>
    <w:p w:rsidR="00000000" w:rsidDel="00000000" w:rsidP="00000000" w:rsidRDefault="00000000" w:rsidRPr="00000000" w14:paraId="000000A2">
      <w:pPr>
        <w:spacing w:line="360" w:lineRule="auto"/>
        <w:ind w:left="720" w:hanging="720"/>
        <w:jc w:val="both"/>
        <w:rPr>
          <w:sz w:val="24"/>
          <w:szCs w:val="24"/>
        </w:rPr>
      </w:pPr>
      <w:r w:rsidDel="00000000" w:rsidR="00000000" w:rsidRPr="00000000">
        <w:rPr>
          <w:sz w:val="24"/>
          <w:szCs w:val="24"/>
          <w:rtl w:val="0"/>
        </w:rPr>
        <w:t xml:space="preserve">Jeong, M., &amp; Shin, H. H. (2020). Tourists’ experiences with smart tourism technology at smart destinations and their behavior intentions. </w:t>
      </w:r>
      <w:r w:rsidDel="00000000" w:rsidR="00000000" w:rsidRPr="00000000">
        <w:rPr>
          <w:i w:val="1"/>
          <w:iCs w:val="1"/>
          <w:sz w:val="24"/>
          <w:szCs w:val="24"/>
          <w:rtl w:val="0"/>
        </w:rPr>
        <w:t xml:space="preserve">Journal of Travel Research</w:t>
      </w:r>
      <w:r w:rsidDel="00000000" w:rsidR="00000000" w:rsidRPr="00000000">
        <w:rPr>
          <w:sz w:val="24"/>
          <w:szCs w:val="24"/>
          <w:rtl w:val="0"/>
        </w:rPr>
        <w:t xml:space="preserve">, 59(8), 1464–1477. https://doi.org/10.1177/0047287519883034</w:t>
      </w:r>
    </w:p>
    <w:p w:rsidR="00000000" w:rsidDel="00000000" w:rsidP="00000000" w:rsidRDefault="00000000" w:rsidRPr="00000000" w14:paraId="000000A3">
      <w:pPr>
        <w:spacing w:line="360" w:lineRule="auto"/>
        <w:ind w:left="720" w:hanging="720"/>
        <w:jc w:val="both"/>
        <w:rPr>
          <w:sz w:val="24"/>
          <w:szCs w:val="24"/>
        </w:rPr>
      </w:pPr>
      <w:r w:rsidDel="00000000" w:rsidR="00000000" w:rsidRPr="00000000">
        <w:rPr>
          <w:sz w:val="24"/>
          <w:szCs w:val="24"/>
          <w:rtl w:val="0"/>
        </w:rPr>
        <w:t xml:space="preserve">Karwatzki, S., Dytynko, O., Trenz, M., &amp; Veit, D. (2017). Beyond the personalization–privacy paradox: Privacy valuation, transparency features, and service personalization. </w:t>
      </w:r>
      <w:r w:rsidDel="00000000" w:rsidR="00000000" w:rsidRPr="00000000">
        <w:rPr>
          <w:i w:val="1"/>
          <w:iCs w:val="1"/>
          <w:sz w:val="24"/>
          <w:szCs w:val="24"/>
          <w:rtl w:val="0"/>
        </w:rPr>
        <w:t xml:space="preserve">Journal of Management Information Systems</w:t>
      </w:r>
      <w:r w:rsidDel="00000000" w:rsidR="00000000" w:rsidRPr="00000000">
        <w:rPr>
          <w:sz w:val="24"/>
          <w:szCs w:val="24"/>
          <w:rtl w:val="0"/>
        </w:rPr>
        <w:t xml:space="preserve">, 34(2), 369–400. https://doi.org/10.1080/07421222.2017.1334467</w:t>
      </w:r>
    </w:p>
    <w:p w:rsidR="00000000" w:rsidDel="00000000" w:rsidP="00000000" w:rsidRDefault="00000000" w:rsidRPr="00000000" w14:paraId="000000A4">
      <w:pPr>
        <w:spacing w:line="360" w:lineRule="auto"/>
        <w:ind w:left="720" w:hanging="720"/>
        <w:jc w:val="both"/>
        <w:rPr>
          <w:sz w:val="24"/>
          <w:szCs w:val="24"/>
        </w:rPr>
      </w:pPr>
      <w:r w:rsidDel="00000000" w:rsidR="00000000" w:rsidRPr="00000000">
        <w:rPr>
          <w:sz w:val="24"/>
          <w:szCs w:val="24"/>
          <w:rtl w:val="0"/>
        </w:rPr>
        <w:t xml:space="preserve">Kim, E., Fredline, L., Kappelides, P., Barry, S., &amp; Cuskelly, G. (2024). Anything else we should know about you to be a mega-sport event volunteer? From gender and person–job fit perspectives. </w:t>
      </w:r>
      <w:r w:rsidDel="00000000" w:rsidR="00000000" w:rsidRPr="00000000">
        <w:rPr>
          <w:i w:val="1"/>
          <w:iCs w:val="1"/>
          <w:sz w:val="24"/>
          <w:szCs w:val="24"/>
          <w:rtl w:val="0"/>
        </w:rPr>
        <w:t xml:space="preserve">Event Management</w:t>
      </w:r>
      <w:r w:rsidDel="00000000" w:rsidR="00000000" w:rsidRPr="00000000">
        <w:rPr>
          <w:sz w:val="24"/>
          <w:szCs w:val="24"/>
          <w:rtl w:val="0"/>
        </w:rPr>
        <w:t xml:space="preserve">, 28(1), 75–89. https://doi.org/10.3727/152599523X16907613842147</w:t>
      </w:r>
    </w:p>
    <w:p w:rsidR="00000000" w:rsidDel="00000000" w:rsidP="00000000" w:rsidRDefault="00000000" w:rsidRPr="00000000" w14:paraId="000000A5">
      <w:pPr>
        <w:spacing w:line="360" w:lineRule="auto"/>
        <w:ind w:left="720" w:hanging="720"/>
        <w:jc w:val="both"/>
        <w:rPr>
          <w:sz w:val="24"/>
          <w:szCs w:val="24"/>
        </w:rPr>
      </w:pPr>
      <w:r w:rsidDel="00000000" w:rsidR="00000000" w:rsidRPr="00000000">
        <w:rPr>
          <w:sz w:val="24"/>
          <w:szCs w:val="24"/>
          <w:rtl w:val="0"/>
        </w:rPr>
        <w:t xml:space="preserve">Koo, I., Zaman, U., Ha, H., &amp; Nawaz, S. (2025). Assessing the interplay of trust dynamics, personalization, ethical AI practices, and tourist behavior in the adoption of AI-driven smart tourism technologies. </w:t>
      </w:r>
      <w:r w:rsidDel="00000000" w:rsidR="00000000" w:rsidRPr="00000000">
        <w:rPr>
          <w:i w:val="1"/>
          <w:iCs w:val="1"/>
          <w:sz w:val="24"/>
          <w:szCs w:val="24"/>
          <w:rtl w:val="0"/>
        </w:rPr>
        <w:t xml:space="preserve">Journal of Open Innovation: Technology, Market, and Complexity</w:t>
      </w:r>
      <w:r w:rsidDel="00000000" w:rsidR="00000000" w:rsidRPr="00000000">
        <w:rPr>
          <w:sz w:val="24"/>
          <w:szCs w:val="24"/>
          <w:rtl w:val="0"/>
        </w:rPr>
        <w:t xml:space="preserve">, 11(1), 100455. https://doi.org/10.1016/j.joitmc.2024.100455</w:t>
      </w:r>
    </w:p>
    <w:p w:rsidR="00000000" w:rsidDel="00000000" w:rsidP="00000000" w:rsidRDefault="00000000" w:rsidRPr="00000000" w14:paraId="000000A6">
      <w:pPr>
        <w:spacing w:line="360" w:lineRule="auto"/>
        <w:ind w:left="720" w:hanging="720"/>
        <w:jc w:val="both"/>
        <w:rPr>
          <w:sz w:val="24"/>
          <w:szCs w:val="24"/>
        </w:rPr>
      </w:pPr>
      <w:r w:rsidDel="00000000" w:rsidR="00000000" w:rsidRPr="00000000">
        <w:rPr>
          <w:sz w:val="24"/>
          <w:szCs w:val="24"/>
          <w:rtl w:val="0"/>
        </w:rPr>
        <w:t xml:space="preserve">Lamari, M., &amp; Bouslama, N. (2025). The Impact of eWOM and Social Media Advertising on Perceived Value, Satisfaction, and Behavioral Intentions in a Cinema Festival Context. </w:t>
      </w:r>
      <w:r w:rsidDel="00000000" w:rsidR="00000000" w:rsidRPr="00000000">
        <w:rPr>
          <w:i w:val="1"/>
          <w:iCs w:val="1"/>
          <w:sz w:val="24"/>
          <w:szCs w:val="24"/>
          <w:rtl w:val="0"/>
        </w:rPr>
        <w:t xml:space="preserve">International Review of Management and Marketing</w:t>
      </w:r>
      <w:r w:rsidDel="00000000" w:rsidR="00000000" w:rsidRPr="00000000">
        <w:rPr>
          <w:sz w:val="24"/>
          <w:szCs w:val="24"/>
          <w:rtl w:val="0"/>
        </w:rPr>
        <w:t xml:space="preserve">, 15(6), 40. https://doi.org/10.32479/irmm.20069</w:t>
      </w:r>
    </w:p>
    <w:p w:rsidR="00000000" w:rsidDel="00000000" w:rsidP="00000000" w:rsidRDefault="00000000" w:rsidRPr="00000000" w14:paraId="000000A7">
      <w:pPr>
        <w:spacing w:line="360" w:lineRule="auto"/>
        <w:ind w:left="720" w:hanging="720"/>
        <w:jc w:val="both"/>
        <w:rPr>
          <w:sz w:val="24"/>
          <w:szCs w:val="24"/>
        </w:rPr>
      </w:pPr>
      <w:r w:rsidDel="00000000" w:rsidR="00000000" w:rsidRPr="00000000">
        <w:rPr>
          <w:sz w:val="24"/>
          <w:szCs w:val="24"/>
          <w:rtl w:val="0"/>
        </w:rPr>
        <w:t xml:space="preserve">Lee, C. H., &amp; Cranage, D. A. (2011). Personalisation–privacy paradox: The effects of personalisation and privacy assurance on customer responses to travel Web sites. </w:t>
      </w:r>
      <w:r w:rsidDel="00000000" w:rsidR="00000000" w:rsidRPr="00000000">
        <w:rPr>
          <w:i w:val="1"/>
          <w:iCs w:val="1"/>
          <w:sz w:val="24"/>
          <w:szCs w:val="24"/>
          <w:rtl w:val="0"/>
        </w:rPr>
        <w:t xml:space="preserve">Tourism Management, </w:t>
      </w:r>
      <w:r w:rsidDel="00000000" w:rsidR="00000000" w:rsidRPr="00000000">
        <w:rPr>
          <w:sz w:val="24"/>
          <w:szCs w:val="24"/>
          <w:rtl w:val="0"/>
        </w:rPr>
        <w:t xml:space="preserve">32(5), 987–994. https://doi.org/10.1016/j.tourman.2010.08.011</w:t>
      </w:r>
    </w:p>
    <w:p w:rsidR="00000000" w:rsidDel="00000000" w:rsidP="00000000" w:rsidRDefault="00000000" w:rsidRPr="00000000" w14:paraId="000000A8">
      <w:pPr>
        <w:spacing w:line="360" w:lineRule="auto"/>
        <w:ind w:left="720" w:hanging="720"/>
        <w:jc w:val="both"/>
        <w:rPr>
          <w:sz w:val="24"/>
          <w:szCs w:val="24"/>
        </w:rPr>
      </w:pPr>
      <w:r w:rsidDel="00000000" w:rsidR="00000000" w:rsidRPr="00000000">
        <w:rPr>
          <w:sz w:val="24"/>
          <w:szCs w:val="24"/>
          <w:rtl w:val="0"/>
        </w:rPr>
        <w:t xml:space="preserve">Lee, J., Kyle, G. T., &amp; Scott, D. (2012). The Mediating Effect of Place Attachment on the Relationship between Festival Satisfaction and Loyalty to the Festival Hosting Destination. </w:t>
      </w:r>
      <w:r w:rsidDel="00000000" w:rsidR="00000000" w:rsidRPr="00000000">
        <w:rPr>
          <w:i w:val="1"/>
          <w:iCs w:val="1"/>
          <w:sz w:val="24"/>
          <w:szCs w:val="24"/>
          <w:rtl w:val="0"/>
        </w:rPr>
        <w:t xml:space="preserve">Journal of Travel Research</w:t>
      </w:r>
      <w:r w:rsidDel="00000000" w:rsidR="00000000" w:rsidRPr="00000000">
        <w:rPr>
          <w:sz w:val="24"/>
          <w:szCs w:val="24"/>
          <w:rtl w:val="0"/>
        </w:rPr>
        <w:t xml:space="preserve">, 51(6), 754. https://doi.org/10.1177/0047287512437859</w:t>
      </w:r>
    </w:p>
    <w:p w:rsidR="00000000" w:rsidDel="00000000" w:rsidP="00000000" w:rsidRDefault="00000000" w:rsidRPr="00000000" w14:paraId="000000A9">
      <w:pPr>
        <w:spacing w:line="360" w:lineRule="auto"/>
        <w:ind w:left="720" w:hanging="720"/>
        <w:jc w:val="both"/>
        <w:rPr>
          <w:sz w:val="24"/>
          <w:szCs w:val="24"/>
        </w:rPr>
      </w:pPr>
      <w:r w:rsidDel="00000000" w:rsidR="00000000" w:rsidRPr="00000000">
        <w:rPr>
          <w:sz w:val="24"/>
          <w:szCs w:val="24"/>
          <w:rtl w:val="0"/>
        </w:rPr>
        <w:t xml:space="preserve">Lee, D., Ng, P., &amp; Wut, T. M. (2022). Virtual reality in festivals: A systematic literature review and implications for consumer research. </w:t>
      </w:r>
      <w:r w:rsidDel="00000000" w:rsidR="00000000" w:rsidRPr="00000000">
        <w:rPr>
          <w:i w:val="1"/>
          <w:iCs w:val="1"/>
          <w:sz w:val="24"/>
          <w:szCs w:val="24"/>
          <w:rtl w:val="0"/>
        </w:rPr>
        <w:t xml:space="preserve">Emerging Science Journal</w:t>
      </w:r>
      <w:r w:rsidDel="00000000" w:rsidR="00000000" w:rsidRPr="00000000">
        <w:rPr>
          <w:sz w:val="24"/>
          <w:szCs w:val="24"/>
          <w:rtl w:val="0"/>
        </w:rPr>
        <w:t xml:space="preserve">, 6(5), 1153–1166. https://doi.org/10.28991/esj-2022-06-05-016</w:t>
      </w:r>
    </w:p>
    <w:p w:rsidR="00000000" w:rsidDel="00000000" w:rsidP="00000000" w:rsidRDefault="00000000" w:rsidRPr="00000000" w14:paraId="000000AA">
      <w:pPr>
        <w:spacing w:line="360" w:lineRule="auto"/>
        <w:ind w:left="720" w:hanging="720"/>
        <w:jc w:val="both"/>
        <w:rPr>
          <w:sz w:val="24"/>
          <w:szCs w:val="24"/>
        </w:rPr>
      </w:pPr>
      <w:r w:rsidDel="00000000" w:rsidR="00000000" w:rsidRPr="00000000">
        <w:rPr>
          <w:sz w:val="24"/>
          <w:szCs w:val="24"/>
          <w:rtl w:val="0"/>
        </w:rPr>
        <w:t xml:space="preserve">Lei, S. I., Chan, I. C. C., Tang, J., &amp; Ye, S. (2022). Will tourists take mobile travel advice? Examining the personalization-privacy paradox. </w:t>
      </w:r>
      <w:r w:rsidDel="00000000" w:rsidR="00000000" w:rsidRPr="00000000">
        <w:rPr>
          <w:i w:val="1"/>
          <w:iCs w:val="1"/>
          <w:sz w:val="24"/>
          <w:szCs w:val="24"/>
          <w:rtl w:val="0"/>
        </w:rPr>
        <w:t xml:space="preserve">Journal of Hospitality and Tourism Management</w:t>
      </w:r>
      <w:r w:rsidDel="00000000" w:rsidR="00000000" w:rsidRPr="00000000">
        <w:rPr>
          <w:sz w:val="24"/>
          <w:szCs w:val="24"/>
          <w:rtl w:val="0"/>
        </w:rPr>
        <w:t xml:space="preserve">, 50, 288. https://doi.org/10.1016/j.jhtm.2022.02.007</w:t>
      </w:r>
    </w:p>
    <w:p w:rsidR="00000000" w:rsidDel="00000000" w:rsidP="00000000" w:rsidRDefault="00000000" w:rsidRPr="00000000" w14:paraId="000000AB">
      <w:pPr>
        <w:spacing w:line="360" w:lineRule="auto"/>
        <w:ind w:left="720" w:hanging="720"/>
        <w:jc w:val="both"/>
        <w:rPr>
          <w:sz w:val="24"/>
          <w:szCs w:val="24"/>
        </w:rPr>
      </w:pPr>
      <w:r w:rsidDel="00000000" w:rsidR="00000000" w:rsidRPr="00000000">
        <w:rPr>
          <w:sz w:val="24"/>
          <w:szCs w:val="24"/>
          <w:rtl w:val="0"/>
        </w:rPr>
        <w:t xml:space="preserve">Li, F., Zhu, D., Lin, M.-T. (Brian), &amp; Kim, P. B. (2024). The Technology Acceptance Model and hospitality and tourism consumers’ intention to use mobile technologies: Meta-analysis and structural equation modeling. </w:t>
      </w:r>
      <w:r w:rsidDel="00000000" w:rsidR="00000000" w:rsidRPr="00000000">
        <w:rPr>
          <w:i w:val="1"/>
          <w:iCs w:val="1"/>
          <w:sz w:val="24"/>
          <w:szCs w:val="24"/>
          <w:rtl w:val="0"/>
        </w:rPr>
        <w:t xml:space="preserve">Cornell Hospitality Quarterly</w:t>
      </w:r>
      <w:r w:rsidDel="00000000" w:rsidR="00000000" w:rsidRPr="00000000">
        <w:rPr>
          <w:sz w:val="24"/>
          <w:szCs w:val="24"/>
          <w:rtl w:val="0"/>
        </w:rPr>
        <w:t xml:space="preserve">, 65(4), 461–477. https://doi.org/10.1177/19389655241226558</w:t>
      </w:r>
    </w:p>
    <w:p w:rsidR="00000000" w:rsidDel="00000000" w:rsidP="00000000" w:rsidRDefault="00000000" w:rsidRPr="00000000" w14:paraId="000000AC">
      <w:pPr>
        <w:spacing w:line="360" w:lineRule="auto"/>
        <w:ind w:left="720" w:hanging="720"/>
        <w:jc w:val="both"/>
        <w:rPr>
          <w:sz w:val="24"/>
          <w:szCs w:val="24"/>
        </w:rPr>
      </w:pPr>
      <w:r w:rsidDel="00000000" w:rsidR="00000000" w:rsidRPr="00000000">
        <w:rPr>
          <w:sz w:val="24"/>
          <w:szCs w:val="24"/>
          <w:rtl w:val="0"/>
        </w:rPr>
        <w:t xml:space="preserve">Lopes, J. M., Massano</w:t>
      </w:r>
      <w:r w:rsidDel="00000000" w:rsidR="00000000" w:rsidRPr="00000000">
        <w:rPr>
          <w:rFonts w:ascii="Cambria Math" w:cs="Cambria Math" w:eastAsia="Cambria Math" w:hAnsi="Cambria Math"/>
          <w:sz w:val="24"/>
          <w:szCs w:val="24"/>
          <w:rtl w:val="0"/>
        </w:rPr>
        <w:t xml:space="preserve">‐</w:t>
      </w:r>
      <w:r w:rsidDel="00000000" w:rsidR="00000000" w:rsidRPr="00000000">
        <w:rPr>
          <w:sz w:val="24"/>
          <w:szCs w:val="24"/>
          <w:rtl w:val="0"/>
        </w:rPr>
        <w:t xml:space="preserve">Cardoso, I., &amp; Granadeiro, C. (2025). Festivals in Age of AI: Smarter Crowds, Happier Fans. </w:t>
      </w:r>
      <w:r w:rsidDel="00000000" w:rsidR="00000000" w:rsidRPr="00000000">
        <w:rPr>
          <w:i w:val="1"/>
          <w:iCs w:val="1"/>
          <w:sz w:val="24"/>
          <w:szCs w:val="24"/>
          <w:rtl w:val="0"/>
        </w:rPr>
        <w:t xml:space="preserve">Tourism and Hospitality</w:t>
      </w:r>
      <w:r w:rsidDel="00000000" w:rsidR="00000000" w:rsidRPr="00000000">
        <w:rPr>
          <w:sz w:val="24"/>
          <w:szCs w:val="24"/>
          <w:rtl w:val="0"/>
        </w:rPr>
        <w:t xml:space="preserve">, 6(1), 35. https://doi.org/10.3390/tourhosp6010035</w:t>
      </w:r>
    </w:p>
    <w:p w:rsidR="00000000" w:rsidDel="00000000" w:rsidP="00000000" w:rsidRDefault="00000000" w:rsidRPr="00000000" w14:paraId="000000AD">
      <w:pPr>
        <w:spacing w:line="360" w:lineRule="auto"/>
        <w:ind w:left="720" w:hanging="720"/>
        <w:jc w:val="both"/>
        <w:rPr>
          <w:sz w:val="24"/>
          <w:szCs w:val="24"/>
        </w:rPr>
      </w:pPr>
      <w:r w:rsidDel="00000000" w:rsidR="00000000" w:rsidRPr="00000000">
        <w:rPr>
          <w:sz w:val="24"/>
          <w:szCs w:val="24"/>
          <w:rtl w:val="0"/>
        </w:rPr>
        <w:t xml:space="preserve">Loureiro, S. M. C., Guerreiro, J., &amp; Ali, F. (2020). 20 years of research on virtual reality and augmented reality in tourism context: A text-mining approach. </w:t>
      </w:r>
      <w:r w:rsidDel="00000000" w:rsidR="00000000" w:rsidRPr="00000000">
        <w:rPr>
          <w:i w:val="1"/>
          <w:iCs w:val="1"/>
          <w:sz w:val="24"/>
          <w:szCs w:val="24"/>
          <w:rtl w:val="0"/>
        </w:rPr>
        <w:t xml:space="preserve">Tourism Management</w:t>
      </w:r>
      <w:r w:rsidDel="00000000" w:rsidR="00000000" w:rsidRPr="00000000">
        <w:rPr>
          <w:sz w:val="24"/>
          <w:szCs w:val="24"/>
          <w:rtl w:val="0"/>
        </w:rPr>
        <w:t xml:space="preserve">, 77, 104028. https://doi.org/10.1016/j.tourman.2019.104028</w:t>
      </w:r>
    </w:p>
    <w:p w:rsidR="00000000" w:rsidDel="00000000" w:rsidP="00000000" w:rsidRDefault="00000000" w:rsidRPr="00000000" w14:paraId="000000AE">
      <w:pPr>
        <w:spacing w:line="360" w:lineRule="auto"/>
        <w:ind w:left="720" w:hanging="720"/>
        <w:jc w:val="both"/>
        <w:rPr>
          <w:sz w:val="24"/>
          <w:szCs w:val="24"/>
        </w:rPr>
      </w:pPr>
      <w:r w:rsidDel="00000000" w:rsidR="00000000" w:rsidRPr="00000000">
        <w:rPr>
          <w:sz w:val="24"/>
          <w:szCs w:val="24"/>
          <w:rtl w:val="0"/>
        </w:rPr>
        <w:t xml:space="preserve">Malhotra, N. K., Kim, S. S., &amp; Agarwal, J. (2004). Internet users’ information privacy concerns (IUIPC): The construct, the scale, and a causal model</w:t>
      </w:r>
      <w:r w:rsidDel="00000000" w:rsidR="00000000" w:rsidRPr="00000000">
        <w:rPr>
          <w:i w:val="1"/>
          <w:iCs w:val="1"/>
          <w:sz w:val="24"/>
          <w:szCs w:val="24"/>
          <w:rtl w:val="0"/>
        </w:rPr>
        <w:t xml:space="preserve">. Information Systems Research</w:t>
      </w:r>
      <w:r w:rsidDel="00000000" w:rsidR="00000000" w:rsidRPr="00000000">
        <w:rPr>
          <w:sz w:val="24"/>
          <w:szCs w:val="24"/>
          <w:rtl w:val="0"/>
        </w:rPr>
        <w:t xml:space="preserve">, 15(4), 336–355. https://doi.org/10.1287/isre.1040.0032</w:t>
      </w:r>
    </w:p>
    <w:p w:rsidR="00000000" w:rsidDel="00000000" w:rsidP="00000000" w:rsidRDefault="00000000" w:rsidRPr="00000000" w14:paraId="000000AF">
      <w:pPr>
        <w:spacing w:line="360" w:lineRule="auto"/>
        <w:ind w:left="720" w:hanging="720"/>
        <w:jc w:val="both"/>
        <w:rPr>
          <w:sz w:val="24"/>
          <w:szCs w:val="24"/>
        </w:rPr>
      </w:pPr>
      <w:r w:rsidDel="00000000" w:rsidR="00000000" w:rsidRPr="00000000">
        <w:rPr>
          <w:sz w:val="24"/>
          <w:szCs w:val="24"/>
          <w:rtl w:val="0"/>
        </w:rPr>
        <w:t xml:space="preserve">Michopoulou, E. (Elina), Pappas, N., &amp; Azara, I. (2023). Event innovation and resilience during times of uncertainty. </w:t>
      </w:r>
      <w:r w:rsidDel="00000000" w:rsidR="00000000" w:rsidRPr="00000000">
        <w:rPr>
          <w:i w:val="1"/>
          <w:iCs w:val="1"/>
          <w:sz w:val="24"/>
          <w:szCs w:val="24"/>
          <w:rtl w:val="0"/>
        </w:rPr>
        <w:t xml:space="preserve">Event Management</w:t>
      </w:r>
      <w:r w:rsidDel="00000000" w:rsidR="00000000" w:rsidRPr="00000000">
        <w:rPr>
          <w:sz w:val="24"/>
          <w:szCs w:val="24"/>
          <w:rtl w:val="0"/>
        </w:rPr>
        <w:t xml:space="preserve">, 27(4), 477–480. https://doi.org/10.3727/152599523X16836740487997</w:t>
      </w:r>
    </w:p>
    <w:p w:rsidR="00000000" w:rsidDel="00000000" w:rsidP="00000000" w:rsidRDefault="00000000" w:rsidRPr="00000000" w14:paraId="000000B0">
      <w:pPr>
        <w:spacing w:line="360" w:lineRule="auto"/>
        <w:ind w:left="720" w:hanging="720"/>
        <w:jc w:val="both"/>
        <w:rPr>
          <w:sz w:val="24"/>
          <w:szCs w:val="24"/>
        </w:rPr>
      </w:pPr>
      <w:r w:rsidDel="00000000" w:rsidR="00000000" w:rsidRPr="00000000">
        <w:rPr>
          <w:sz w:val="24"/>
          <w:szCs w:val="24"/>
          <w:rtl w:val="0"/>
        </w:rPr>
        <w:t xml:space="preserve">Muanas, A., Yoga, I. W. G. S., &amp; Widyastuti, V. R. (2025). Bridging digital innovation, parasocial interaction, and loyalty through fan satisfaction: Insights from K-Pop fandom. </w:t>
      </w:r>
      <w:r w:rsidDel="00000000" w:rsidR="00000000" w:rsidRPr="00000000">
        <w:rPr>
          <w:i w:val="1"/>
          <w:iCs w:val="1"/>
          <w:sz w:val="24"/>
          <w:szCs w:val="24"/>
          <w:rtl w:val="0"/>
        </w:rPr>
        <w:t xml:space="preserve">Jurnal Fokus Manajemen Bisnis</w:t>
      </w:r>
      <w:r w:rsidDel="00000000" w:rsidR="00000000" w:rsidRPr="00000000">
        <w:rPr>
          <w:sz w:val="24"/>
          <w:szCs w:val="24"/>
          <w:rtl w:val="0"/>
        </w:rPr>
        <w:t xml:space="preserve">, 15(2), 475. https://doi.org/10.12928/fokus.v15i2.14179</w:t>
      </w:r>
    </w:p>
    <w:p w:rsidR="00000000" w:rsidDel="00000000" w:rsidP="00000000" w:rsidRDefault="00000000" w:rsidRPr="00000000" w14:paraId="000000B1">
      <w:pPr>
        <w:spacing w:line="360" w:lineRule="auto"/>
        <w:ind w:left="720" w:hanging="720"/>
        <w:jc w:val="both"/>
        <w:rPr>
          <w:sz w:val="24"/>
          <w:szCs w:val="24"/>
        </w:rPr>
      </w:pPr>
      <w:r w:rsidDel="00000000" w:rsidR="00000000" w:rsidRPr="00000000">
        <w:rPr>
          <w:sz w:val="24"/>
          <w:szCs w:val="24"/>
          <w:rtl w:val="0"/>
        </w:rPr>
        <w:t xml:space="preserve">Neuhofer, B., Magnus, B. aring ng, &amp; Celuch, K. (2020). The impact of artificial intelligence on event experiences: a scenario technique approach. </w:t>
      </w:r>
      <w:r w:rsidDel="00000000" w:rsidR="00000000" w:rsidRPr="00000000">
        <w:rPr>
          <w:i w:val="1"/>
          <w:iCs w:val="1"/>
          <w:sz w:val="24"/>
          <w:szCs w:val="24"/>
          <w:rtl w:val="0"/>
        </w:rPr>
        <w:t xml:space="preserve">Electronic Markets</w:t>
      </w:r>
      <w:r w:rsidDel="00000000" w:rsidR="00000000" w:rsidRPr="00000000">
        <w:rPr>
          <w:sz w:val="24"/>
          <w:szCs w:val="24"/>
          <w:rtl w:val="0"/>
        </w:rPr>
        <w:t xml:space="preserve">, 31(3), 601. https://doi.org/10.1007/s12525-020-00433-4</w:t>
      </w:r>
    </w:p>
    <w:p w:rsidR="00000000" w:rsidDel="00000000" w:rsidP="00000000" w:rsidRDefault="00000000" w:rsidRPr="00000000" w14:paraId="000000B2">
      <w:pPr>
        <w:spacing w:line="360" w:lineRule="auto"/>
        <w:ind w:left="720" w:hanging="720"/>
        <w:jc w:val="both"/>
        <w:rPr>
          <w:sz w:val="24"/>
          <w:szCs w:val="24"/>
        </w:rPr>
      </w:pPr>
      <w:r w:rsidDel="00000000" w:rsidR="00000000" w:rsidRPr="00000000">
        <w:rPr>
          <w:sz w:val="24"/>
          <w:szCs w:val="24"/>
          <w:rtl w:val="0"/>
        </w:rPr>
        <w:t xml:space="preserve">Ngan, H. F. B., &amp; Lei, W. S. (2025). Examining the effects of augmented reality on sport event experiences and revisit intention: A comparative analysis between AR and non-AR users. </w:t>
      </w:r>
      <w:r w:rsidDel="00000000" w:rsidR="00000000" w:rsidRPr="00000000">
        <w:rPr>
          <w:i w:val="1"/>
          <w:iCs w:val="1"/>
          <w:sz w:val="24"/>
          <w:szCs w:val="24"/>
          <w:rtl w:val="0"/>
        </w:rPr>
        <w:t xml:space="preserve">Current Issues in Tourism</w:t>
      </w:r>
      <w:r w:rsidDel="00000000" w:rsidR="00000000" w:rsidRPr="00000000">
        <w:rPr>
          <w:sz w:val="24"/>
          <w:szCs w:val="24"/>
          <w:rtl w:val="0"/>
        </w:rPr>
        <w:t xml:space="preserve">, 28(4), 666–679. https://doi.org/10.1080/13683500.2024.2345173</w:t>
      </w:r>
    </w:p>
    <w:p w:rsidR="00000000" w:rsidDel="00000000" w:rsidP="00000000" w:rsidRDefault="00000000" w:rsidRPr="00000000" w14:paraId="000000B3">
      <w:pPr>
        <w:spacing w:line="360" w:lineRule="auto"/>
        <w:ind w:left="720" w:hanging="720"/>
        <w:jc w:val="both"/>
        <w:rPr>
          <w:sz w:val="24"/>
          <w:szCs w:val="24"/>
        </w:rPr>
      </w:pPr>
      <w:r w:rsidDel="00000000" w:rsidR="00000000" w:rsidRPr="00000000">
        <w:rPr>
          <w:sz w:val="24"/>
          <w:szCs w:val="24"/>
          <w:rtl w:val="0"/>
        </w:rPr>
        <w:t xml:space="preserve">Nookhao, S., &amp; Homsud, N. (2025). Exploring the potential of AI in tourism industry: combination TAM and innovation-decision process. </w:t>
      </w:r>
      <w:r w:rsidDel="00000000" w:rsidR="00000000" w:rsidRPr="00000000">
        <w:rPr>
          <w:i w:val="1"/>
          <w:iCs w:val="1"/>
          <w:sz w:val="24"/>
          <w:szCs w:val="24"/>
          <w:rtl w:val="0"/>
        </w:rPr>
        <w:t xml:space="preserve">Cogent Business &amp; Management</w:t>
      </w:r>
      <w:r w:rsidDel="00000000" w:rsidR="00000000" w:rsidRPr="00000000">
        <w:rPr>
          <w:sz w:val="24"/>
          <w:szCs w:val="24"/>
          <w:rtl w:val="0"/>
        </w:rPr>
        <w:t xml:space="preserve">, 13(1). https://doi.org/10.1080/23311975.2025.2607770</w:t>
      </w:r>
    </w:p>
    <w:p w:rsidR="00000000" w:rsidDel="00000000" w:rsidP="00000000" w:rsidRDefault="00000000" w:rsidRPr="00000000" w14:paraId="000000B4">
      <w:pPr>
        <w:spacing w:line="360" w:lineRule="auto"/>
        <w:ind w:left="720" w:hanging="720"/>
        <w:jc w:val="both"/>
        <w:rPr>
          <w:sz w:val="24"/>
          <w:szCs w:val="24"/>
        </w:rPr>
      </w:pPr>
      <w:r w:rsidDel="00000000" w:rsidR="00000000" w:rsidRPr="00000000">
        <w:rPr>
          <w:sz w:val="24"/>
          <w:szCs w:val="24"/>
          <w:rtl w:val="0"/>
        </w:rPr>
        <w:t xml:space="preserve">Norfolk, L., &amp; O’Regan, M. (2021). Biometric technologies at music festivals: An extended technology acceptance model. </w:t>
      </w:r>
      <w:r w:rsidDel="00000000" w:rsidR="00000000" w:rsidRPr="00000000">
        <w:rPr>
          <w:i w:val="1"/>
          <w:iCs w:val="1"/>
          <w:sz w:val="24"/>
          <w:szCs w:val="24"/>
          <w:rtl w:val="0"/>
        </w:rPr>
        <w:t xml:space="preserve">Journal of Convention &amp; Event Tourism</w:t>
      </w:r>
      <w:r w:rsidDel="00000000" w:rsidR="00000000" w:rsidRPr="00000000">
        <w:rPr>
          <w:sz w:val="24"/>
          <w:szCs w:val="24"/>
          <w:rtl w:val="0"/>
        </w:rPr>
        <w:t xml:space="preserve">, 22(1), 36–60. https://doi.org/10.1080/15470148.2020.1811184</w:t>
      </w:r>
    </w:p>
    <w:p w:rsidR="00000000" w:rsidDel="00000000" w:rsidP="00000000" w:rsidRDefault="00000000" w:rsidRPr="00000000" w14:paraId="000000B5">
      <w:pPr>
        <w:spacing w:line="360" w:lineRule="auto"/>
        <w:ind w:left="720" w:hanging="720"/>
        <w:jc w:val="both"/>
        <w:rPr>
          <w:sz w:val="24"/>
          <w:szCs w:val="24"/>
        </w:rPr>
      </w:pPr>
      <w:r w:rsidDel="00000000" w:rsidR="00000000" w:rsidRPr="00000000">
        <w:rPr>
          <w:sz w:val="24"/>
          <w:szCs w:val="24"/>
          <w:rtl w:val="0"/>
        </w:rPr>
        <w:t xml:space="preserve">Orea-Giner, A., Mazón, A. I. M., Villacé-Molinero, T., &amp; Moraleda, L. F. (2022). Cultural tourist and user experience with artificial intelligence: a holistic perspective from the Industry 5.0 approach. </w:t>
      </w:r>
      <w:r w:rsidDel="00000000" w:rsidR="00000000" w:rsidRPr="00000000">
        <w:rPr>
          <w:i w:val="1"/>
          <w:iCs w:val="1"/>
          <w:sz w:val="24"/>
          <w:szCs w:val="24"/>
          <w:rtl w:val="0"/>
        </w:rPr>
        <w:t xml:space="preserve">Journal of Tourism Futures</w:t>
      </w:r>
      <w:r w:rsidDel="00000000" w:rsidR="00000000" w:rsidRPr="00000000">
        <w:rPr>
          <w:sz w:val="24"/>
          <w:szCs w:val="24"/>
          <w:rtl w:val="0"/>
        </w:rPr>
        <w:t xml:space="preserve">. https://doi.org/10.1108/jtf-04-2022-0115</w:t>
      </w:r>
    </w:p>
    <w:p w:rsidR="00000000" w:rsidDel="00000000" w:rsidP="00000000" w:rsidRDefault="00000000" w:rsidRPr="00000000" w14:paraId="000000B6">
      <w:pPr>
        <w:spacing w:line="360" w:lineRule="auto"/>
        <w:ind w:left="720" w:hanging="720"/>
        <w:jc w:val="both"/>
        <w:rPr>
          <w:sz w:val="24"/>
          <w:szCs w:val="24"/>
        </w:rPr>
      </w:pPr>
      <w:r w:rsidDel="00000000" w:rsidR="00000000" w:rsidRPr="00000000">
        <w:rPr>
          <w:sz w:val="24"/>
          <w:szCs w:val="24"/>
          <w:rtl w:val="0"/>
        </w:rPr>
        <w:t xml:space="preserve">Priyanka, P., &amp; Siraj, S. (2021). Unlocking the Personalized-Privacy Paradox: An Empirical Study of Customer Intention to Use Digital Personalized Services. </w:t>
      </w:r>
      <w:r w:rsidDel="00000000" w:rsidR="00000000" w:rsidRPr="00000000">
        <w:rPr>
          <w:i w:val="1"/>
          <w:iCs w:val="1"/>
          <w:sz w:val="24"/>
          <w:szCs w:val="24"/>
          <w:rtl w:val="0"/>
        </w:rPr>
        <w:t xml:space="preserve">Academy of Strategic Management Journal</w:t>
      </w:r>
      <w:r w:rsidDel="00000000" w:rsidR="00000000" w:rsidRPr="00000000">
        <w:rPr>
          <w:sz w:val="24"/>
          <w:szCs w:val="24"/>
          <w:rtl w:val="0"/>
        </w:rPr>
        <w:t xml:space="preserve">, 20. https://www.abacademies.org/articles/unlocking-the-personalizedprivacy-paradox-an-empirical-study-of-customer-intention-to-use-digital-personalized-services.pdf</w:t>
      </w:r>
    </w:p>
    <w:p w:rsidR="00000000" w:rsidDel="00000000" w:rsidP="00000000" w:rsidRDefault="00000000" w:rsidRPr="00000000" w14:paraId="000000B7">
      <w:pPr>
        <w:spacing w:line="360" w:lineRule="auto"/>
        <w:ind w:left="720" w:hanging="720"/>
        <w:jc w:val="both"/>
        <w:rPr>
          <w:sz w:val="24"/>
          <w:szCs w:val="24"/>
        </w:rPr>
      </w:pPr>
      <w:r w:rsidDel="00000000" w:rsidR="00000000" w:rsidRPr="00000000">
        <w:rPr>
          <w:sz w:val="24"/>
          <w:szCs w:val="24"/>
          <w:rtl w:val="0"/>
        </w:rPr>
        <w:t xml:space="preserve">Ramli, N., Hamdan, A. N., Razani, S. M., Ramli, E. E., Salsagap, S., Nasaruddin, F. A., &amp; Hazizan, M. N. (2023). Factors influencing technology usage among Event Attendees. </w:t>
      </w:r>
      <w:r w:rsidDel="00000000" w:rsidR="00000000" w:rsidRPr="00000000">
        <w:rPr>
          <w:i w:val="1"/>
          <w:iCs w:val="1"/>
          <w:sz w:val="24"/>
          <w:szCs w:val="24"/>
          <w:rtl w:val="0"/>
        </w:rPr>
        <w:t xml:space="preserve">Information Management and Business Review</w:t>
      </w:r>
      <w:r w:rsidDel="00000000" w:rsidR="00000000" w:rsidRPr="00000000">
        <w:rPr>
          <w:sz w:val="24"/>
          <w:szCs w:val="24"/>
          <w:rtl w:val="0"/>
        </w:rPr>
        <w:t xml:space="preserve">, 15, 126. https://doi.org/10.22610/imbr.v15i3(si).3465</w:t>
      </w:r>
    </w:p>
    <w:p w:rsidR="00000000" w:rsidDel="00000000" w:rsidP="00000000" w:rsidRDefault="00000000" w:rsidRPr="00000000" w14:paraId="000000B8">
      <w:pPr>
        <w:spacing w:line="360" w:lineRule="auto"/>
        <w:ind w:left="720" w:hanging="720"/>
        <w:jc w:val="both"/>
        <w:rPr>
          <w:sz w:val="24"/>
          <w:szCs w:val="24"/>
        </w:rPr>
      </w:pPr>
      <w:r w:rsidDel="00000000" w:rsidR="00000000" w:rsidRPr="00000000">
        <w:rPr>
          <w:sz w:val="24"/>
          <w:szCs w:val="24"/>
          <w:rtl w:val="0"/>
        </w:rPr>
        <w:t xml:space="preserve">Reinartz, W., Haenlein, M., &amp; Henseler, J. (2009). An empirical comparison of the efficacy of covariance-based and variance-based SEM. </w:t>
      </w:r>
      <w:r w:rsidDel="00000000" w:rsidR="00000000" w:rsidRPr="00000000">
        <w:rPr>
          <w:i w:val="1"/>
          <w:iCs w:val="1"/>
          <w:sz w:val="24"/>
          <w:szCs w:val="24"/>
          <w:rtl w:val="0"/>
        </w:rPr>
        <w:t xml:space="preserve">International Journal of Research in Marketing</w:t>
      </w:r>
      <w:r w:rsidDel="00000000" w:rsidR="00000000" w:rsidRPr="00000000">
        <w:rPr>
          <w:sz w:val="24"/>
          <w:szCs w:val="24"/>
          <w:rtl w:val="0"/>
        </w:rPr>
        <w:t xml:space="preserve">, 26(4), 332–344. https://doi.org/10.1016/j.ijresmar.2009.08.001</w:t>
      </w:r>
    </w:p>
    <w:p w:rsidR="00000000" w:rsidDel="00000000" w:rsidP="00000000" w:rsidRDefault="00000000" w:rsidRPr="00000000" w14:paraId="000000B9">
      <w:pPr>
        <w:spacing w:line="360" w:lineRule="auto"/>
        <w:ind w:left="720" w:hanging="720"/>
        <w:jc w:val="both"/>
        <w:rPr>
          <w:sz w:val="24"/>
          <w:szCs w:val="24"/>
        </w:rPr>
      </w:pPr>
      <w:r w:rsidDel="00000000" w:rsidR="00000000" w:rsidRPr="00000000">
        <w:rPr>
          <w:sz w:val="24"/>
          <w:szCs w:val="24"/>
          <w:rtl w:val="0"/>
        </w:rPr>
        <w:t xml:space="preserve">Shafeeque, H. M., &amp; Palakkol, A. A. (2024). Smart tourism technology, a boon or a bane for event tourism? In the context of Kochi Muziris Biennale. </w:t>
      </w:r>
      <w:r w:rsidDel="00000000" w:rsidR="00000000" w:rsidRPr="00000000">
        <w:rPr>
          <w:i w:val="1"/>
          <w:iCs w:val="1"/>
          <w:sz w:val="24"/>
          <w:szCs w:val="24"/>
          <w:rtl w:val="0"/>
        </w:rPr>
        <w:t xml:space="preserve">Journal of Convention &amp; Event Tourism</w:t>
      </w:r>
      <w:r w:rsidDel="00000000" w:rsidR="00000000" w:rsidRPr="00000000">
        <w:rPr>
          <w:sz w:val="24"/>
          <w:szCs w:val="24"/>
          <w:rtl w:val="0"/>
        </w:rPr>
        <w:t xml:space="preserve">, 25(3), 145–164. https://doi.org/10.1080/15470148.2024.2306994</w:t>
      </w:r>
    </w:p>
    <w:p w:rsidR="00000000" w:rsidDel="00000000" w:rsidP="00000000" w:rsidRDefault="00000000" w:rsidRPr="00000000" w14:paraId="000000BA">
      <w:pPr>
        <w:spacing w:line="360" w:lineRule="auto"/>
        <w:ind w:left="720" w:hanging="720"/>
        <w:jc w:val="both"/>
        <w:rPr>
          <w:sz w:val="24"/>
          <w:szCs w:val="24"/>
        </w:rPr>
      </w:pPr>
      <w:r w:rsidDel="00000000" w:rsidR="00000000" w:rsidRPr="00000000">
        <w:rPr>
          <w:sz w:val="24"/>
          <w:szCs w:val="24"/>
          <w:rtl w:val="0"/>
        </w:rPr>
        <w:t xml:space="preserve">Sisson, A. D., &amp; Alcorn, M. R. (2022). How was your music festival experience? Impacts on loyalty, word-of-mouth, and sustainability behaviors. </w:t>
      </w:r>
      <w:r w:rsidDel="00000000" w:rsidR="00000000" w:rsidRPr="00000000">
        <w:rPr>
          <w:i w:val="1"/>
          <w:iCs w:val="1"/>
          <w:sz w:val="24"/>
          <w:szCs w:val="24"/>
          <w:rtl w:val="0"/>
        </w:rPr>
        <w:t xml:space="preserve">Event Management</w:t>
      </w:r>
      <w:r w:rsidDel="00000000" w:rsidR="00000000" w:rsidRPr="00000000">
        <w:rPr>
          <w:sz w:val="24"/>
          <w:szCs w:val="24"/>
          <w:rtl w:val="0"/>
        </w:rPr>
        <w:t xml:space="preserve">, 26(3), 565–585. https://doi.org/10.3727/152599521X16288665119495</w:t>
      </w:r>
    </w:p>
    <w:p w:rsidR="00000000" w:rsidDel="00000000" w:rsidP="00000000" w:rsidRDefault="00000000" w:rsidRPr="00000000" w14:paraId="000000BB">
      <w:pPr>
        <w:spacing w:line="360" w:lineRule="auto"/>
        <w:ind w:left="720" w:hanging="720"/>
        <w:jc w:val="both"/>
        <w:rPr>
          <w:sz w:val="24"/>
          <w:szCs w:val="24"/>
        </w:rPr>
      </w:pPr>
      <w:r w:rsidDel="00000000" w:rsidR="00000000" w:rsidRPr="00000000">
        <w:rPr>
          <w:sz w:val="24"/>
          <w:szCs w:val="24"/>
          <w:rtl w:val="0"/>
        </w:rPr>
        <w:t xml:space="preserve">Sjukriana, J., Hanafiah, M. H., Asyraff, M. A., &amp; Kusumah, G. (2025). Unveiling the landscape of event technology adoption in hospitality and tourism industry: Insights from a systematic literature review. </w:t>
      </w:r>
      <w:r w:rsidDel="00000000" w:rsidR="00000000" w:rsidRPr="00000000">
        <w:rPr>
          <w:i w:val="1"/>
          <w:iCs w:val="1"/>
          <w:sz w:val="24"/>
          <w:szCs w:val="24"/>
          <w:rtl w:val="0"/>
        </w:rPr>
        <w:t xml:space="preserve">International Journal of Event and Festival Management</w:t>
      </w:r>
      <w:r w:rsidDel="00000000" w:rsidR="00000000" w:rsidRPr="00000000">
        <w:rPr>
          <w:sz w:val="24"/>
          <w:szCs w:val="24"/>
          <w:rtl w:val="0"/>
        </w:rPr>
        <w:t xml:space="preserve">, 16(2), 207–228. https://doi.org/10.1108/IJEFM-06-2024-0077</w:t>
      </w:r>
    </w:p>
    <w:p w:rsidR="00000000" w:rsidDel="00000000" w:rsidP="00000000" w:rsidRDefault="00000000" w:rsidRPr="00000000" w14:paraId="000000BC">
      <w:pPr>
        <w:spacing w:line="360" w:lineRule="auto"/>
        <w:ind w:left="720" w:hanging="720"/>
        <w:jc w:val="both"/>
        <w:rPr>
          <w:sz w:val="24"/>
          <w:szCs w:val="24"/>
        </w:rPr>
      </w:pPr>
      <w:r w:rsidDel="00000000" w:rsidR="00000000" w:rsidRPr="00000000">
        <w:rPr>
          <w:sz w:val="24"/>
          <w:szCs w:val="24"/>
          <w:rtl w:val="0"/>
        </w:rPr>
        <w:t xml:space="preserve">Sobitan, A., &amp; Vlachos, P. (2020). Immersive event experience and attendee motivation: A quantitative analysis using sensory, localisation, and participatory factors. </w:t>
      </w:r>
      <w:r w:rsidDel="00000000" w:rsidR="00000000" w:rsidRPr="00000000">
        <w:rPr>
          <w:i w:val="1"/>
          <w:iCs w:val="1"/>
          <w:sz w:val="24"/>
          <w:szCs w:val="24"/>
          <w:rtl w:val="0"/>
        </w:rPr>
        <w:t xml:space="preserve">Journal of Policy Research in Tourism, Leisure and Events</w:t>
      </w:r>
      <w:r w:rsidDel="00000000" w:rsidR="00000000" w:rsidRPr="00000000">
        <w:rPr>
          <w:sz w:val="24"/>
          <w:szCs w:val="24"/>
          <w:rtl w:val="0"/>
        </w:rPr>
        <w:t xml:space="preserve">, 12(3), 437–456. https://doi.org/10.1080/19407963.2020.1721638</w:t>
      </w:r>
    </w:p>
    <w:p w:rsidR="00000000" w:rsidDel="00000000" w:rsidP="00000000" w:rsidRDefault="00000000" w:rsidRPr="00000000" w14:paraId="000000BD">
      <w:pPr>
        <w:spacing w:line="360" w:lineRule="auto"/>
        <w:ind w:left="720" w:hanging="720"/>
        <w:jc w:val="both"/>
        <w:rPr>
          <w:sz w:val="24"/>
          <w:szCs w:val="24"/>
        </w:rPr>
      </w:pPr>
      <w:r w:rsidDel="00000000" w:rsidR="00000000" w:rsidRPr="00000000">
        <w:rPr>
          <w:sz w:val="24"/>
          <w:szCs w:val="24"/>
          <w:rtl w:val="0"/>
        </w:rPr>
        <w:t xml:space="preserve">Sustacha, I., Baños-Pino, J., &amp; Valle, E. D. (2023). The role of technology in enhancing the tourism experience in smart destinations: A meta-analysis. </w:t>
      </w:r>
      <w:r w:rsidDel="00000000" w:rsidR="00000000" w:rsidRPr="00000000">
        <w:rPr>
          <w:i w:val="1"/>
          <w:iCs w:val="1"/>
          <w:sz w:val="24"/>
          <w:szCs w:val="24"/>
          <w:rtl w:val="0"/>
        </w:rPr>
        <w:t xml:space="preserve">Journal of Destination Marketing &amp; Management</w:t>
      </w:r>
      <w:r w:rsidDel="00000000" w:rsidR="00000000" w:rsidRPr="00000000">
        <w:rPr>
          <w:sz w:val="24"/>
          <w:szCs w:val="24"/>
          <w:rtl w:val="0"/>
        </w:rPr>
        <w:t xml:space="preserve">, 30, 100817. https://doi.org/10.1016/j.jdmm.2023.100817</w:t>
      </w:r>
    </w:p>
    <w:p w:rsidR="00000000" w:rsidDel="00000000" w:rsidP="00000000" w:rsidRDefault="00000000" w:rsidRPr="00000000" w14:paraId="000000BE">
      <w:pPr>
        <w:spacing w:line="360" w:lineRule="auto"/>
        <w:ind w:left="720" w:hanging="720"/>
        <w:jc w:val="both"/>
        <w:rPr>
          <w:sz w:val="24"/>
          <w:szCs w:val="24"/>
        </w:rPr>
      </w:pPr>
      <w:r w:rsidDel="00000000" w:rsidR="00000000" w:rsidRPr="00000000">
        <w:rPr>
          <w:sz w:val="24"/>
          <w:szCs w:val="24"/>
          <w:rtl w:val="0"/>
        </w:rPr>
        <w:t xml:space="preserve">Swart, M. P., Sotiriadis, M., &amp; Engelbrecht, W. H. (2019). Investigating the intentions of tourism providers and trade exhibition visitors to use technology: A technology acceptance model approach. </w:t>
      </w:r>
      <w:r w:rsidDel="00000000" w:rsidR="00000000" w:rsidRPr="00000000">
        <w:rPr>
          <w:i w:val="1"/>
          <w:iCs w:val="1"/>
          <w:sz w:val="24"/>
          <w:szCs w:val="24"/>
          <w:rtl w:val="0"/>
        </w:rPr>
        <w:t xml:space="preserve">Acta Commercii</w:t>
      </w:r>
      <w:r w:rsidDel="00000000" w:rsidR="00000000" w:rsidRPr="00000000">
        <w:rPr>
          <w:sz w:val="24"/>
          <w:szCs w:val="24"/>
          <w:rtl w:val="0"/>
        </w:rPr>
        <w:t xml:space="preserve">, 19(1). https://doi.org/10.4102/ac.v19i1.693</w:t>
      </w:r>
    </w:p>
    <w:p w:rsidR="00000000" w:rsidDel="00000000" w:rsidP="00000000" w:rsidRDefault="00000000" w:rsidRPr="00000000" w14:paraId="000000BF">
      <w:pPr>
        <w:spacing w:line="360" w:lineRule="auto"/>
        <w:ind w:left="720" w:hanging="720"/>
        <w:jc w:val="both"/>
        <w:rPr>
          <w:sz w:val="24"/>
          <w:szCs w:val="24"/>
        </w:rPr>
      </w:pPr>
      <w:r w:rsidDel="00000000" w:rsidR="00000000" w:rsidRPr="00000000">
        <w:rPr>
          <w:sz w:val="24"/>
          <w:szCs w:val="24"/>
          <w:rtl w:val="0"/>
        </w:rPr>
        <w:t xml:space="preserve">Talantis, S., Shin, Y. H., &amp; Severt, K. (2020). Conference mobile application: Participant acceptance and the correlation with overall event satisfaction utilizing the technology acceptance model (TAM). Journal of Convention &amp; </w:t>
      </w:r>
      <w:r w:rsidDel="00000000" w:rsidR="00000000" w:rsidRPr="00000000">
        <w:rPr>
          <w:i w:val="1"/>
          <w:iCs w:val="1"/>
          <w:sz w:val="24"/>
          <w:szCs w:val="24"/>
          <w:rtl w:val="0"/>
        </w:rPr>
        <w:t xml:space="preserve">Event Tourism</w:t>
      </w:r>
      <w:r w:rsidDel="00000000" w:rsidR="00000000" w:rsidRPr="00000000">
        <w:rPr>
          <w:sz w:val="24"/>
          <w:szCs w:val="24"/>
          <w:rtl w:val="0"/>
        </w:rPr>
        <w:t xml:space="preserve">, 21(2), 100–122. https://doi.org/10.1080/15470148.2020.1719949</w:t>
      </w:r>
    </w:p>
    <w:p w:rsidR="00000000" w:rsidDel="00000000" w:rsidP="00000000" w:rsidRDefault="00000000" w:rsidRPr="00000000" w14:paraId="000000C0">
      <w:pPr>
        <w:spacing w:line="360" w:lineRule="auto"/>
        <w:ind w:left="720" w:hanging="720"/>
        <w:jc w:val="both"/>
        <w:rPr>
          <w:sz w:val="24"/>
          <w:szCs w:val="24"/>
        </w:rPr>
      </w:pPr>
      <w:r w:rsidDel="00000000" w:rsidR="00000000" w:rsidRPr="00000000">
        <w:rPr>
          <w:sz w:val="24"/>
          <w:szCs w:val="24"/>
          <w:rtl w:val="0"/>
        </w:rPr>
        <w:t xml:space="preserve">Tanford, S., &amp; Jung, S. (2017). Festival attributes and perceptions: A meta-analysis of relationships with satisfaction and loyalty. </w:t>
      </w:r>
      <w:r w:rsidDel="00000000" w:rsidR="00000000" w:rsidRPr="00000000">
        <w:rPr>
          <w:i w:val="1"/>
          <w:iCs w:val="1"/>
          <w:sz w:val="24"/>
          <w:szCs w:val="24"/>
          <w:rtl w:val="0"/>
        </w:rPr>
        <w:t xml:space="preserve">Tourism Management</w:t>
      </w:r>
      <w:r w:rsidDel="00000000" w:rsidR="00000000" w:rsidRPr="00000000">
        <w:rPr>
          <w:sz w:val="24"/>
          <w:szCs w:val="24"/>
          <w:rtl w:val="0"/>
        </w:rPr>
        <w:t xml:space="preserve">, 61, 209. https://doi.org/10.1016/j.tourman.2017.02.005</w:t>
      </w:r>
    </w:p>
    <w:p w:rsidR="00000000" w:rsidDel="00000000" w:rsidP="00000000" w:rsidRDefault="00000000" w:rsidRPr="00000000" w14:paraId="000000C1">
      <w:pPr>
        <w:spacing w:line="360" w:lineRule="auto"/>
        <w:ind w:left="720" w:hanging="720"/>
        <w:jc w:val="both"/>
        <w:rPr>
          <w:sz w:val="24"/>
          <w:szCs w:val="24"/>
        </w:rPr>
      </w:pPr>
      <w:r w:rsidDel="00000000" w:rsidR="00000000" w:rsidRPr="00000000">
        <w:rPr>
          <w:sz w:val="24"/>
          <w:szCs w:val="24"/>
          <w:rtl w:val="0"/>
        </w:rPr>
        <w:t xml:space="preserve">Uğurlu, K. (2022). An Assessment on Strengthening the Attractiveness of Turkey’s Event and Festival Tourism with Innovative Technology Efforts (p. 96). https://doi.org/10.4324/9781003271147-11</w:t>
      </w:r>
    </w:p>
    <w:p w:rsidR="00000000" w:rsidDel="00000000" w:rsidP="00000000" w:rsidRDefault="00000000" w:rsidRPr="00000000" w14:paraId="000000C2">
      <w:pPr>
        <w:spacing w:line="360" w:lineRule="auto"/>
        <w:ind w:left="720" w:hanging="720"/>
        <w:jc w:val="both"/>
        <w:rPr>
          <w:sz w:val="24"/>
          <w:szCs w:val="24"/>
        </w:rPr>
      </w:pPr>
      <w:r w:rsidDel="00000000" w:rsidR="00000000" w:rsidRPr="00000000">
        <w:rPr>
          <w:sz w:val="24"/>
          <w:szCs w:val="24"/>
          <w:rtl w:val="0"/>
        </w:rPr>
        <w:t xml:space="preserve">Van Winkle, C. M., &amp; Falk, J. H. (2015). Personal meaning mapping at festivals: A useful tool for a challenging context. </w:t>
      </w:r>
      <w:r w:rsidDel="00000000" w:rsidR="00000000" w:rsidRPr="00000000">
        <w:rPr>
          <w:i w:val="1"/>
          <w:iCs w:val="1"/>
          <w:sz w:val="24"/>
          <w:szCs w:val="24"/>
          <w:rtl w:val="0"/>
        </w:rPr>
        <w:t xml:space="preserve">Event Management</w:t>
      </w:r>
      <w:r w:rsidDel="00000000" w:rsidR="00000000" w:rsidRPr="00000000">
        <w:rPr>
          <w:sz w:val="24"/>
          <w:szCs w:val="24"/>
          <w:rtl w:val="0"/>
        </w:rPr>
        <w:t xml:space="preserve">, 19(1), 143–150. https://doi.org/10.3727/152599515X14229071393223</w:t>
      </w:r>
    </w:p>
    <w:p w:rsidR="00000000" w:rsidDel="00000000" w:rsidP="00000000" w:rsidRDefault="00000000" w:rsidRPr="00000000" w14:paraId="000000C3">
      <w:pPr>
        <w:spacing w:line="360" w:lineRule="auto"/>
        <w:ind w:left="720" w:hanging="720"/>
        <w:jc w:val="both"/>
        <w:rPr>
          <w:sz w:val="24"/>
          <w:szCs w:val="24"/>
        </w:rPr>
      </w:pPr>
      <w:r w:rsidDel="00000000" w:rsidR="00000000" w:rsidRPr="00000000">
        <w:rPr>
          <w:sz w:val="24"/>
          <w:szCs w:val="24"/>
          <w:rtl w:val="0"/>
        </w:rPr>
        <w:t xml:space="preserve">Venkatesh, V., Morris, M. G., Davis, G. B., &amp; Davis, F. D. (2003). User acceptance of information technology: Toward a unified view. </w:t>
      </w:r>
      <w:r w:rsidDel="00000000" w:rsidR="00000000" w:rsidRPr="00000000">
        <w:rPr>
          <w:i w:val="1"/>
          <w:iCs w:val="1"/>
          <w:sz w:val="24"/>
          <w:szCs w:val="24"/>
          <w:rtl w:val="0"/>
        </w:rPr>
        <w:t xml:space="preserve">MIS Quarterly</w:t>
      </w:r>
      <w:r w:rsidDel="00000000" w:rsidR="00000000" w:rsidRPr="00000000">
        <w:rPr>
          <w:sz w:val="24"/>
          <w:szCs w:val="24"/>
          <w:rtl w:val="0"/>
        </w:rPr>
        <w:t xml:space="preserve">, 27(3), 425–478. https://doi.org/10.2307/30036540</w:t>
      </w:r>
    </w:p>
    <w:p w:rsidR="00000000" w:rsidDel="00000000" w:rsidP="00000000" w:rsidRDefault="00000000" w:rsidRPr="00000000" w14:paraId="000000C4">
      <w:pPr>
        <w:spacing w:line="360" w:lineRule="auto"/>
        <w:ind w:left="720" w:hanging="720"/>
        <w:jc w:val="both"/>
        <w:rPr>
          <w:sz w:val="24"/>
          <w:szCs w:val="24"/>
        </w:rPr>
      </w:pPr>
      <w:r w:rsidDel="00000000" w:rsidR="00000000" w:rsidRPr="00000000">
        <w:rPr>
          <w:sz w:val="24"/>
          <w:szCs w:val="24"/>
          <w:rtl w:val="0"/>
        </w:rPr>
        <w:t xml:space="preserve">Viot, C., Lécuyer, C., Bayart, C., &amp; Lancini, A. (2024). The adoption of smart services: do privacy concerns, trust in benevolence and usage experience matter? </w:t>
      </w:r>
      <w:r w:rsidDel="00000000" w:rsidR="00000000" w:rsidRPr="00000000">
        <w:rPr>
          <w:i w:val="1"/>
          <w:iCs w:val="1"/>
          <w:sz w:val="24"/>
          <w:szCs w:val="24"/>
          <w:rtl w:val="0"/>
        </w:rPr>
        <w:t xml:space="preserve">Journal of Consumer Marketing</w:t>
      </w:r>
      <w:r w:rsidDel="00000000" w:rsidR="00000000" w:rsidRPr="00000000">
        <w:rPr>
          <w:sz w:val="24"/>
          <w:szCs w:val="24"/>
          <w:rtl w:val="0"/>
        </w:rPr>
        <w:t xml:space="preserve">, 41(6), 648. https://doi.org/10.1108/jcm-04-2022-5299</w:t>
      </w:r>
    </w:p>
    <w:p w:rsidR="00000000" w:rsidDel="00000000" w:rsidP="00000000" w:rsidRDefault="00000000" w:rsidRPr="00000000" w14:paraId="000000C5">
      <w:pPr>
        <w:spacing w:line="360" w:lineRule="auto"/>
        <w:ind w:left="720" w:hanging="720"/>
        <w:jc w:val="both"/>
        <w:rPr>
          <w:sz w:val="24"/>
          <w:szCs w:val="24"/>
        </w:rPr>
      </w:pPr>
      <w:r w:rsidDel="00000000" w:rsidR="00000000" w:rsidRPr="00000000">
        <w:rPr>
          <w:sz w:val="24"/>
          <w:szCs w:val="24"/>
          <w:rtl w:val="0"/>
        </w:rPr>
        <w:t xml:space="preserve">Vujko, A., Knežević, M., &amp; Arsić, M. (2025). The Future Is in Sustainable Urban Tourism: Technological Innovations, Emerging Mobility Systems and Their Role in Shaping Smart Cities. </w:t>
      </w:r>
      <w:r w:rsidDel="00000000" w:rsidR="00000000" w:rsidRPr="00000000">
        <w:rPr>
          <w:i w:val="1"/>
          <w:iCs w:val="1"/>
          <w:sz w:val="24"/>
          <w:szCs w:val="24"/>
          <w:rtl w:val="0"/>
        </w:rPr>
        <w:t xml:space="preserve">Urban Science</w:t>
      </w:r>
      <w:r w:rsidDel="00000000" w:rsidR="00000000" w:rsidRPr="00000000">
        <w:rPr>
          <w:sz w:val="24"/>
          <w:szCs w:val="24"/>
          <w:rtl w:val="0"/>
        </w:rPr>
        <w:t xml:space="preserve">, 9(5), 169. https://doi.org/10.3390/urbansci9050169</w:t>
      </w:r>
    </w:p>
    <w:p w:rsidR="00000000" w:rsidDel="00000000" w:rsidP="00000000" w:rsidRDefault="00000000" w:rsidRPr="00000000" w14:paraId="000000C6">
      <w:pPr>
        <w:spacing w:line="360" w:lineRule="auto"/>
        <w:ind w:left="720" w:hanging="720"/>
        <w:jc w:val="both"/>
        <w:rPr>
          <w:sz w:val="24"/>
          <w:szCs w:val="24"/>
        </w:rPr>
      </w:pPr>
      <w:r w:rsidDel="00000000" w:rsidR="00000000" w:rsidRPr="00000000">
        <w:rPr>
          <w:sz w:val="24"/>
          <w:szCs w:val="24"/>
          <w:rtl w:val="0"/>
        </w:rPr>
        <w:t xml:space="preserve">Wallace, K., &amp; Michopoulou, E. (2023). Stakeholder requirements and value co-creation in events. </w:t>
      </w:r>
      <w:r w:rsidDel="00000000" w:rsidR="00000000" w:rsidRPr="00000000">
        <w:rPr>
          <w:i w:val="1"/>
          <w:iCs w:val="1"/>
          <w:sz w:val="24"/>
          <w:szCs w:val="24"/>
          <w:rtl w:val="0"/>
        </w:rPr>
        <w:t xml:space="preserve">Event Management</w:t>
      </w:r>
      <w:r w:rsidDel="00000000" w:rsidR="00000000" w:rsidRPr="00000000">
        <w:rPr>
          <w:sz w:val="24"/>
          <w:szCs w:val="24"/>
          <w:rtl w:val="0"/>
        </w:rPr>
        <w:t xml:space="preserve">, 27(2), 281–299. https://doi.org/10.3727/152599521X16367300695744</w:t>
      </w:r>
    </w:p>
    <w:p w:rsidR="00000000" w:rsidDel="00000000" w:rsidP="00000000" w:rsidRDefault="00000000" w:rsidRPr="00000000" w14:paraId="000000C7">
      <w:pPr>
        <w:spacing w:line="360" w:lineRule="auto"/>
        <w:ind w:left="720" w:hanging="720"/>
        <w:jc w:val="both"/>
        <w:rPr>
          <w:sz w:val="24"/>
          <w:szCs w:val="24"/>
        </w:rPr>
      </w:pPr>
      <w:r w:rsidDel="00000000" w:rsidR="00000000" w:rsidRPr="00000000">
        <w:rPr>
          <w:sz w:val="24"/>
          <w:szCs w:val="24"/>
          <w:rtl w:val="0"/>
        </w:rPr>
        <w:t xml:space="preserve">Wang, R., Codina, R., Sun, Y., &amp; Ding, X. (2024). Experience, satisfaction and loyalty in the context of online music festivals in China. </w:t>
      </w:r>
      <w:r w:rsidDel="00000000" w:rsidR="00000000" w:rsidRPr="00000000">
        <w:rPr>
          <w:i w:val="1"/>
          <w:iCs w:val="1"/>
          <w:sz w:val="24"/>
          <w:szCs w:val="24"/>
          <w:rtl w:val="0"/>
        </w:rPr>
        <w:t xml:space="preserve">International Journal of Event and Festival Management</w:t>
      </w:r>
      <w:r w:rsidDel="00000000" w:rsidR="00000000" w:rsidRPr="00000000">
        <w:rPr>
          <w:sz w:val="24"/>
          <w:szCs w:val="24"/>
          <w:rtl w:val="0"/>
        </w:rPr>
        <w:t xml:space="preserve">, 15(2), 228. https://doi.org/10.1108/ijefm-04-2023-0034</w:t>
      </w:r>
    </w:p>
    <w:p w:rsidR="00000000" w:rsidDel="00000000" w:rsidP="00000000" w:rsidRDefault="00000000" w:rsidRPr="00000000" w14:paraId="000000C8">
      <w:pPr>
        <w:spacing w:line="360" w:lineRule="auto"/>
        <w:ind w:left="720" w:hanging="720"/>
        <w:jc w:val="both"/>
        <w:rPr>
          <w:sz w:val="24"/>
          <w:szCs w:val="24"/>
        </w:rPr>
      </w:pPr>
      <w:r w:rsidDel="00000000" w:rsidR="00000000" w:rsidRPr="00000000">
        <w:rPr>
          <w:sz w:val="24"/>
          <w:szCs w:val="24"/>
          <w:rtl w:val="0"/>
        </w:rPr>
        <w:t xml:space="preserve">Wang, J., Li, M., &amp; Luo, Q. (2025). From body to mind: Decoding emotional experiences at music festivals. </w:t>
      </w:r>
      <w:r w:rsidDel="00000000" w:rsidR="00000000" w:rsidRPr="00000000">
        <w:rPr>
          <w:i w:val="1"/>
          <w:iCs w:val="1"/>
          <w:sz w:val="24"/>
          <w:szCs w:val="24"/>
          <w:rtl w:val="0"/>
        </w:rPr>
        <w:t xml:space="preserve">Journal of Destination Marketing &amp; Management,</w:t>
      </w:r>
      <w:r w:rsidDel="00000000" w:rsidR="00000000" w:rsidRPr="00000000">
        <w:rPr>
          <w:sz w:val="24"/>
          <w:szCs w:val="24"/>
          <w:rtl w:val="0"/>
        </w:rPr>
        <w:t xml:space="preserve"> 38, 101036. https://doi.org/10.1016/j.jdmm.2025.101036</w:t>
      </w:r>
    </w:p>
    <w:p w:rsidR="00000000" w:rsidDel="00000000" w:rsidP="00000000" w:rsidRDefault="00000000" w:rsidRPr="00000000" w14:paraId="000000C9">
      <w:pPr>
        <w:spacing w:line="360" w:lineRule="auto"/>
        <w:ind w:left="720" w:hanging="720"/>
        <w:jc w:val="both"/>
        <w:rPr>
          <w:sz w:val="24"/>
          <w:szCs w:val="24"/>
        </w:rPr>
      </w:pPr>
      <w:r w:rsidDel="00000000" w:rsidR="00000000" w:rsidRPr="00000000">
        <w:rPr>
          <w:sz w:val="24"/>
          <w:szCs w:val="24"/>
          <w:rtl w:val="0"/>
        </w:rPr>
        <w:t xml:space="preserve">Xiong, S., &amp; Zhang, T. (2024). Enhancing tourist loyalty through location-based service apps: Exploring the roles of digital literacy, perceived ease of use, perceived autonomy, virtual-content congruency, and tourist engagement. </w:t>
      </w:r>
      <w:r w:rsidDel="00000000" w:rsidR="00000000" w:rsidRPr="00000000">
        <w:rPr>
          <w:i w:val="1"/>
          <w:iCs w:val="1"/>
          <w:sz w:val="24"/>
          <w:szCs w:val="24"/>
          <w:rtl w:val="0"/>
        </w:rPr>
        <w:t xml:space="preserve">PLoS ONE</w:t>
      </w:r>
      <w:r w:rsidDel="00000000" w:rsidR="00000000" w:rsidRPr="00000000">
        <w:rPr>
          <w:sz w:val="24"/>
          <w:szCs w:val="24"/>
          <w:rtl w:val="0"/>
        </w:rPr>
        <w:t xml:space="preserve">, 19(1). https://doi.org/10.1371/journal.pone.0294244</w:t>
      </w:r>
    </w:p>
    <w:p w:rsidR="00000000" w:rsidDel="00000000" w:rsidP="00000000" w:rsidRDefault="00000000" w:rsidRPr="00000000" w14:paraId="000000CA">
      <w:pPr>
        <w:spacing w:line="360" w:lineRule="auto"/>
        <w:ind w:left="720" w:hanging="720"/>
        <w:jc w:val="both"/>
        <w:rPr>
          <w:sz w:val="24"/>
          <w:szCs w:val="24"/>
        </w:rPr>
      </w:pPr>
      <w:r w:rsidDel="00000000" w:rsidR="00000000" w:rsidRPr="00000000">
        <w:rPr>
          <w:sz w:val="24"/>
          <w:szCs w:val="24"/>
          <w:rtl w:val="0"/>
        </w:rPr>
        <w:t xml:space="preserve">Xu, H., Luo, X. R., Carroll, J. M., &amp; Rosson, M. B. (2011). The personalization privacy paradox: An exploratory study of decision making process for location-aware marketing. </w:t>
      </w:r>
      <w:r w:rsidDel="00000000" w:rsidR="00000000" w:rsidRPr="00000000">
        <w:rPr>
          <w:i w:val="1"/>
          <w:iCs w:val="1"/>
          <w:sz w:val="24"/>
          <w:szCs w:val="24"/>
          <w:rtl w:val="0"/>
        </w:rPr>
        <w:t xml:space="preserve">Decision Support Systems</w:t>
      </w:r>
      <w:r w:rsidDel="00000000" w:rsidR="00000000" w:rsidRPr="00000000">
        <w:rPr>
          <w:sz w:val="24"/>
          <w:szCs w:val="24"/>
          <w:rtl w:val="0"/>
        </w:rPr>
        <w:t xml:space="preserve">, 51(1), 42–52. https://doi.org/10.1016/j.dss.2010.11.017</w:t>
      </w:r>
    </w:p>
    <w:p w:rsidR="00000000" w:rsidDel="00000000" w:rsidP="00000000" w:rsidRDefault="00000000" w:rsidRPr="00000000" w14:paraId="000000CB">
      <w:pPr>
        <w:spacing w:line="360" w:lineRule="auto"/>
        <w:ind w:left="720" w:hanging="720"/>
        <w:jc w:val="both"/>
        <w:rPr>
          <w:sz w:val="24"/>
          <w:szCs w:val="24"/>
        </w:rPr>
      </w:pPr>
      <w:r w:rsidDel="00000000" w:rsidR="00000000" w:rsidRPr="00000000">
        <w:rPr>
          <w:sz w:val="24"/>
          <w:szCs w:val="24"/>
          <w:rtl w:val="0"/>
        </w:rPr>
        <w:t xml:space="preserve">Yahya, N. E., Shariffuddin, N. S. M., Azinuddin, M., Puad, A., &amp; Hanafiah, M. H. (2026). Digital encounters and tourist decisions: linking smart technologies, readiness, and travel motivations. </w:t>
      </w:r>
      <w:r w:rsidDel="00000000" w:rsidR="00000000" w:rsidRPr="00000000">
        <w:rPr>
          <w:i w:val="1"/>
          <w:iCs w:val="1"/>
          <w:sz w:val="24"/>
          <w:szCs w:val="24"/>
          <w:rtl w:val="0"/>
        </w:rPr>
        <w:t xml:space="preserve">Quality &amp; Quantity</w:t>
      </w:r>
      <w:r w:rsidDel="00000000" w:rsidR="00000000" w:rsidRPr="00000000">
        <w:rPr>
          <w:sz w:val="24"/>
          <w:szCs w:val="24"/>
          <w:rtl w:val="0"/>
        </w:rPr>
        <w:t xml:space="preserve">. https://doi.org/10.1007/s11135-026-02570-y</w:t>
      </w:r>
    </w:p>
    <w:p w:rsidR="00000000" w:rsidDel="00000000" w:rsidP="00000000" w:rsidRDefault="00000000" w:rsidRPr="00000000" w14:paraId="000000CC">
      <w:pPr>
        <w:spacing w:line="360" w:lineRule="auto"/>
        <w:ind w:left="720" w:hanging="720"/>
        <w:jc w:val="both"/>
        <w:rPr>
          <w:sz w:val="24"/>
          <w:szCs w:val="24"/>
        </w:rPr>
      </w:pPr>
      <w:r w:rsidDel="00000000" w:rsidR="00000000" w:rsidRPr="00000000">
        <w:rPr>
          <w:sz w:val="24"/>
          <w:szCs w:val="24"/>
          <w:rtl w:val="0"/>
        </w:rPr>
        <w:t xml:space="preserve">Yung, R., Khoo-Lattimore, C., &amp; Potter, L. E. (2021). VR the world: Experimenting with emotion and presence for tourism marketing. </w:t>
      </w:r>
      <w:r w:rsidDel="00000000" w:rsidR="00000000" w:rsidRPr="00000000">
        <w:rPr>
          <w:i w:val="1"/>
          <w:iCs w:val="1"/>
          <w:sz w:val="24"/>
          <w:szCs w:val="24"/>
          <w:rtl w:val="0"/>
        </w:rPr>
        <w:t xml:space="preserve">Journal of Hospitality and Tourism Management</w:t>
      </w:r>
      <w:r w:rsidDel="00000000" w:rsidR="00000000" w:rsidRPr="00000000">
        <w:rPr>
          <w:sz w:val="24"/>
          <w:szCs w:val="24"/>
          <w:rtl w:val="0"/>
        </w:rPr>
        <w:t xml:space="preserve">, 46, 160–171. https://doi.org/10.1016/j.jhtm.2020.11.009</w:t>
      </w:r>
    </w:p>
    <w:p w:rsidR="00000000" w:rsidDel="00000000" w:rsidP="00000000" w:rsidRDefault="00000000" w:rsidRPr="00000000" w14:paraId="000000CD">
      <w:pPr>
        <w:spacing w:line="360" w:lineRule="auto"/>
        <w:ind w:left="720" w:hanging="720"/>
        <w:jc w:val="both"/>
        <w:rPr>
          <w:sz w:val="24"/>
          <w:szCs w:val="24"/>
        </w:rPr>
      </w:pPr>
      <w:r w:rsidDel="00000000" w:rsidR="00000000" w:rsidRPr="00000000">
        <w:rPr>
          <w:sz w:val="24"/>
          <w:szCs w:val="24"/>
          <w:rtl w:val="0"/>
        </w:rPr>
        <w:t xml:space="preserve">Zhang, C. X., Fong, L. H. N., &amp; Li, S. (2019). Co-creation experience and place attachment: Festival evaluation. </w:t>
      </w:r>
      <w:r w:rsidDel="00000000" w:rsidR="00000000" w:rsidRPr="00000000">
        <w:rPr>
          <w:i w:val="1"/>
          <w:iCs w:val="1"/>
          <w:sz w:val="24"/>
          <w:szCs w:val="24"/>
          <w:rtl w:val="0"/>
        </w:rPr>
        <w:t xml:space="preserve">International Journal of Hospitality Management</w:t>
      </w:r>
      <w:r w:rsidDel="00000000" w:rsidR="00000000" w:rsidRPr="00000000">
        <w:rPr>
          <w:sz w:val="24"/>
          <w:szCs w:val="24"/>
          <w:rtl w:val="0"/>
        </w:rPr>
        <w:t xml:space="preserve">, 81, 193. https://doi.org/10.1016/j.ijhm.2019.04.013</w:t>
      </w:r>
    </w:p>
    <w:p w:rsidR="00000000" w:rsidDel="00000000" w:rsidP="00000000" w:rsidRDefault="00000000" w:rsidRPr="00000000" w14:paraId="000000CE">
      <w:pPr>
        <w:spacing w:line="360" w:lineRule="auto"/>
        <w:ind w:left="720" w:hanging="720"/>
        <w:jc w:val="both"/>
        <w:rPr>
          <w:sz w:val="24"/>
          <w:szCs w:val="24"/>
        </w:rPr>
      </w:pPr>
      <w:r w:rsidDel="00000000" w:rsidR="00000000" w:rsidRPr="00000000">
        <w:rPr>
          <w:sz w:val="24"/>
          <w:szCs w:val="24"/>
          <w:rtl w:val="0"/>
        </w:rPr>
        <w:t xml:space="preserve">Zhang, S.-N., &amp; Deng, F. (2022). Innovation and authenticity: Constructing tourists’ subjective well-being in festival tourism. </w:t>
      </w:r>
      <w:r w:rsidDel="00000000" w:rsidR="00000000" w:rsidRPr="00000000">
        <w:rPr>
          <w:i w:val="1"/>
          <w:iCs w:val="1"/>
          <w:sz w:val="24"/>
          <w:szCs w:val="24"/>
          <w:rtl w:val="0"/>
        </w:rPr>
        <w:t xml:space="preserve">Frontiers in Psychology</w:t>
      </w:r>
      <w:r w:rsidDel="00000000" w:rsidR="00000000" w:rsidRPr="00000000">
        <w:rPr>
          <w:sz w:val="24"/>
          <w:szCs w:val="24"/>
          <w:rtl w:val="0"/>
        </w:rPr>
        <w:t xml:space="preserve">, 13. https://doi.org/10.3389/fpsyg.2022.950024</w:t>
      </w:r>
    </w:p>
    <w:p w:rsidR="00000000" w:rsidDel="00000000" w:rsidP="00000000" w:rsidRDefault="00000000" w:rsidRPr="00000000" w14:paraId="000000CF">
      <w:pPr>
        <w:spacing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jc w:val="both"/>
        <w:rPr>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msonormal0" w:customStyle="1">
    <w:name w:val="msonormal"/>
    <w:basedOn w:val="Normal"/>
    <w:rsid w:val="00E84C04"/>
    <w:pPr>
      <w:spacing w:after="100" w:afterAutospacing="1" w:before="100" w:beforeAutospacing="1" w:line="240" w:lineRule="auto"/>
    </w:pPr>
    <w:rPr>
      <w:rFonts w:ascii="Times New Roman" w:cs="Times New Roman" w:eastAsia="Times New Roman" w:hAnsi="Times New Roman"/>
      <w:sz w:val="24"/>
      <w:szCs w:val="24"/>
      <w:lang w:eastAsia="es-ES_tradnl" w:val="es-ES"/>
    </w:rPr>
  </w:style>
  <w:style w:type="paragraph" w:styleId="NormalWeb">
    <w:name w:val="Normal (Web)"/>
    <w:basedOn w:val="Normal"/>
    <w:uiPriority w:val="99"/>
    <w:unhideWhenUsed w:val="1"/>
    <w:rsid w:val="00E84C04"/>
    <w:pPr>
      <w:spacing w:after="100" w:afterAutospacing="1" w:before="100" w:beforeAutospacing="1" w:line="240" w:lineRule="auto"/>
    </w:pPr>
    <w:rPr>
      <w:rFonts w:ascii="Times New Roman" w:cs="Times New Roman" w:eastAsia="Times New Roman" w:hAnsi="Times New Roman"/>
      <w:sz w:val="24"/>
      <w:szCs w:val="24"/>
      <w:lang w:eastAsia="es-ES_tradnl" w:val="es-ES"/>
    </w:rPr>
  </w:style>
  <w:style w:type="character" w:styleId="Hipervnculo">
    <w:name w:val="Hyperlink"/>
    <w:basedOn w:val="Fuentedeprrafopredeter"/>
    <w:uiPriority w:val="99"/>
    <w:unhideWhenUsed w:val="1"/>
    <w:rsid w:val="00E84C04"/>
    <w:rPr>
      <w:color w:val="0000ff"/>
      <w:u w:val="single"/>
    </w:rPr>
  </w:style>
  <w:style w:type="character" w:styleId="Hipervnculovisitado">
    <w:name w:val="FollowedHyperlink"/>
    <w:basedOn w:val="Fuentedeprrafopredeter"/>
    <w:uiPriority w:val="99"/>
    <w:semiHidden w:val="1"/>
    <w:unhideWhenUsed w:val="1"/>
    <w:rsid w:val="00E84C04"/>
    <w:rPr>
      <w:color w:val="800080"/>
      <w:u w:val="single"/>
    </w:rPr>
  </w:style>
  <w:style w:type="character" w:styleId="apple-tab-span" w:customStyle="1">
    <w:name w:val="apple-tab-span"/>
    <w:basedOn w:val="Fuentedeprrafopredeter"/>
    <w:rsid w:val="00E84C04"/>
  </w:style>
  <w:style w:type="character" w:styleId="Mencinsinresolver">
    <w:name w:val="Unresolved Mention"/>
    <w:basedOn w:val="Fuentedeprrafopredeter"/>
    <w:uiPriority w:val="99"/>
    <w:semiHidden w:val="1"/>
    <w:unhideWhenUsed w:val="1"/>
    <w:rsid w:val="0052314D"/>
    <w:rPr>
      <w:color w:val="605e5c"/>
      <w:shd w:color="auto" w:fill="e1dfdd" w:val="clear"/>
    </w:rPr>
  </w:style>
  <w:style w:type="paragraph" w:styleId="z-Principiodelformulario">
    <w:name w:val="HTML Top of Form"/>
    <w:basedOn w:val="Normal"/>
    <w:next w:val="Normal"/>
    <w:link w:val="z-PrincipiodelformularioCar"/>
    <w:hidden w:val="1"/>
    <w:uiPriority w:val="99"/>
    <w:semiHidden w:val="1"/>
    <w:unhideWhenUsed w:val="1"/>
    <w:rsid w:val="00823B34"/>
    <w:pPr>
      <w:pBdr>
        <w:bottom w:color="auto" w:space="1" w:sz="6" w:val="single"/>
      </w:pBdr>
      <w:spacing w:after="0" w:line="240" w:lineRule="auto"/>
      <w:jc w:val="center"/>
    </w:pPr>
    <w:rPr>
      <w:rFonts w:cs="Arial" w:eastAsia="Times New Roman"/>
      <w:vanish w:val="1"/>
      <w:sz w:val="16"/>
      <w:szCs w:val="16"/>
      <w:lang w:eastAsia="es-ES_tradnl" w:val="es-ES"/>
    </w:rPr>
  </w:style>
  <w:style w:type="character" w:styleId="z-PrincipiodelformularioCar" w:customStyle="1">
    <w:name w:val="z-Principio del formulario Car"/>
    <w:basedOn w:val="Fuentedeprrafopredeter"/>
    <w:link w:val="z-Principiodelformulario"/>
    <w:uiPriority w:val="99"/>
    <w:semiHidden w:val="1"/>
    <w:rsid w:val="00823B34"/>
    <w:rPr>
      <w:rFonts w:ascii="Arial" w:cs="Arial" w:eastAsia="Times New Roman" w:hAnsi="Arial"/>
      <w:vanish w:val="1"/>
      <w:sz w:val="16"/>
      <w:szCs w:val="16"/>
      <w:lang w:eastAsia="es-ES_tradnl" w:val="es-ES"/>
    </w:rPr>
  </w:style>
  <w:style w:type="paragraph" w:styleId="placeholder" w:customStyle="1">
    <w:name w:val="placeholder"/>
    <w:basedOn w:val="Normal"/>
    <w:rsid w:val="00823B34"/>
    <w:pPr>
      <w:spacing w:after="100" w:afterAutospacing="1" w:before="100" w:beforeAutospacing="1" w:line="240" w:lineRule="auto"/>
    </w:pPr>
    <w:rPr>
      <w:rFonts w:ascii="Times New Roman" w:cs="Times New Roman" w:eastAsia="Times New Roman" w:hAnsi="Times New Roman"/>
      <w:sz w:val="24"/>
      <w:szCs w:val="24"/>
      <w:lang w:eastAsia="es-ES_tradnl" w:val="es-ES"/>
    </w:rPr>
  </w:style>
  <w:style w:type="paragraph" w:styleId="z-Finaldelformulario">
    <w:name w:val="HTML Bottom of Form"/>
    <w:basedOn w:val="Normal"/>
    <w:next w:val="Normal"/>
    <w:link w:val="z-FinaldelformularioCar"/>
    <w:hidden w:val="1"/>
    <w:uiPriority w:val="99"/>
    <w:semiHidden w:val="1"/>
    <w:unhideWhenUsed w:val="1"/>
    <w:rsid w:val="00823B34"/>
    <w:pPr>
      <w:pBdr>
        <w:top w:color="auto" w:space="1" w:sz="6" w:val="single"/>
      </w:pBdr>
      <w:spacing w:after="0" w:line="240" w:lineRule="auto"/>
      <w:jc w:val="center"/>
    </w:pPr>
    <w:rPr>
      <w:rFonts w:cs="Arial" w:eastAsia="Times New Roman"/>
      <w:vanish w:val="1"/>
      <w:sz w:val="16"/>
      <w:szCs w:val="16"/>
      <w:lang w:eastAsia="es-ES_tradnl" w:val="es-ES"/>
    </w:rPr>
  </w:style>
  <w:style w:type="character" w:styleId="z-FinaldelformularioCar" w:customStyle="1">
    <w:name w:val="z-Final del formulario Car"/>
    <w:basedOn w:val="Fuentedeprrafopredeter"/>
    <w:link w:val="z-Finaldelformulario"/>
    <w:uiPriority w:val="99"/>
    <w:semiHidden w:val="1"/>
    <w:rsid w:val="00823B34"/>
    <w:rPr>
      <w:rFonts w:ascii="Arial" w:cs="Arial" w:eastAsia="Times New Roman" w:hAnsi="Arial"/>
      <w:vanish w:val="1"/>
      <w:sz w:val="16"/>
      <w:szCs w:val="16"/>
      <w:lang w:eastAsia="es-ES_tradnl" w:val="es-ES"/>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AGKMxyAd98r1Qos9kkTiXlXhA==">CgMxLjAaJAoBMBIfCh0IB0IZCgVBcmlhbBIQQXJpYWwgVW5pY29kZSBNUxokCgExEh8KHQgHQhkKBUFyaWFsEhBBcmlhbCBVbmljb2RlIE1TOAByITFFc25CMW56N2RtSzZzcG9fblhxWTNINGVxOXlPUmE4MQ==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2026-03-11T16:30:00Z</dcterms:created>
  <dc:creator>python-docx</dc:creator>
</cp:coreProperties>
</file>