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56323" w:rsidRPr="00556323" w:rsidRDefault="00556323" w:rsidP="00556323">
      <w:r w:rsidRPr="00556323">
        <w:rPr>
          <w:b/>
          <w:sz w:val="28"/>
        </w:rPr>
        <w:t xml:space="preserve">How Digital Mediation Shapes Loyalty in Festival </w:t>
      </w:r>
      <w:proofErr w:type="spellStart"/>
      <w:r w:rsidRPr="00556323">
        <w:rPr>
          <w:b/>
          <w:sz w:val="28"/>
        </w:rPr>
        <w:t>Experiencescapes</w:t>
      </w:r>
      <w:proofErr w:type="spellEnd"/>
      <w:r w:rsidRPr="00556323">
        <w:rPr>
          <w:b/>
          <w:sz w:val="28"/>
        </w:rPr>
        <w:t xml:space="preserve"> Through Personalization and Immersion</w:t>
      </w:r>
    </w:p>
    <w:p w:rsidR="005B7A4F" w:rsidRDefault="005B7A4F" w:rsidP="005B7A4F">
      <w:pPr>
        <w:pStyle w:val="Abstract"/>
      </w:pPr>
      <w:r>
        <w:t xml:space="preserve">Festivals are </w:t>
      </w:r>
      <w:r w:rsidRPr="005B7A4F">
        <w:t xml:space="preserve">increasingly experienced through hybrid infrastructures in which physical co-presence is intertwined with digital touchpoints. This paper examines how smart festival technologies become meaningful within digitally mediated festival </w:t>
      </w:r>
      <w:proofErr w:type="spellStart"/>
      <w:r w:rsidRPr="005B7A4F">
        <w:t>experiencescapes</w:t>
      </w:r>
      <w:proofErr w:type="spellEnd"/>
      <w:r w:rsidRPr="005B7A4F">
        <w:t xml:space="preserve"> and how they shape post-experiential outcomes. Drawing on survey data from 216 festival attendees with direct prior use of smart or emerging technologies, the study uses covariance-based structural equation modelling to test a model linking perceived usefulness, trust in smart technologies, and privacy concerns to perceived personalization, immersive experience, and </w:t>
      </w:r>
      <w:proofErr w:type="spellStart"/>
      <w:r w:rsidRPr="005B7A4F">
        <w:t>behavioral</w:t>
      </w:r>
      <w:proofErr w:type="spellEnd"/>
      <w:r w:rsidRPr="005B7A4F">
        <w:t xml:space="preserve"> loyalty intention. The findings show that perceived usefulness and trust positively influence perceived personalization, which in turn strengthens immersive experience and, ultimately, loyalty-related intentions. Privacy concerns do not significantly reduce perceived personalization in this sample. The paper argues that the value of smart festival technologies lies less in technological novelty itself than in their capacity to make the festival environment feel more relevant</w:t>
      </w:r>
      <w:r>
        <w:t xml:space="preserve">, navigable, and emotionally engaging. In doing so, it contributes by positioning smart festival technologies as a mediating layer within the festival </w:t>
      </w:r>
      <w:proofErr w:type="spellStart"/>
      <w:r>
        <w:t>experiencescape</w:t>
      </w:r>
      <w:proofErr w:type="spellEnd"/>
      <w:r>
        <w:t xml:space="preserve"> and by showing how personalization and immersion operate as key mechanisms linking technology evaluations to loyalty.</w:t>
      </w:r>
    </w:p>
    <w:p w:rsidR="0020415E" w:rsidRPr="005B7A4F" w:rsidRDefault="00997B0F" w:rsidP="00F30DFF">
      <w:pPr>
        <w:pStyle w:val="Keywords"/>
      </w:pPr>
      <w:r>
        <w:t>Key</w:t>
      </w:r>
      <w:r w:rsidRPr="005B7A4F">
        <w:t xml:space="preserve">words: </w:t>
      </w:r>
      <w:r w:rsidR="005B7A4F">
        <w:rPr>
          <w:color w:val="000000"/>
        </w:rPr>
        <w:t xml:space="preserve">smart festival technologies; festival </w:t>
      </w:r>
      <w:proofErr w:type="spellStart"/>
      <w:r w:rsidR="005B7A4F">
        <w:rPr>
          <w:color w:val="000000"/>
        </w:rPr>
        <w:t>experiencescape</w:t>
      </w:r>
      <w:proofErr w:type="spellEnd"/>
      <w:r w:rsidR="005B7A4F">
        <w:rPr>
          <w:color w:val="000000"/>
        </w:rPr>
        <w:t>; personalization; immersive experience; loyalty; digital mediation</w:t>
      </w:r>
    </w:p>
    <w:p w:rsidR="00B927D2" w:rsidRDefault="00B927D2" w:rsidP="00170F22">
      <w:pPr>
        <w:pStyle w:val="Ttulo1"/>
        <w:rPr>
          <w:lang w:val="en-US" w:eastAsia="es-ES_tradnl"/>
        </w:rPr>
      </w:pPr>
      <w:r>
        <w:rPr>
          <w:lang w:val="en-US" w:eastAsia="es-ES_tradnl"/>
        </w:rPr>
        <w:t>Introduction</w:t>
      </w:r>
    </w:p>
    <w:p w:rsidR="00853765" w:rsidRPr="00853765" w:rsidRDefault="00057A16" w:rsidP="00853765">
      <w:pPr>
        <w:pStyle w:val="Paragraph"/>
        <w:rPr>
          <w:lang w:val="en-US" w:eastAsia="es-ES_tradnl"/>
        </w:rPr>
      </w:pPr>
      <w:r>
        <w:t xml:space="preserve">Festivals are increasingly experienced through hybrid infrastructures that combine physical co-presence with digitally mediated event </w:t>
      </w:r>
      <w:r w:rsidRPr="003D3C59">
        <w:rPr>
          <w:color w:val="000000" w:themeColor="text1"/>
        </w:rPr>
        <w:t>systems (Ryan et al., 2020)</w:t>
      </w:r>
      <w:r w:rsidR="00853765" w:rsidRPr="003D3C59">
        <w:rPr>
          <w:color w:val="000000" w:themeColor="text1"/>
          <w:lang w:val="en-US" w:eastAsia="es-ES_tradnl"/>
        </w:rPr>
        <w:t xml:space="preserve">. </w:t>
      </w:r>
      <w:r w:rsidR="00853765" w:rsidRPr="00853765">
        <w:rPr>
          <w:lang w:val="en-US" w:eastAsia="es-ES_tradnl"/>
        </w:rPr>
        <w:t xml:space="preserve">In these settings, technology does not merely support transactions or logistics; it shapes how attendees move through the venue, make decisions, discover content, and engage with the event environment in real </w:t>
      </w:r>
      <w:r w:rsidR="00853765" w:rsidRPr="00057A16">
        <w:rPr>
          <w:color w:val="000000" w:themeColor="text1"/>
          <w:lang w:val="en-US" w:eastAsia="es-ES_tradnl"/>
        </w:rPr>
        <w:t>time</w:t>
      </w:r>
      <w:r w:rsidRPr="00057A16">
        <w:rPr>
          <w:color w:val="000000" w:themeColor="text1"/>
          <w:lang w:val="en-US" w:eastAsia="es-ES_tradnl"/>
        </w:rPr>
        <w:t xml:space="preserve"> (</w:t>
      </w:r>
      <w:r>
        <w:rPr>
          <w:color w:val="000000" w:themeColor="text1"/>
          <w:lang w:val="en-US" w:eastAsia="es-ES_tradnl"/>
        </w:rPr>
        <w:t xml:space="preserve">Hudson &amp; Hudson, 2013; </w:t>
      </w:r>
      <w:proofErr w:type="spellStart"/>
      <w:r w:rsidRPr="00057A16">
        <w:rPr>
          <w:color w:val="000000" w:themeColor="text1"/>
          <w:lang w:val="en-US" w:eastAsia="es-ES_tradnl"/>
        </w:rPr>
        <w:t>Dieck</w:t>
      </w:r>
      <w:proofErr w:type="spellEnd"/>
      <w:r w:rsidRPr="00057A16">
        <w:rPr>
          <w:color w:val="000000" w:themeColor="text1"/>
          <w:lang w:val="en-US" w:eastAsia="es-ES_tradnl"/>
        </w:rPr>
        <w:t xml:space="preserve"> et al., 2021)</w:t>
      </w:r>
      <w:r w:rsidR="00853765" w:rsidRPr="00057A16">
        <w:rPr>
          <w:color w:val="000000" w:themeColor="text1"/>
          <w:lang w:val="en-US" w:eastAsia="es-ES_tradnl"/>
        </w:rPr>
        <w:t xml:space="preserve">. </w:t>
      </w:r>
      <w:r w:rsidR="00853765" w:rsidRPr="00853765">
        <w:rPr>
          <w:lang w:val="en-US" w:eastAsia="es-ES_tradnl"/>
        </w:rPr>
        <w:t xml:space="preserve">This is especially important in festival contexts, where participation is temporally </w:t>
      </w:r>
      <w:r w:rsidR="00853765" w:rsidRPr="00853765">
        <w:rPr>
          <w:lang w:val="en-US" w:eastAsia="es-ES_tradnl"/>
        </w:rPr>
        <w:lastRenderedPageBreak/>
        <w:t xml:space="preserve">compressed, spatially distributed, and often </w:t>
      </w:r>
      <w:proofErr w:type="spellStart"/>
      <w:r w:rsidR="00853765" w:rsidRPr="00853765">
        <w:rPr>
          <w:lang w:val="en-US" w:eastAsia="es-ES_tradnl"/>
        </w:rPr>
        <w:t>characterised</w:t>
      </w:r>
      <w:proofErr w:type="spellEnd"/>
      <w:r w:rsidR="00853765" w:rsidRPr="00853765">
        <w:rPr>
          <w:lang w:val="en-US" w:eastAsia="es-ES_tradnl"/>
        </w:rPr>
        <w:t xml:space="preserve"> by simultaneity, crowding, and rapid micro-decisions. From this perspective, festivals can be understood as digitally mediated </w:t>
      </w:r>
      <w:proofErr w:type="spellStart"/>
      <w:r w:rsidR="00853765" w:rsidRPr="00853765">
        <w:rPr>
          <w:lang w:val="en-US" w:eastAsia="es-ES_tradnl"/>
        </w:rPr>
        <w:t>experiencescapes</w:t>
      </w:r>
      <w:proofErr w:type="spellEnd"/>
      <w:r w:rsidR="00853765" w:rsidRPr="00853765">
        <w:rPr>
          <w:lang w:val="en-US" w:eastAsia="es-ES_tradnl"/>
        </w:rPr>
        <w:t xml:space="preserve"> in which technological systems increasingly participate in the production of attention, movement, interaction, and affective engagement (Chen et al., 2025; </w:t>
      </w:r>
      <w:proofErr w:type="spellStart"/>
      <w:r w:rsidR="00853765" w:rsidRPr="00853765">
        <w:rPr>
          <w:lang w:val="en-US" w:eastAsia="es-ES_tradnl"/>
        </w:rPr>
        <w:t>Cimbaljević</w:t>
      </w:r>
      <w:proofErr w:type="spellEnd"/>
      <w:r w:rsidR="00853765" w:rsidRPr="00853765">
        <w:rPr>
          <w:lang w:val="en-US" w:eastAsia="es-ES_tradnl"/>
        </w:rPr>
        <w:t xml:space="preserve"> et al., 2021; </w:t>
      </w:r>
      <w:proofErr w:type="spellStart"/>
      <w:r w:rsidR="00853765" w:rsidRPr="00853765">
        <w:rPr>
          <w:lang w:val="en-US" w:eastAsia="es-ES_tradnl"/>
        </w:rPr>
        <w:t>Mieli</w:t>
      </w:r>
      <w:proofErr w:type="spellEnd"/>
      <w:r w:rsidR="00853765" w:rsidRPr="00853765">
        <w:rPr>
          <w:lang w:val="en-US" w:eastAsia="es-ES_tradnl"/>
        </w:rPr>
        <w:t xml:space="preserve"> et al., 2024; Sinanan &amp; Ritter, 2024).</w:t>
      </w:r>
    </w:p>
    <w:p w:rsidR="00853765" w:rsidRPr="00853765" w:rsidRDefault="00853765" w:rsidP="00853765">
      <w:pPr>
        <w:pStyle w:val="Newparagraph"/>
        <w:rPr>
          <w:lang w:val="en-US" w:eastAsia="es-ES_tradnl"/>
        </w:rPr>
      </w:pPr>
      <w:r w:rsidRPr="00853765">
        <w:rPr>
          <w:lang w:val="en-US" w:eastAsia="es-ES_tradnl"/>
        </w:rPr>
        <w:t xml:space="preserve">Despite growing research on tourism and event technologies, two limitations remain. On the one hand, technology-oriented studies have often treated adoption-related beliefs, such as usefulness, trust, and perceived risk, as outcomes in themselves. On the other hand, </w:t>
      </w:r>
      <w:proofErr w:type="spellStart"/>
      <w:r w:rsidRPr="00853765">
        <w:rPr>
          <w:lang w:val="en-US" w:eastAsia="es-ES_tradnl"/>
        </w:rPr>
        <w:t>experiencescape</w:t>
      </w:r>
      <w:proofErr w:type="spellEnd"/>
      <w:r w:rsidRPr="00853765">
        <w:rPr>
          <w:lang w:val="en-US" w:eastAsia="es-ES_tradnl"/>
        </w:rPr>
        <w:t xml:space="preserve">-oriented work has more strongly </w:t>
      </w:r>
      <w:proofErr w:type="spellStart"/>
      <w:r w:rsidRPr="00853765">
        <w:rPr>
          <w:lang w:val="en-US" w:eastAsia="es-ES_tradnl"/>
        </w:rPr>
        <w:t>emphasised</w:t>
      </w:r>
      <w:proofErr w:type="spellEnd"/>
      <w:r w:rsidRPr="00853765">
        <w:rPr>
          <w:lang w:val="en-US" w:eastAsia="es-ES_tradnl"/>
        </w:rPr>
        <w:t xml:space="preserve"> experiential quality, immersion, and loyalty, but has not always modelled the technological conditions through which those outcomes emerge. This leaves an important gap in understanding how evaluations of smart festival technologies become translated into situated experiential mechanisms within the festival </w:t>
      </w:r>
      <w:proofErr w:type="spellStart"/>
      <w:r w:rsidRPr="00853765">
        <w:rPr>
          <w:lang w:val="en-US" w:eastAsia="es-ES_tradnl"/>
        </w:rPr>
        <w:t>experiencescape</w:t>
      </w:r>
      <w:proofErr w:type="spellEnd"/>
      <w:r w:rsidRPr="00853765">
        <w:rPr>
          <w:lang w:val="en-US" w:eastAsia="es-ES_tradnl"/>
        </w:rPr>
        <w:t>, particularly through perceived personalization and immersive experience (</w:t>
      </w:r>
      <w:proofErr w:type="spellStart"/>
      <w:r w:rsidRPr="00853765">
        <w:rPr>
          <w:lang w:val="en-US" w:eastAsia="es-ES_tradnl"/>
        </w:rPr>
        <w:t>Jeong</w:t>
      </w:r>
      <w:proofErr w:type="spellEnd"/>
      <w:r w:rsidRPr="00853765">
        <w:rPr>
          <w:lang w:val="en-US" w:eastAsia="es-ES_tradnl"/>
        </w:rPr>
        <w:t xml:space="preserve"> &amp; Shin, 2020; Sisson &amp; Alcorn, 2022).</w:t>
      </w:r>
    </w:p>
    <w:p w:rsidR="00853765" w:rsidRPr="00853765" w:rsidRDefault="00853765" w:rsidP="00853765">
      <w:pPr>
        <w:pStyle w:val="Newparagraph"/>
        <w:rPr>
          <w:lang w:val="en-US" w:eastAsia="es-ES_tradnl"/>
        </w:rPr>
      </w:pPr>
      <w:r w:rsidRPr="00853765">
        <w:rPr>
          <w:lang w:val="en-US" w:eastAsia="es-ES_tradnl"/>
        </w:rPr>
        <w:t>This gap matters because the value of smart festival technologies is not automatic. It depends on whether attendees perceive them as useful and trustworthy, and on whether data-related concerns undermine their legitimacy</w:t>
      </w:r>
      <w:r w:rsidR="00057A16">
        <w:rPr>
          <w:lang w:val="en-US" w:eastAsia="es-ES_tradnl"/>
        </w:rPr>
        <w:t xml:space="preserve"> (</w:t>
      </w:r>
      <w:proofErr w:type="spellStart"/>
      <w:r w:rsidR="00057A16">
        <w:rPr>
          <w:lang w:val="en-US" w:eastAsia="es-ES_tradnl"/>
        </w:rPr>
        <w:t>Hur</w:t>
      </w:r>
      <w:proofErr w:type="spellEnd"/>
      <w:r w:rsidR="00057A16">
        <w:rPr>
          <w:lang w:val="en-US" w:eastAsia="es-ES_tradnl"/>
        </w:rPr>
        <w:t xml:space="preserve"> et al., 2022)</w:t>
      </w:r>
      <w:r w:rsidRPr="00853765">
        <w:rPr>
          <w:lang w:val="en-US" w:eastAsia="es-ES_tradnl"/>
        </w:rPr>
        <w:t>. At the same time, personalization may be the key mechanism through which the smart layer becomes experientially meaningful, making the festival environment feel more relevant, navigable, and individually responsive</w:t>
      </w:r>
      <w:r w:rsidR="004A4D5E">
        <w:rPr>
          <w:lang w:val="en-US" w:eastAsia="es-ES_tradnl"/>
        </w:rPr>
        <w:t xml:space="preserve"> (Singh et al., 2021)</w:t>
      </w:r>
      <w:r w:rsidRPr="00853765">
        <w:rPr>
          <w:lang w:val="en-US" w:eastAsia="es-ES_tradnl"/>
        </w:rPr>
        <w:t>. Personalization may then intensify immersion, understood here as a deeper presence-in-place within the digitally mediated festival setting, while loyalty can be interpreted as a post-experiential outcome expressed through revisit and recommendation intentions</w:t>
      </w:r>
      <w:r w:rsidR="004A4D5E">
        <w:rPr>
          <w:lang w:val="en-US" w:eastAsia="es-ES_tradnl"/>
        </w:rPr>
        <w:t xml:space="preserve"> (</w:t>
      </w:r>
      <w:proofErr w:type="spellStart"/>
      <w:r w:rsidR="004A4D5E">
        <w:rPr>
          <w:lang w:val="en-US" w:eastAsia="es-ES_tradnl"/>
        </w:rPr>
        <w:t>Celuch</w:t>
      </w:r>
      <w:proofErr w:type="spellEnd"/>
      <w:r w:rsidR="004A4D5E">
        <w:rPr>
          <w:lang w:val="en-US" w:eastAsia="es-ES_tradnl"/>
        </w:rPr>
        <w:t>., 2021)</w:t>
      </w:r>
      <w:r w:rsidRPr="00853765">
        <w:rPr>
          <w:lang w:val="en-US" w:eastAsia="es-ES_tradnl"/>
        </w:rPr>
        <w:t xml:space="preserve">. </w:t>
      </w:r>
      <w:r w:rsidRPr="00853765">
        <w:rPr>
          <w:lang w:val="en-US" w:eastAsia="es-ES_tradnl"/>
        </w:rPr>
        <w:lastRenderedPageBreak/>
        <w:t xml:space="preserve">Recent festival research has begun to show that AI-enabled technologies can influence post-event outcomes such as </w:t>
      </w:r>
      <w:proofErr w:type="spellStart"/>
      <w:r w:rsidRPr="00853765">
        <w:rPr>
          <w:lang w:val="en-US" w:eastAsia="es-ES_tradnl"/>
        </w:rPr>
        <w:t>eWOM</w:t>
      </w:r>
      <w:proofErr w:type="spellEnd"/>
      <w:r w:rsidRPr="00853765">
        <w:rPr>
          <w:lang w:val="en-US" w:eastAsia="es-ES_tradnl"/>
        </w:rPr>
        <w:t xml:space="preserve">, memorable experiences, and well-being, yet the sequential pathway through which technology evaluations shape personalization, immersion, and loyalty in festival </w:t>
      </w:r>
      <w:proofErr w:type="spellStart"/>
      <w:r w:rsidRPr="00853765">
        <w:rPr>
          <w:lang w:val="en-US" w:eastAsia="es-ES_tradnl"/>
        </w:rPr>
        <w:t>experiencescapes</w:t>
      </w:r>
      <w:proofErr w:type="spellEnd"/>
      <w:r w:rsidRPr="00853765">
        <w:rPr>
          <w:lang w:val="en-US" w:eastAsia="es-ES_tradnl"/>
        </w:rPr>
        <w:t xml:space="preserve"> remains underexplored (Lopes et al., 2026).</w:t>
      </w:r>
    </w:p>
    <w:p w:rsidR="00853765" w:rsidRPr="00853765" w:rsidRDefault="00853765" w:rsidP="00853765">
      <w:pPr>
        <w:pStyle w:val="Newparagraph"/>
        <w:rPr>
          <w:lang w:val="en-US" w:eastAsia="es-ES_tradnl"/>
        </w:rPr>
      </w:pPr>
      <w:r w:rsidRPr="00853765">
        <w:rPr>
          <w:lang w:val="en-US" w:eastAsia="es-ES_tradnl"/>
        </w:rPr>
        <w:t xml:space="preserve">To address this gap, this study develops and tests a covariance-based structural equation model linking perceived usefulness, trust in smart festival technologies, and privacy concerns to perceived personalization, immersive experience, and behavioral loyalty intention. </w:t>
      </w:r>
      <w:r w:rsidR="004A4D5E">
        <w:rPr>
          <w:lang w:val="en-US" w:eastAsia="es-ES_tradnl"/>
        </w:rPr>
        <w:t>T</w:t>
      </w:r>
      <w:r w:rsidRPr="00853765">
        <w:rPr>
          <w:lang w:val="en-US" w:eastAsia="es-ES_tradnl"/>
        </w:rPr>
        <w:t>he study contributes by shifting attention from technology adoption as an end in itself toward a more experiential and spatial account of how smart festival infrastructures become meaningful through personalization and immersion.</w:t>
      </w:r>
    </w:p>
    <w:p w:rsidR="00170F22" w:rsidRPr="00170F22" w:rsidRDefault="00170F22" w:rsidP="00170F22">
      <w:pPr>
        <w:pStyle w:val="Ttulo1"/>
        <w:rPr>
          <w:lang w:val="en-US" w:eastAsia="es-ES_tradnl"/>
        </w:rPr>
      </w:pPr>
      <w:r w:rsidRPr="00170F22">
        <w:rPr>
          <w:lang w:val="en-US" w:eastAsia="es-ES_tradnl"/>
        </w:rPr>
        <w:t>Literature review and hypotheses development</w:t>
      </w:r>
    </w:p>
    <w:p w:rsidR="00170F22" w:rsidRPr="00170F22" w:rsidRDefault="00170F22" w:rsidP="00170F22">
      <w:pPr>
        <w:pStyle w:val="Ttulo2"/>
        <w:rPr>
          <w:lang w:val="en-US" w:eastAsia="es-ES_tradnl"/>
        </w:rPr>
      </w:pPr>
      <w:r w:rsidRPr="00170F22">
        <w:rPr>
          <w:lang w:val="en-US" w:eastAsia="es-ES_tradnl"/>
        </w:rPr>
        <w:t xml:space="preserve">Festivals as </w:t>
      </w:r>
      <w:proofErr w:type="spellStart"/>
      <w:r w:rsidRPr="00170F22">
        <w:rPr>
          <w:lang w:val="en-US" w:eastAsia="es-ES_tradnl"/>
        </w:rPr>
        <w:t>experiencescapes</w:t>
      </w:r>
      <w:proofErr w:type="spellEnd"/>
      <w:r w:rsidRPr="00170F22">
        <w:rPr>
          <w:lang w:val="en-US" w:eastAsia="es-ES_tradnl"/>
        </w:rPr>
        <w:t xml:space="preserve"> and temporary geographies</w:t>
      </w:r>
    </w:p>
    <w:p w:rsidR="00170F22" w:rsidRPr="00170F22" w:rsidRDefault="00170F22" w:rsidP="00170F22">
      <w:pPr>
        <w:pStyle w:val="Paragraph"/>
        <w:rPr>
          <w:lang w:val="en-US" w:eastAsia="es-ES_tradnl"/>
        </w:rPr>
      </w:pPr>
      <w:r w:rsidRPr="00170F22">
        <w:rPr>
          <w:lang w:val="en-US" w:eastAsia="es-ES_tradnl"/>
        </w:rPr>
        <w:t xml:space="preserve">Festivals are commonly </w:t>
      </w:r>
      <w:proofErr w:type="spellStart"/>
      <w:r w:rsidRPr="00170F22">
        <w:rPr>
          <w:lang w:val="en-US" w:eastAsia="es-ES_tradnl"/>
        </w:rPr>
        <w:t>theorised</w:t>
      </w:r>
      <w:proofErr w:type="spellEnd"/>
      <w:r w:rsidRPr="00170F22">
        <w:rPr>
          <w:lang w:val="en-US" w:eastAsia="es-ES_tradnl"/>
        </w:rPr>
        <w:t xml:space="preserve"> as temporary experiential environments where spatial design, social density and atmospheric cues co-produce intense, time-bounded encounters. In event-tourism terms, these settings operate as </w:t>
      </w:r>
      <w:proofErr w:type="spellStart"/>
      <w:r w:rsidRPr="00170F22">
        <w:rPr>
          <w:lang w:val="en-US" w:eastAsia="es-ES_tradnl"/>
        </w:rPr>
        <w:t>experiencescapes</w:t>
      </w:r>
      <w:proofErr w:type="spellEnd"/>
      <w:r w:rsidRPr="00170F22">
        <w:rPr>
          <w:lang w:val="en-US" w:eastAsia="es-ES_tradnl"/>
        </w:rPr>
        <w:t xml:space="preserve"> in which meaning is not merely delivered but co-created through participant interaction and situated practices (Chen et al., 2025; Sisson &amp; Alcorn, 2022). Building on the service environment tradition initiated by Bitner (1992), later work has argued for broader and more experiential readings of service environments that extend beyond purely physical surroundings to encompass more holistic constellations of stimuli and stakeholder experience (O’Dell, 2005; </w:t>
      </w:r>
      <w:proofErr w:type="spellStart"/>
      <w:r w:rsidRPr="00170F22">
        <w:rPr>
          <w:lang w:val="en-US" w:eastAsia="es-ES_tradnl"/>
        </w:rPr>
        <w:t>Pizam</w:t>
      </w:r>
      <w:proofErr w:type="spellEnd"/>
      <w:r w:rsidRPr="00170F22">
        <w:rPr>
          <w:lang w:val="en-US" w:eastAsia="es-ES_tradnl"/>
        </w:rPr>
        <w:t xml:space="preserve"> &amp; </w:t>
      </w:r>
      <w:proofErr w:type="spellStart"/>
      <w:r w:rsidRPr="00170F22">
        <w:rPr>
          <w:lang w:val="en-US" w:eastAsia="es-ES_tradnl"/>
        </w:rPr>
        <w:t>Tasci</w:t>
      </w:r>
      <w:proofErr w:type="spellEnd"/>
      <w:r w:rsidRPr="00170F22">
        <w:rPr>
          <w:lang w:val="en-US" w:eastAsia="es-ES_tradnl"/>
        </w:rPr>
        <w:t xml:space="preserve">, 2019). From this perspective, a </w:t>
      </w:r>
      <w:proofErr w:type="spellStart"/>
      <w:r w:rsidRPr="00170F22">
        <w:rPr>
          <w:lang w:val="en-US" w:eastAsia="es-ES_tradnl"/>
        </w:rPr>
        <w:t>festivalscape</w:t>
      </w:r>
      <w:proofErr w:type="spellEnd"/>
      <w:r w:rsidRPr="00170F22">
        <w:rPr>
          <w:lang w:val="en-US" w:eastAsia="es-ES_tradnl"/>
        </w:rPr>
        <w:t xml:space="preserve"> lens highlights how layout, symbolic design, social density and mediated touchpoints shape affective responses and downstream loyalty-related intentions (Sisson &amp; Alcorn, </w:t>
      </w:r>
      <w:r w:rsidRPr="00170F22">
        <w:rPr>
          <w:lang w:val="en-US" w:eastAsia="es-ES_tradnl"/>
        </w:rPr>
        <w:lastRenderedPageBreak/>
        <w:t>2022; Molina-Gómez et al., 2021). Crucially for a geographic reading, festivals are liminal and highly relational spaces in which participants temporarily rework identities, attachments and modes of presence in place (</w:t>
      </w:r>
      <w:proofErr w:type="spellStart"/>
      <w:r w:rsidRPr="00170F22">
        <w:rPr>
          <w:lang w:val="en-US" w:eastAsia="es-ES_tradnl"/>
        </w:rPr>
        <w:t>Jaimangal</w:t>
      </w:r>
      <w:proofErr w:type="spellEnd"/>
      <w:r w:rsidRPr="00170F22">
        <w:rPr>
          <w:lang w:val="en-US" w:eastAsia="es-ES_tradnl"/>
        </w:rPr>
        <w:t>-Jones et al., 2010; Wu et al., 2020). These socio-spatial dynamics provide the baseline against which digital mediation can either support co-creation or introduce new frictions</w:t>
      </w:r>
      <w:r w:rsidR="00FE24F9">
        <w:rPr>
          <w:lang w:val="en-US" w:eastAsia="es-ES_tradnl"/>
        </w:rPr>
        <w:t xml:space="preserve"> (</w:t>
      </w:r>
      <w:proofErr w:type="spellStart"/>
      <w:r w:rsidR="00FE24F9">
        <w:rPr>
          <w:lang w:val="en-US" w:eastAsia="es-ES_tradnl"/>
        </w:rPr>
        <w:t>Azara</w:t>
      </w:r>
      <w:proofErr w:type="spellEnd"/>
      <w:r w:rsidR="00FE24F9">
        <w:rPr>
          <w:lang w:val="en-US" w:eastAsia="es-ES_tradnl"/>
        </w:rPr>
        <w:t xml:space="preserve"> et al., 2023)</w:t>
      </w:r>
      <w:r w:rsidRPr="00170F22">
        <w:rPr>
          <w:lang w:val="en-US" w:eastAsia="es-ES_tradnl"/>
        </w:rPr>
        <w:t>.</w:t>
      </w:r>
    </w:p>
    <w:p w:rsidR="00170F22" w:rsidRPr="00170F22" w:rsidRDefault="00170F22" w:rsidP="00170F22">
      <w:pPr>
        <w:pStyle w:val="Ttulo2"/>
        <w:rPr>
          <w:lang w:val="en-US" w:eastAsia="es-ES_tradnl"/>
        </w:rPr>
      </w:pPr>
      <w:r w:rsidRPr="00170F22">
        <w:rPr>
          <w:lang w:val="en-US" w:eastAsia="es-ES_tradnl"/>
        </w:rPr>
        <w:t>Digital mediation and technology-facilitated engagement</w:t>
      </w:r>
    </w:p>
    <w:p w:rsidR="00170F22" w:rsidRPr="00170F22" w:rsidRDefault="00170F22" w:rsidP="00170F22">
      <w:pPr>
        <w:pStyle w:val="Paragraph"/>
        <w:rPr>
          <w:lang w:val="en-US" w:eastAsia="es-ES_tradnl"/>
        </w:rPr>
      </w:pPr>
      <w:r w:rsidRPr="00170F22">
        <w:rPr>
          <w:lang w:val="en-US" w:eastAsia="es-ES_tradnl"/>
        </w:rPr>
        <w:t xml:space="preserve">Recent research shows that digital infrastructures increasingly mediate event engagement across pre-event anticipation, in-event navigation, and post-event memory practices (Chen et al., 2025). In festivals, mobile and location-aware systems extend the experience beyond physical boundaries, enabling shared documentation and post-event connections, while smart infrastructures, such as apps, cashless payments, and real-time updates, influence on-site movement and coordination (Wood &amp; </w:t>
      </w:r>
      <w:proofErr w:type="spellStart"/>
      <w:r w:rsidRPr="00170F22">
        <w:rPr>
          <w:lang w:val="en-US" w:eastAsia="es-ES_tradnl"/>
        </w:rPr>
        <w:t>Kinnunen</w:t>
      </w:r>
      <w:proofErr w:type="spellEnd"/>
      <w:r w:rsidRPr="00170F22">
        <w:rPr>
          <w:lang w:val="en-US" w:eastAsia="es-ES_tradnl"/>
        </w:rPr>
        <w:t xml:space="preserve">, 2020; </w:t>
      </w:r>
      <w:proofErr w:type="spellStart"/>
      <w:r w:rsidRPr="00170F22">
        <w:rPr>
          <w:lang w:val="en-US" w:eastAsia="es-ES_tradnl"/>
        </w:rPr>
        <w:t>Cimbaljević</w:t>
      </w:r>
      <w:proofErr w:type="spellEnd"/>
      <w:r w:rsidRPr="00170F22">
        <w:rPr>
          <w:lang w:val="en-US" w:eastAsia="es-ES_tradnl"/>
        </w:rPr>
        <w:t xml:space="preserve"> et al., 2021</w:t>
      </w:r>
      <w:r w:rsidR="00853765">
        <w:rPr>
          <w:lang w:val="en-US" w:eastAsia="es-ES_tradnl"/>
        </w:rPr>
        <w:t xml:space="preserve">; </w:t>
      </w:r>
      <w:r w:rsidR="00853765">
        <w:rPr>
          <w:color w:val="000000"/>
        </w:rPr>
        <w:t>Duignan et al., 2018</w:t>
      </w:r>
      <w:r w:rsidRPr="00170F22">
        <w:rPr>
          <w:lang w:val="en-US" w:eastAsia="es-ES_tradnl"/>
        </w:rPr>
        <w:t>). </w:t>
      </w:r>
    </w:p>
    <w:p w:rsidR="00170F22" w:rsidRPr="00170F22" w:rsidRDefault="00FE24F9" w:rsidP="00170F22">
      <w:pPr>
        <w:pStyle w:val="Newparagraph"/>
        <w:rPr>
          <w:lang w:val="en-US" w:eastAsia="es-ES_tradnl"/>
        </w:rPr>
      </w:pPr>
      <w:r>
        <w:rPr>
          <w:lang w:val="en-US" w:eastAsia="es-ES_tradnl"/>
        </w:rPr>
        <w:t xml:space="preserve">Festivals </w:t>
      </w:r>
      <w:r w:rsidR="00170F22" w:rsidRPr="00170F22">
        <w:rPr>
          <w:lang w:val="en-US" w:eastAsia="es-ES_tradnl"/>
        </w:rPr>
        <w:t>settings</w:t>
      </w:r>
      <w:r>
        <w:rPr>
          <w:lang w:val="en-US" w:eastAsia="es-ES_tradnl"/>
        </w:rPr>
        <w:t xml:space="preserve"> are</w:t>
      </w:r>
      <w:r w:rsidR="00170F22" w:rsidRPr="00170F22">
        <w:rPr>
          <w:lang w:val="en-US" w:eastAsia="es-ES_tradnl"/>
        </w:rPr>
        <w:t xml:space="preserve"> marked by time-compressed, spatially distributed engagement amid crowding, simultaneity, and rapid micro-decisions. Here, technology supports coordination, reduces friction, and extends the experience across pre-event planning, on-site participation, and post-event interaction</w:t>
      </w:r>
      <w:r>
        <w:rPr>
          <w:lang w:val="en-US" w:eastAsia="es-ES_tradnl"/>
        </w:rPr>
        <w:t xml:space="preserve"> </w:t>
      </w:r>
      <w:r>
        <w:t>(Van Winkle et al., 2018)</w:t>
      </w:r>
      <w:r w:rsidR="00170F22" w:rsidRPr="00170F22">
        <w:rPr>
          <w:lang w:val="en-US" w:eastAsia="es-ES_tradnl"/>
        </w:rPr>
        <w:t xml:space="preserve">. </w:t>
      </w:r>
      <w:proofErr w:type="spellStart"/>
      <w:r w:rsidR="00170F22" w:rsidRPr="00170F22">
        <w:rPr>
          <w:lang w:val="en-US" w:eastAsia="es-ES_tradnl"/>
        </w:rPr>
        <w:t>Mieli</w:t>
      </w:r>
      <w:proofErr w:type="spellEnd"/>
      <w:r w:rsidR="00170F22" w:rsidRPr="00170F22">
        <w:rPr>
          <w:lang w:val="en-US" w:eastAsia="es-ES_tradnl"/>
        </w:rPr>
        <w:t xml:space="preserve"> et al. (2024) </w:t>
      </w:r>
      <w:proofErr w:type="spellStart"/>
      <w:r w:rsidR="00170F22" w:rsidRPr="00170F22">
        <w:rPr>
          <w:lang w:val="en-US" w:eastAsia="es-ES_tradnl"/>
        </w:rPr>
        <w:t>conceptualise</w:t>
      </w:r>
      <w:proofErr w:type="spellEnd"/>
      <w:r w:rsidR="00170F22" w:rsidRPr="00170F22">
        <w:rPr>
          <w:lang w:val="en-US" w:eastAsia="es-ES_tradnl"/>
        </w:rPr>
        <w:t xml:space="preserve"> this process as a </w:t>
      </w:r>
      <w:proofErr w:type="spellStart"/>
      <w:r w:rsidR="00170F22" w:rsidRPr="00170F22">
        <w:rPr>
          <w:lang w:val="en-US" w:eastAsia="es-ES_tradnl"/>
        </w:rPr>
        <w:t>phygital</w:t>
      </w:r>
      <w:proofErr w:type="spellEnd"/>
      <w:r w:rsidR="00170F22" w:rsidRPr="00170F22">
        <w:rPr>
          <w:lang w:val="en-US" w:eastAsia="es-ES_tradnl"/>
        </w:rPr>
        <w:t xml:space="preserve"> reconfiguration of tourist space-time, while Sinanan et al. (2024) show how emerging media technologies increasingly shape the ways visitors move through, interpret, and connect with places. </w:t>
      </w:r>
    </w:p>
    <w:p w:rsidR="00170F22" w:rsidRPr="00170F22" w:rsidRDefault="00170F22" w:rsidP="00170F22">
      <w:pPr>
        <w:pStyle w:val="Ttulo2"/>
        <w:rPr>
          <w:lang w:val="en-US" w:eastAsia="es-ES_tradnl"/>
        </w:rPr>
      </w:pPr>
      <w:r w:rsidRPr="00170F22">
        <w:rPr>
          <w:lang w:val="en-US" w:eastAsia="es-ES_tradnl"/>
        </w:rPr>
        <w:t xml:space="preserve">Technology evaluations as conditions of a smart </w:t>
      </w:r>
      <w:proofErr w:type="spellStart"/>
      <w:r w:rsidRPr="00170F22">
        <w:rPr>
          <w:lang w:val="en-US" w:eastAsia="es-ES_tradnl"/>
        </w:rPr>
        <w:t>experiencescape</w:t>
      </w:r>
      <w:proofErr w:type="spellEnd"/>
    </w:p>
    <w:p w:rsidR="00170F22" w:rsidRPr="00170F22" w:rsidRDefault="00170F22" w:rsidP="00170F22">
      <w:pPr>
        <w:pStyle w:val="Paragraph"/>
        <w:rPr>
          <w:lang w:val="en-US" w:eastAsia="es-ES_tradnl"/>
        </w:rPr>
      </w:pPr>
      <w:r w:rsidRPr="00170F22">
        <w:rPr>
          <w:lang w:val="en-US" w:eastAsia="es-ES_tradnl"/>
        </w:rPr>
        <w:t xml:space="preserve">In digitally mediated </w:t>
      </w:r>
      <w:proofErr w:type="spellStart"/>
      <w:r w:rsidRPr="00170F22">
        <w:rPr>
          <w:lang w:val="en-US" w:eastAsia="es-ES_tradnl"/>
        </w:rPr>
        <w:t>experiencescapes</w:t>
      </w:r>
      <w:proofErr w:type="spellEnd"/>
      <w:r w:rsidRPr="00170F22">
        <w:rPr>
          <w:lang w:val="en-US" w:eastAsia="es-ES_tradnl"/>
        </w:rPr>
        <w:t xml:space="preserve">, the value of technologies depends less on adoption itself than on participants' practical evaluations of their usefulness, trustworthiness, and data implications. Studies on technology-enhanced events and </w:t>
      </w:r>
      <w:r w:rsidRPr="00170F22">
        <w:rPr>
          <w:lang w:val="en-US" w:eastAsia="es-ES_tradnl"/>
        </w:rPr>
        <w:lastRenderedPageBreak/>
        <w:t>tourism show that engagement with smart systems is shaped not only by perceived benefits and enabling conditions, but also by concerns about data practices and technological risks (</w:t>
      </w:r>
      <w:proofErr w:type="spellStart"/>
      <w:r w:rsidRPr="00170F22">
        <w:rPr>
          <w:lang w:val="en-US" w:eastAsia="es-ES_tradnl"/>
        </w:rPr>
        <w:t>Sjukriana</w:t>
      </w:r>
      <w:proofErr w:type="spellEnd"/>
      <w:r w:rsidRPr="00170F22">
        <w:rPr>
          <w:lang w:val="en-US" w:eastAsia="es-ES_tradnl"/>
        </w:rPr>
        <w:t xml:space="preserve"> et al., 2024; García Revilla et al., 2023).</w:t>
      </w:r>
    </w:p>
    <w:p w:rsidR="00170F22" w:rsidRPr="00170F22" w:rsidRDefault="00170F22" w:rsidP="00170F22">
      <w:pPr>
        <w:pStyle w:val="Newparagraph"/>
        <w:rPr>
          <w:lang w:val="en-US" w:eastAsia="es-ES_tradnl"/>
        </w:rPr>
      </w:pPr>
      <w:r w:rsidRPr="00170F22">
        <w:rPr>
          <w:lang w:val="en-US" w:eastAsia="es-ES_tradnl"/>
        </w:rPr>
        <w:t>Perceived usefulness is the degree to which attendees believe smart festival technologies improve their experience, making it more efficient, relevant, convenient, or responsive to needs. For instance, in festival contexts, technologies such as official applications, digital ticketing, push notifications, and navigation tools alleviate logistical frictions, thereby facilitating advanced planning, spatial orientation, and instantaneous decision-making. In addition to these utilitarian advantages, they enhance situational relevance and attendees' perceived agency across the entire event space (</w:t>
      </w:r>
      <w:proofErr w:type="spellStart"/>
      <w:r w:rsidRPr="00170F22">
        <w:rPr>
          <w:lang w:val="en-US" w:eastAsia="es-ES_tradnl"/>
        </w:rPr>
        <w:t>Talantis</w:t>
      </w:r>
      <w:proofErr w:type="spellEnd"/>
      <w:r w:rsidRPr="00170F22">
        <w:rPr>
          <w:lang w:val="en-US" w:eastAsia="es-ES_tradnl"/>
        </w:rPr>
        <w:t xml:space="preserve"> et al., 2020; Ozturk et al., 2020).</w:t>
      </w:r>
    </w:p>
    <w:p w:rsidR="003D3C59" w:rsidRDefault="00170F22" w:rsidP="00170F22">
      <w:pPr>
        <w:pStyle w:val="Newparagraph"/>
        <w:rPr>
          <w:lang w:val="en-US" w:eastAsia="es-ES_tradnl"/>
        </w:rPr>
      </w:pPr>
      <w:r w:rsidRPr="00170F22">
        <w:rPr>
          <w:lang w:val="en-US" w:eastAsia="es-ES_tradnl"/>
        </w:rPr>
        <w:t>Trust is a second key factor in attendees' evaluation of smart infrastructure, supporting perceptions of reliability and risk reduction in dynamic, high-stakes festival settings. Attendees rely on technologies from organizers, platforms, or third-party providers, so trust is essential for viewing these systems as reliable and beneficial. Research on event ecosystems shows that reliability and performance boost satisfaction and confidence (</w:t>
      </w:r>
      <w:proofErr w:type="spellStart"/>
      <w:r w:rsidRPr="00170F22">
        <w:rPr>
          <w:lang w:val="en-US" w:eastAsia="es-ES_tradnl"/>
        </w:rPr>
        <w:t>Neuhofer</w:t>
      </w:r>
      <w:proofErr w:type="spellEnd"/>
      <w:r w:rsidRPr="00170F22">
        <w:rPr>
          <w:lang w:val="en-US" w:eastAsia="es-ES_tradnl"/>
        </w:rPr>
        <w:t xml:space="preserve"> et al., 2021), while trust links usability beliefs to behavioral intentions (Hua et al., 2021). </w:t>
      </w:r>
    </w:p>
    <w:p w:rsidR="00170F22" w:rsidRPr="00170F22" w:rsidRDefault="00170F22" w:rsidP="00170F22">
      <w:pPr>
        <w:pStyle w:val="Newparagraph"/>
        <w:rPr>
          <w:lang w:val="en-US" w:eastAsia="es-ES_tradnl"/>
        </w:rPr>
      </w:pPr>
      <w:r w:rsidRPr="00170F22">
        <w:rPr>
          <w:lang w:val="en-US" w:eastAsia="es-ES_tradnl"/>
        </w:rPr>
        <w:t>Privacy concerns refer to attendees' unease regarding the collection, tracking, and use of personal or location data via smart festival technologies. In smart tourism contexts, such apprehensions often reduce willingness to share information and limit engagement with personalized services (</w:t>
      </w:r>
      <w:proofErr w:type="spellStart"/>
      <w:r w:rsidRPr="00170F22">
        <w:rPr>
          <w:lang w:val="en-US" w:eastAsia="es-ES_tradnl"/>
        </w:rPr>
        <w:t>Femenia</w:t>
      </w:r>
      <w:proofErr w:type="spellEnd"/>
      <w:r w:rsidRPr="00170F22">
        <w:rPr>
          <w:lang w:val="en-US" w:eastAsia="es-ES_tradnl"/>
        </w:rPr>
        <w:t xml:space="preserve"> et al., 2022; </w:t>
      </w:r>
      <w:proofErr w:type="spellStart"/>
      <w:r w:rsidRPr="00170F22">
        <w:rPr>
          <w:lang w:val="en-US" w:eastAsia="es-ES_tradnl"/>
        </w:rPr>
        <w:t>Ioanno</w:t>
      </w:r>
      <w:r w:rsidR="00FE24F9">
        <w:rPr>
          <w:lang w:val="en-US" w:eastAsia="es-ES_tradnl"/>
        </w:rPr>
        <w:t>u</w:t>
      </w:r>
      <w:proofErr w:type="spellEnd"/>
      <w:r w:rsidR="00FE24F9">
        <w:rPr>
          <w:lang w:val="en-US" w:eastAsia="es-ES_tradnl"/>
        </w:rPr>
        <w:t xml:space="preserve"> et al.</w:t>
      </w:r>
      <w:r w:rsidRPr="00170F22">
        <w:rPr>
          <w:lang w:val="en-US" w:eastAsia="es-ES_tradnl"/>
        </w:rPr>
        <w:t>, 2020). Perceptions of privacy and security shape how technology features affect experiential outcomes, acting as primary barriers in data-centric tourism (</w:t>
      </w:r>
      <w:proofErr w:type="spellStart"/>
      <w:r w:rsidRPr="00170F22">
        <w:rPr>
          <w:lang w:val="en-US" w:eastAsia="es-ES_tradnl"/>
        </w:rPr>
        <w:t>Jeong</w:t>
      </w:r>
      <w:proofErr w:type="spellEnd"/>
      <w:r w:rsidRPr="00170F22">
        <w:rPr>
          <w:lang w:val="en-US" w:eastAsia="es-ES_tradnl"/>
        </w:rPr>
        <w:t xml:space="preserve"> &amp; Shin, 2020; Zhang &amp; Hara, 2024) . Yet, privacy and personalization do not invariably conflict; </w:t>
      </w:r>
      <w:r w:rsidRPr="00170F22">
        <w:rPr>
          <w:lang w:val="en-US" w:eastAsia="es-ES_tradnl"/>
        </w:rPr>
        <w:lastRenderedPageBreak/>
        <w:t>privacy evaluations can align with personalization benefits in data-intensive technologies (</w:t>
      </w:r>
      <w:proofErr w:type="spellStart"/>
      <w:r w:rsidRPr="00170F22">
        <w:rPr>
          <w:lang w:val="en-US" w:eastAsia="es-ES_tradnl"/>
        </w:rPr>
        <w:t>Ciftci</w:t>
      </w:r>
      <w:proofErr w:type="spellEnd"/>
      <w:r w:rsidRPr="00170F22">
        <w:rPr>
          <w:lang w:val="en-US" w:eastAsia="es-ES_tradnl"/>
        </w:rPr>
        <w:t xml:space="preserve"> et al., 2024). </w:t>
      </w:r>
    </w:p>
    <w:p w:rsidR="00170F22" w:rsidRPr="00170F22" w:rsidRDefault="00170F22" w:rsidP="00170F22">
      <w:pPr>
        <w:pStyle w:val="Ttulo2"/>
        <w:rPr>
          <w:lang w:val="en-US" w:eastAsia="es-ES_tradnl"/>
        </w:rPr>
      </w:pPr>
      <w:proofErr w:type="spellStart"/>
      <w:r w:rsidRPr="00170F22">
        <w:rPr>
          <w:lang w:val="en-US" w:eastAsia="es-ES_tradnl"/>
        </w:rPr>
        <w:t>Personalisation</w:t>
      </w:r>
      <w:proofErr w:type="spellEnd"/>
      <w:r w:rsidRPr="00170F22">
        <w:rPr>
          <w:lang w:val="en-US" w:eastAsia="es-ES_tradnl"/>
        </w:rPr>
        <w:t xml:space="preserve"> as spatial–experiential fit</w:t>
      </w:r>
    </w:p>
    <w:p w:rsidR="00170F22" w:rsidRPr="00170F22" w:rsidRDefault="00170F22" w:rsidP="00170F22">
      <w:pPr>
        <w:pStyle w:val="Paragraph"/>
        <w:rPr>
          <w:lang w:val="en-US" w:eastAsia="es-ES_tradnl"/>
        </w:rPr>
      </w:pPr>
      <w:r w:rsidRPr="00170F22">
        <w:rPr>
          <w:lang w:val="en-US" w:eastAsia="es-ES_tradnl"/>
        </w:rPr>
        <w:t xml:space="preserve">In smart festival </w:t>
      </w:r>
      <w:proofErr w:type="spellStart"/>
      <w:r w:rsidRPr="00170F22">
        <w:rPr>
          <w:lang w:val="en-US" w:eastAsia="es-ES_tradnl"/>
        </w:rPr>
        <w:t>experiencescapes</w:t>
      </w:r>
      <w:proofErr w:type="spellEnd"/>
      <w:r w:rsidRPr="00170F22">
        <w:rPr>
          <w:lang w:val="en-US" w:eastAsia="es-ES_tradnl"/>
        </w:rPr>
        <w:t xml:space="preserve">, </w:t>
      </w:r>
      <w:proofErr w:type="spellStart"/>
      <w:r w:rsidRPr="00170F22">
        <w:rPr>
          <w:lang w:val="en-US" w:eastAsia="es-ES_tradnl"/>
        </w:rPr>
        <w:t>personalisation</w:t>
      </w:r>
      <w:proofErr w:type="spellEnd"/>
      <w:r w:rsidRPr="00170F22">
        <w:rPr>
          <w:lang w:val="en-US" w:eastAsia="es-ES_tradnl"/>
        </w:rPr>
        <w:t xml:space="preserve"> operates as more than a marketing tactic; it functions as a spatial–experiential mechanism through which digitally mediated environments become more navigable, relevant, and responsive to individual needs</w:t>
      </w:r>
      <w:r w:rsidR="00FE24F9">
        <w:rPr>
          <w:lang w:val="en-US" w:eastAsia="es-ES_tradnl"/>
        </w:rPr>
        <w:t xml:space="preserve"> (Stankov et al., 2018)</w:t>
      </w:r>
      <w:r w:rsidRPr="00170F22">
        <w:rPr>
          <w:lang w:val="en-US" w:eastAsia="es-ES_tradnl"/>
        </w:rPr>
        <w:t xml:space="preserve">. Rather than simply tailoring promotional content, </w:t>
      </w:r>
      <w:proofErr w:type="spellStart"/>
      <w:r w:rsidRPr="00170F22">
        <w:rPr>
          <w:lang w:val="en-US" w:eastAsia="es-ES_tradnl"/>
        </w:rPr>
        <w:t>personalisation</w:t>
      </w:r>
      <w:proofErr w:type="spellEnd"/>
      <w:r w:rsidRPr="00170F22">
        <w:rPr>
          <w:lang w:val="en-US" w:eastAsia="es-ES_tradnl"/>
        </w:rPr>
        <w:t xml:space="preserve"> helps attendees filter information, reduce overload, and make situated decisions in complex and time-pressured festival settings</w:t>
      </w:r>
      <w:r w:rsidR="003D3C59">
        <w:rPr>
          <w:lang w:val="en-US" w:eastAsia="es-ES_tradnl"/>
        </w:rPr>
        <w:t>.</w:t>
      </w:r>
    </w:p>
    <w:p w:rsidR="00170F22" w:rsidRPr="00170F22" w:rsidRDefault="00170F22" w:rsidP="00170F22">
      <w:pPr>
        <w:pStyle w:val="Newparagraph"/>
        <w:rPr>
          <w:lang w:val="en-US" w:eastAsia="es-ES_tradnl"/>
        </w:rPr>
      </w:pPr>
      <w:r w:rsidRPr="00170F22">
        <w:rPr>
          <w:lang w:val="en-US" w:eastAsia="es-ES_tradnl"/>
        </w:rPr>
        <w:t xml:space="preserve">Research in smart tourism has increasingly positioned recommendation systems and context-aware digital services as central to experience quality, particularly where </w:t>
      </w:r>
      <w:proofErr w:type="spellStart"/>
      <w:r w:rsidRPr="00170F22">
        <w:rPr>
          <w:lang w:val="en-US" w:eastAsia="es-ES_tradnl"/>
        </w:rPr>
        <w:t>travellers</w:t>
      </w:r>
      <w:proofErr w:type="spellEnd"/>
      <w:r w:rsidRPr="00170F22">
        <w:rPr>
          <w:lang w:val="en-US" w:eastAsia="es-ES_tradnl"/>
        </w:rPr>
        <w:t xml:space="preserve"> must process large volumes of information and act in real time</w:t>
      </w:r>
      <w:r w:rsidR="00FE24F9">
        <w:rPr>
          <w:lang w:val="en-US" w:eastAsia="es-ES_tradnl"/>
        </w:rPr>
        <w:t xml:space="preserve"> </w:t>
      </w:r>
      <w:r w:rsidR="00B86585">
        <w:rPr>
          <w:lang w:val="en-US" w:eastAsia="es-ES_tradnl"/>
        </w:rPr>
        <w:t>(Hardy et al., 2017)</w:t>
      </w:r>
      <w:r w:rsidRPr="00170F22">
        <w:rPr>
          <w:lang w:val="en-US" w:eastAsia="es-ES_tradnl"/>
        </w:rPr>
        <w:t xml:space="preserve">. </w:t>
      </w:r>
      <w:proofErr w:type="spellStart"/>
      <w:r w:rsidRPr="00170F22">
        <w:rPr>
          <w:lang w:val="en-US" w:eastAsia="es-ES_tradnl"/>
        </w:rPr>
        <w:t>Personalised</w:t>
      </w:r>
      <w:proofErr w:type="spellEnd"/>
      <w:r w:rsidRPr="00170F22">
        <w:rPr>
          <w:lang w:val="en-US" w:eastAsia="es-ES_tradnl"/>
        </w:rPr>
        <w:t xml:space="preserve"> systems can enhance perceived relevance by matching content, suggestions, and routes to user preferences and situational context (Qassimi &amp; </w:t>
      </w:r>
      <w:proofErr w:type="spellStart"/>
      <w:r w:rsidRPr="00170F22">
        <w:rPr>
          <w:lang w:val="en-US" w:eastAsia="es-ES_tradnl"/>
        </w:rPr>
        <w:t>Rakrak</w:t>
      </w:r>
      <w:proofErr w:type="spellEnd"/>
      <w:r w:rsidRPr="00170F22">
        <w:rPr>
          <w:lang w:val="en-US" w:eastAsia="es-ES_tradnl"/>
        </w:rPr>
        <w:t xml:space="preserve">, 2025; Du et al., 2018). In dynamic environments, this may </w:t>
      </w:r>
      <w:proofErr w:type="spellStart"/>
      <w:r w:rsidRPr="00170F22">
        <w:rPr>
          <w:lang w:val="en-US" w:eastAsia="es-ES_tradnl"/>
        </w:rPr>
        <w:t>stabilise</w:t>
      </w:r>
      <w:proofErr w:type="spellEnd"/>
      <w:r w:rsidRPr="00170F22">
        <w:rPr>
          <w:lang w:val="en-US" w:eastAsia="es-ES_tradnl"/>
        </w:rPr>
        <w:t xml:space="preserve"> the user’s trajectory through the </w:t>
      </w:r>
      <w:proofErr w:type="spellStart"/>
      <w:r w:rsidRPr="00170F22">
        <w:rPr>
          <w:lang w:val="en-US" w:eastAsia="es-ES_tradnl"/>
        </w:rPr>
        <w:t>experiencescape</w:t>
      </w:r>
      <w:proofErr w:type="spellEnd"/>
      <w:r w:rsidRPr="00170F22">
        <w:rPr>
          <w:lang w:val="en-US" w:eastAsia="es-ES_tradnl"/>
        </w:rPr>
        <w:t xml:space="preserve"> by improving orientation, reducing friction, and supporting more confident micro-decisions across the event space.</w:t>
      </w:r>
    </w:p>
    <w:p w:rsidR="00170F22" w:rsidRPr="00170F22" w:rsidRDefault="00170F22" w:rsidP="00170F22">
      <w:pPr>
        <w:pStyle w:val="Newparagraph"/>
        <w:rPr>
          <w:lang w:val="en-US" w:eastAsia="es-ES_tradnl"/>
        </w:rPr>
      </w:pPr>
      <w:r w:rsidRPr="00170F22">
        <w:rPr>
          <w:lang w:val="en-US" w:eastAsia="es-ES_tradnl"/>
        </w:rPr>
        <w:t xml:space="preserve">At the same time, the effectiveness of </w:t>
      </w:r>
      <w:proofErr w:type="spellStart"/>
      <w:r w:rsidRPr="00170F22">
        <w:rPr>
          <w:lang w:val="en-US" w:eastAsia="es-ES_tradnl"/>
        </w:rPr>
        <w:t>personalisation</w:t>
      </w:r>
      <w:proofErr w:type="spellEnd"/>
      <w:r w:rsidRPr="00170F22">
        <w:rPr>
          <w:lang w:val="en-US" w:eastAsia="es-ES_tradnl"/>
        </w:rPr>
        <w:t xml:space="preserve"> depends not only on algorithmic relevance but also on how users interpret the quality and legitimacy of what is being recommended. Prior research suggests that information quality, interface cues, and the perceived credibility of the system shape attitudinal responses to </w:t>
      </w:r>
      <w:proofErr w:type="spellStart"/>
      <w:r w:rsidRPr="00170F22">
        <w:rPr>
          <w:lang w:val="en-US" w:eastAsia="es-ES_tradnl"/>
        </w:rPr>
        <w:t>personalised</w:t>
      </w:r>
      <w:proofErr w:type="spellEnd"/>
      <w:r w:rsidRPr="00170F22">
        <w:rPr>
          <w:lang w:val="en-US" w:eastAsia="es-ES_tradnl"/>
        </w:rPr>
        <w:t xml:space="preserve"> recommendations (Yang et al., 2023). From a spatial perspective, digital wayfinding offers a particularly useful illustration of how context-aware </w:t>
      </w:r>
      <w:proofErr w:type="spellStart"/>
      <w:r w:rsidRPr="00170F22">
        <w:rPr>
          <w:lang w:val="en-US" w:eastAsia="es-ES_tradnl"/>
        </w:rPr>
        <w:t>personalisation</w:t>
      </w:r>
      <w:proofErr w:type="spellEnd"/>
      <w:r w:rsidRPr="00170F22">
        <w:rPr>
          <w:lang w:val="en-US" w:eastAsia="es-ES_tradnl"/>
        </w:rPr>
        <w:t xml:space="preserve"> can be translated into navigational support within large-scale environments, helping users </w:t>
      </w:r>
      <w:r w:rsidRPr="00170F22">
        <w:rPr>
          <w:lang w:val="en-US" w:eastAsia="es-ES_tradnl"/>
        </w:rPr>
        <w:lastRenderedPageBreak/>
        <w:t>move through space in ways that feel more accessible and manageable (Wheeler et al., 2020).</w:t>
      </w:r>
    </w:p>
    <w:p w:rsidR="00170F22" w:rsidRPr="00170F22" w:rsidRDefault="00170F22" w:rsidP="00170F22">
      <w:pPr>
        <w:pStyle w:val="Newparagraph"/>
        <w:rPr>
          <w:lang w:val="en-US" w:eastAsia="es-ES_tradnl"/>
        </w:rPr>
      </w:pPr>
      <w:r w:rsidRPr="00170F22">
        <w:rPr>
          <w:lang w:val="en-US" w:eastAsia="es-ES_tradnl"/>
        </w:rPr>
        <w:t xml:space="preserve">In festival contexts, where attendees face crowding, temporal simultaneity, and multiple experiential options, perceived </w:t>
      </w:r>
      <w:proofErr w:type="spellStart"/>
      <w:r w:rsidRPr="00170F22">
        <w:rPr>
          <w:lang w:val="en-US" w:eastAsia="es-ES_tradnl"/>
        </w:rPr>
        <w:t>personalisation</w:t>
      </w:r>
      <w:proofErr w:type="spellEnd"/>
      <w:r w:rsidRPr="00170F22">
        <w:rPr>
          <w:lang w:val="en-US" w:eastAsia="es-ES_tradnl"/>
        </w:rPr>
        <w:t xml:space="preserve"> may therefore become a key mechanism through which the smart layer acquires experiential value. When technologies are experienced as capable of aligning the event environment with individual interests and situational needs, they are more likely to support deeper engagement with the festival setting</w:t>
      </w:r>
      <w:r w:rsidR="00B86585">
        <w:rPr>
          <w:lang w:val="en-US" w:eastAsia="es-ES_tradnl"/>
        </w:rPr>
        <w:t xml:space="preserve"> </w:t>
      </w:r>
      <w:r w:rsidR="00B86585">
        <w:t>(Van Winkle et al., 2018)</w:t>
      </w:r>
      <w:r w:rsidRPr="00170F22">
        <w:rPr>
          <w:lang w:val="en-US" w:eastAsia="es-ES_tradnl"/>
        </w:rPr>
        <w:t xml:space="preserve">. </w:t>
      </w:r>
    </w:p>
    <w:p w:rsidR="00170F22" w:rsidRPr="00170F22" w:rsidRDefault="00170F22" w:rsidP="00170F22">
      <w:pPr>
        <w:pStyle w:val="Ttulo2"/>
        <w:rPr>
          <w:lang w:val="en-US" w:eastAsia="es-ES_tradnl"/>
        </w:rPr>
      </w:pPr>
      <w:r w:rsidRPr="00170F22">
        <w:rPr>
          <w:lang w:val="en-US" w:eastAsia="es-ES_tradnl"/>
        </w:rPr>
        <w:t>Immersion as presence-in-place in hybrid environments</w:t>
      </w:r>
    </w:p>
    <w:p w:rsidR="00170F22" w:rsidRPr="00170F22" w:rsidRDefault="00170F22" w:rsidP="00170F22">
      <w:pPr>
        <w:pStyle w:val="Paragraph"/>
        <w:rPr>
          <w:lang w:val="en-US" w:eastAsia="es-ES_tradnl"/>
        </w:rPr>
      </w:pPr>
      <w:r w:rsidRPr="00170F22">
        <w:rPr>
          <w:lang w:val="en-US" w:eastAsia="es-ES_tradnl"/>
        </w:rPr>
        <w:t xml:space="preserve">Immersion can be </w:t>
      </w:r>
      <w:proofErr w:type="spellStart"/>
      <w:r w:rsidRPr="00170F22">
        <w:rPr>
          <w:lang w:val="en-US" w:eastAsia="es-ES_tradnl"/>
        </w:rPr>
        <w:t>conceptualised</w:t>
      </w:r>
      <w:proofErr w:type="spellEnd"/>
      <w:r w:rsidRPr="00170F22">
        <w:rPr>
          <w:lang w:val="en-US" w:eastAsia="es-ES_tradnl"/>
        </w:rPr>
        <w:t xml:space="preserve"> as a state of presence-in-place within a hybrid physical–digital environment where attention, affect and sensory engagement become focused on the situated encounter. Tourism research links spatial presence to enjoyment, destination image and </w:t>
      </w:r>
      <w:proofErr w:type="spellStart"/>
      <w:r w:rsidRPr="00170F22">
        <w:rPr>
          <w:lang w:val="en-US" w:eastAsia="es-ES_tradnl"/>
        </w:rPr>
        <w:t>behavioural</w:t>
      </w:r>
      <w:proofErr w:type="spellEnd"/>
      <w:r w:rsidRPr="00170F22">
        <w:rPr>
          <w:lang w:val="en-US" w:eastAsia="es-ES_tradnl"/>
        </w:rPr>
        <w:t xml:space="preserve"> intentions (Kim et al., 2021), and distinguishes spatial presence as a key dimension alongside self- and social presence (Cho</w:t>
      </w:r>
      <w:r w:rsidR="00B86585">
        <w:rPr>
          <w:lang w:val="en-US" w:eastAsia="es-ES_tradnl"/>
        </w:rPr>
        <w:t xml:space="preserve"> et al.</w:t>
      </w:r>
      <w:r w:rsidRPr="00170F22">
        <w:rPr>
          <w:lang w:val="en-US" w:eastAsia="es-ES_tradnl"/>
        </w:rPr>
        <w:t>, 2002; Hyun &amp; O’Keefe, 2012). Telepresence further captures the psychological sensation of ‘being there’ in mediated environments (</w:t>
      </w:r>
      <w:proofErr w:type="spellStart"/>
      <w:r w:rsidRPr="00170F22">
        <w:rPr>
          <w:lang w:val="en-US" w:eastAsia="es-ES_tradnl"/>
        </w:rPr>
        <w:t>Steuer</w:t>
      </w:r>
      <w:proofErr w:type="spellEnd"/>
      <w:r w:rsidRPr="00170F22">
        <w:rPr>
          <w:lang w:val="en-US" w:eastAsia="es-ES_tradnl"/>
        </w:rPr>
        <w:t>, 1992; Sheridan, 1992).</w:t>
      </w:r>
    </w:p>
    <w:p w:rsidR="00170F22" w:rsidRPr="00170F22" w:rsidRDefault="00170F22" w:rsidP="00170F22">
      <w:pPr>
        <w:pStyle w:val="Newparagraph"/>
        <w:rPr>
          <w:lang w:val="en-US" w:eastAsia="es-ES_tradnl"/>
        </w:rPr>
      </w:pPr>
      <w:r w:rsidRPr="00170F22">
        <w:rPr>
          <w:lang w:val="en-US" w:eastAsia="es-ES_tradnl"/>
        </w:rPr>
        <w:t>Interactive digital formats can foster immersion via visual vividness, interactivity and flow processes. In tourism live streaming, visual effects and interactivity can influence participation through spatial presence and flow (Ye et al., 2022). Beyond AR/VR novelty, narrative coherence and digital storytelling can deepen emotional connection and engagement, increasing revisit-related intentions (Mo et al., 2024). In hybrid event formats, immersion emerges from the integration of physical and digital participation in the same experiential field (</w:t>
      </w:r>
      <w:proofErr w:type="spellStart"/>
      <w:r w:rsidRPr="00170F22">
        <w:rPr>
          <w:lang w:val="en-US" w:eastAsia="es-ES_tradnl"/>
        </w:rPr>
        <w:t>Georgoula</w:t>
      </w:r>
      <w:proofErr w:type="spellEnd"/>
      <w:r w:rsidRPr="00170F22">
        <w:rPr>
          <w:lang w:val="en-US" w:eastAsia="es-ES_tradnl"/>
        </w:rPr>
        <w:t xml:space="preserve"> et al., 2025).</w:t>
      </w:r>
    </w:p>
    <w:p w:rsidR="00170F22" w:rsidRPr="00170F22" w:rsidRDefault="00170F22" w:rsidP="00170F22">
      <w:pPr>
        <w:pStyle w:val="Ttulo2"/>
        <w:rPr>
          <w:lang w:val="en-US" w:eastAsia="es-ES_tradnl"/>
        </w:rPr>
      </w:pPr>
      <w:r w:rsidRPr="00170F22">
        <w:rPr>
          <w:lang w:val="en-US" w:eastAsia="es-ES_tradnl"/>
        </w:rPr>
        <w:lastRenderedPageBreak/>
        <w:t xml:space="preserve">Loyalty outcomes as spatially anchored </w:t>
      </w:r>
      <w:proofErr w:type="spellStart"/>
      <w:r w:rsidRPr="00170F22">
        <w:rPr>
          <w:lang w:val="en-US" w:eastAsia="es-ES_tradnl"/>
        </w:rPr>
        <w:t>behavioural</w:t>
      </w:r>
      <w:proofErr w:type="spellEnd"/>
      <w:r w:rsidRPr="00170F22">
        <w:rPr>
          <w:lang w:val="en-US" w:eastAsia="es-ES_tradnl"/>
        </w:rPr>
        <w:t xml:space="preserve"> intentions</w:t>
      </w:r>
    </w:p>
    <w:p w:rsidR="00170F22" w:rsidRPr="00170F22" w:rsidRDefault="00170F22" w:rsidP="00170F22">
      <w:pPr>
        <w:pStyle w:val="Paragraph"/>
        <w:rPr>
          <w:lang w:val="en-US" w:eastAsia="es-ES_tradnl"/>
        </w:rPr>
      </w:pPr>
      <w:r w:rsidRPr="00170F22">
        <w:rPr>
          <w:lang w:val="en-US" w:eastAsia="es-ES_tradnl"/>
        </w:rPr>
        <w:t xml:space="preserve">Festival loyalty is commonly </w:t>
      </w:r>
      <w:proofErr w:type="spellStart"/>
      <w:r w:rsidRPr="00170F22">
        <w:rPr>
          <w:lang w:val="en-US" w:eastAsia="es-ES_tradnl"/>
        </w:rPr>
        <w:t>operationalised</w:t>
      </w:r>
      <w:proofErr w:type="spellEnd"/>
      <w:r w:rsidRPr="00170F22">
        <w:rPr>
          <w:lang w:val="en-US" w:eastAsia="es-ES_tradnl"/>
        </w:rPr>
        <w:t xml:space="preserve"> as revisit and recommendation intentions, reflecting a durable relation to an event-place assemblage over time. Classic consumer theory frames loyalty as a sustained commitment despite situational pressures (Oliver, 1999). In festival contexts, positive experience perceptions predict loyalty through enhanced festival image and satisfaction (</w:t>
      </w:r>
      <w:proofErr w:type="spellStart"/>
      <w:r w:rsidRPr="00170F22">
        <w:rPr>
          <w:lang w:val="en-US" w:eastAsia="es-ES_tradnl"/>
        </w:rPr>
        <w:t>Dalgiç</w:t>
      </w:r>
      <w:proofErr w:type="spellEnd"/>
      <w:r w:rsidRPr="00170F22">
        <w:rPr>
          <w:lang w:val="en-US" w:eastAsia="es-ES_tradnl"/>
        </w:rPr>
        <w:t xml:space="preserve"> &amp; </w:t>
      </w:r>
      <w:proofErr w:type="spellStart"/>
      <w:r w:rsidRPr="00170F22">
        <w:rPr>
          <w:lang w:val="en-US" w:eastAsia="es-ES_tradnl"/>
        </w:rPr>
        <w:t>Birdir</w:t>
      </w:r>
      <w:proofErr w:type="spellEnd"/>
      <w:r w:rsidRPr="00170F22">
        <w:rPr>
          <w:lang w:val="en-US" w:eastAsia="es-ES_tradnl"/>
        </w:rPr>
        <w:t xml:space="preserve">, 2020; Molina-Gómez et al., 2021). The experience economy perspective also links festival experience dimensions to loyalty and word-of-mouth outcomes (Sisson &amp; Alcorn, 2022), suggesting that digitally mediated </w:t>
      </w:r>
      <w:proofErr w:type="spellStart"/>
      <w:r w:rsidRPr="00170F22">
        <w:rPr>
          <w:lang w:val="en-US" w:eastAsia="es-ES_tradnl"/>
        </w:rPr>
        <w:t>personalisation</w:t>
      </w:r>
      <w:proofErr w:type="spellEnd"/>
      <w:r w:rsidRPr="00170F22">
        <w:rPr>
          <w:lang w:val="en-US" w:eastAsia="es-ES_tradnl"/>
        </w:rPr>
        <w:t xml:space="preserve"> and immersion can contribute to post-event advocacy and return intentions.</w:t>
      </w:r>
    </w:p>
    <w:p w:rsidR="00170F22" w:rsidRDefault="00170F22" w:rsidP="00170F22">
      <w:pPr>
        <w:pStyle w:val="Newparagraph"/>
        <w:rPr>
          <w:lang w:val="en-US" w:eastAsia="es-ES_tradnl"/>
        </w:rPr>
      </w:pPr>
      <w:r w:rsidRPr="00170F22">
        <w:rPr>
          <w:lang w:val="en-US" w:eastAsia="es-ES_tradnl"/>
        </w:rPr>
        <w:t xml:space="preserve">This broader reading of loyalty is especially relevant when the event is experienced as a spatially and affectively meaningful environment rather than simply as a service product. Ong and Coetzee (2025) </w:t>
      </w:r>
      <w:proofErr w:type="spellStart"/>
      <w:r w:rsidRPr="00170F22">
        <w:rPr>
          <w:lang w:val="en-US" w:eastAsia="es-ES_tradnl"/>
        </w:rPr>
        <w:t>emphasise</w:t>
      </w:r>
      <w:proofErr w:type="spellEnd"/>
      <w:r w:rsidRPr="00170F22">
        <w:rPr>
          <w:lang w:val="en-US" w:eastAsia="es-ES_tradnl"/>
        </w:rPr>
        <w:t xml:space="preserve"> the role of events in shaping identities, meanings, and place-related connections, while </w:t>
      </w:r>
      <w:proofErr w:type="spellStart"/>
      <w:r w:rsidRPr="00170F22">
        <w:rPr>
          <w:lang w:val="en-US" w:eastAsia="es-ES_tradnl"/>
        </w:rPr>
        <w:t>Higham</w:t>
      </w:r>
      <w:proofErr w:type="spellEnd"/>
      <w:r w:rsidRPr="00170F22">
        <w:rPr>
          <w:lang w:val="en-US" w:eastAsia="es-ES_tradnl"/>
        </w:rPr>
        <w:t xml:space="preserve"> and Vada (2025) show how tourism experience, place attachment, and destination loyalty are closely interrelated in sport tourism geographies. In this sense, revisit and recommendation intentions do not merely indicate satisfaction with an event product; they also suggest that the festival has been consolidated in memory as a desirable spatial–experiential assemblage to which attendees may wish to return and which they may advocate to others.</w:t>
      </w:r>
    </w:p>
    <w:p w:rsidR="00170F22" w:rsidRPr="00170F22" w:rsidRDefault="00170F22" w:rsidP="00170F22">
      <w:pPr>
        <w:pStyle w:val="Ttulo2"/>
        <w:rPr>
          <w:lang w:val="en-US" w:eastAsia="es-ES_tradnl"/>
        </w:rPr>
      </w:pPr>
      <w:r w:rsidRPr="00170F22">
        <w:rPr>
          <w:lang w:val="en-US" w:eastAsia="es-ES_tradnl"/>
        </w:rPr>
        <w:t>Integrated gap and hypotheses alignment</w:t>
      </w:r>
    </w:p>
    <w:p w:rsidR="00170F22" w:rsidRPr="00170F22" w:rsidRDefault="00170F22" w:rsidP="00170F22">
      <w:pPr>
        <w:pStyle w:val="Paragraph"/>
        <w:rPr>
          <w:lang w:val="en-US" w:eastAsia="es-ES_tradnl"/>
        </w:rPr>
      </w:pPr>
      <w:r w:rsidRPr="00170F22">
        <w:rPr>
          <w:lang w:val="en-US" w:eastAsia="es-ES_tradnl"/>
        </w:rPr>
        <w:t xml:space="preserve">Contemporary festival research has begun to connect AI-enabled technologies with post-experiential outcomes. Lopes et al. (2026) show that festival-goers’ perceptions of AI technologies, particularly informativeness and interactivity, can stimulate </w:t>
      </w:r>
      <w:proofErr w:type="spellStart"/>
      <w:r w:rsidRPr="00170F22">
        <w:rPr>
          <w:lang w:val="en-US" w:eastAsia="es-ES_tradnl"/>
        </w:rPr>
        <w:t>eWOM</w:t>
      </w:r>
      <w:proofErr w:type="spellEnd"/>
      <w:r w:rsidRPr="00170F22">
        <w:rPr>
          <w:lang w:val="en-US" w:eastAsia="es-ES_tradnl"/>
        </w:rPr>
        <w:t xml:space="preserve">, </w:t>
      </w:r>
      <w:r w:rsidRPr="00170F22">
        <w:rPr>
          <w:lang w:val="en-US" w:eastAsia="es-ES_tradnl"/>
        </w:rPr>
        <w:lastRenderedPageBreak/>
        <w:t xml:space="preserve">which in turn fosters memorable experiences and tourists’ well-being. While this work advances understanding of how AI shapes communication and post-event evaluation in festival settings, it leaves less clear how technology evaluations become translated into situated experiential mechanisms within the festival </w:t>
      </w:r>
      <w:proofErr w:type="spellStart"/>
      <w:r w:rsidRPr="00170F22">
        <w:rPr>
          <w:lang w:val="en-US" w:eastAsia="es-ES_tradnl"/>
        </w:rPr>
        <w:t>experiencescape</w:t>
      </w:r>
      <w:proofErr w:type="spellEnd"/>
      <w:r w:rsidRPr="00170F22">
        <w:rPr>
          <w:lang w:val="en-US" w:eastAsia="es-ES_tradnl"/>
        </w:rPr>
        <w:t xml:space="preserve"> itself. In particular, the roles of perceived </w:t>
      </w:r>
      <w:proofErr w:type="spellStart"/>
      <w:r w:rsidRPr="00170F22">
        <w:rPr>
          <w:lang w:val="en-US" w:eastAsia="es-ES_tradnl"/>
        </w:rPr>
        <w:t>personalisation</w:t>
      </w:r>
      <w:proofErr w:type="spellEnd"/>
      <w:r w:rsidRPr="00170F22">
        <w:rPr>
          <w:lang w:val="en-US" w:eastAsia="es-ES_tradnl"/>
        </w:rPr>
        <w:t xml:space="preserve"> and immersion as sequential pathways linking smart festival technologies to loyalty remain underexplored.</w:t>
      </w:r>
    </w:p>
    <w:p w:rsidR="00170F22" w:rsidRPr="00170F22" w:rsidRDefault="00170F22" w:rsidP="003D3C59">
      <w:pPr>
        <w:pStyle w:val="Newparagraph"/>
        <w:rPr>
          <w:lang w:val="en-US" w:eastAsia="es-ES_tradnl"/>
        </w:rPr>
      </w:pPr>
      <w:r w:rsidRPr="00170F22">
        <w:rPr>
          <w:lang w:val="en-US" w:eastAsia="es-ES_tradnl"/>
        </w:rPr>
        <w:t xml:space="preserve">This study proposes an integrated framework </w:t>
      </w:r>
      <w:r w:rsidR="003D3C59">
        <w:rPr>
          <w:lang w:val="en-US" w:eastAsia="es-ES_tradnl"/>
        </w:rPr>
        <w:t>where p</w:t>
      </w:r>
      <w:r w:rsidRPr="00170F22">
        <w:rPr>
          <w:lang w:val="en-US" w:eastAsia="es-ES_tradnl"/>
        </w:rPr>
        <w:t xml:space="preserve">erceived personalization acts as the key spatial–experiential mechanism, rendering digitally mediated environments more significant, navigable, and personally pertinent. Personalization is then expected to enhance immersive experiences in the hybrid festival </w:t>
      </w:r>
      <w:proofErr w:type="spellStart"/>
      <w:r w:rsidRPr="00170F22">
        <w:rPr>
          <w:lang w:val="en-US" w:eastAsia="es-ES_tradnl"/>
        </w:rPr>
        <w:t>experiencescape</w:t>
      </w:r>
      <w:proofErr w:type="spellEnd"/>
      <w:r w:rsidRPr="00170F22">
        <w:rPr>
          <w:lang w:val="en-US" w:eastAsia="es-ES_tradnl"/>
        </w:rPr>
        <w:t>, thereby strengthening loyalty intentions toward the event.</w:t>
      </w:r>
    </w:p>
    <w:p w:rsidR="00170F22" w:rsidRPr="00170F22" w:rsidRDefault="00170F22" w:rsidP="00170F22">
      <w:pPr>
        <w:pStyle w:val="Newparagraph"/>
        <w:rPr>
          <w:lang w:val="en-US" w:eastAsia="es-ES_tradnl"/>
        </w:rPr>
      </w:pPr>
      <w:r w:rsidRPr="00170F22">
        <w:rPr>
          <w:lang w:val="en-US" w:eastAsia="es-ES_tradnl"/>
        </w:rPr>
        <w:t>On this basis, the following hypotheses are proposed:</w:t>
      </w:r>
    </w:p>
    <w:p w:rsidR="00170F22" w:rsidRDefault="00170F22" w:rsidP="00170F22">
      <w:pPr>
        <w:pStyle w:val="Numberedlist"/>
        <w:rPr>
          <w:lang w:val="en-US" w:eastAsia="es-ES_tradnl"/>
        </w:rPr>
      </w:pPr>
      <w:r w:rsidRPr="00170F22">
        <w:rPr>
          <w:lang w:val="en-US" w:eastAsia="es-ES_tradnl"/>
        </w:rPr>
        <w:t xml:space="preserve">H1a. The perceived usefulness of smart festival technologies (PU) is positively associated with perceived </w:t>
      </w:r>
      <w:proofErr w:type="spellStart"/>
      <w:r w:rsidRPr="00170F22">
        <w:rPr>
          <w:lang w:val="en-US" w:eastAsia="es-ES_tradnl"/>
        </w:rPr>
        <w:t>personalisation</w:t>
      </w:r>
      <w:proofErr w:type="spellEnd"/>
      <w:r w:rsidRPr="00170F22">
        <w:rPr>
          <w:lang w:val="en-US" w:eastAsia="es-ES_tradnl"/>
        </w:rPr>
        <w:t xml:space="preserve"> (PERS).</w:t>
      </w:r>
    </w:p>
    <w:p w:rsidR="00170F22" w:rsidRDefault="00170F22" w:rsidP="00170F22">
      <w:pPr>
        <w:pStyle w:val="Numberedlist"/>
        <w:rPr>
          <w:lang w:val="en-US" w:eastAsia="es-ES_tradnl"/>
        </w:rPr>
      </w:pPr>
      <w:r w:rsidRPr="00170F22">
        <w:rPr>
          <w:lang w:val="en-US" w:eastAsia="es-ES_tradnl"/>
        </w:rPr>
        <w:t xml:space="preserve">H1b. Trust in smart festival technologies and their providers (CONF) is positively associated with perceived </w:t>
      </w:r>
      <w:proofErr w:type="spellStart"/>
      <w:r w:rsidRPr="00170F22">
        <w:rPr>
          <w:lang w:val="en-US" w:eastAsia="es-ES_tradnl"/>
        </w:rPr>
        <w:t>personalisation</w:t>
      </w:r>
      <w:proofErr w:type="spellEnd"/>
      <w:r w:rsidRPr="00170F22">
        <w:rPr>
          <w:lang w:val="en-US" w:eastAsia="es-ES_tradnl"/>
        </w:rPr>
        <w:t xml:space="preserve"> (PERS).</w:t>
      </w:r>
    </w:p>
    <w:p w:rsidR="00170F22" w:rsidRDefault="00170F22" w:rsidP="00170F22">
      <w:pPr>
        <w:pStyle w:val="Numberedlist"/>
        <w:rPr>
          <w:lang w:val="en-US" w:eastAsia="es-ES_tradnl"/>
        </w:rPr>
      </w:pPr>
      <w:r w:rsidRPr="00170F22">
        <w:rPr>
          <w:lang w:val="en-US" w:eastAsia="es-ES_tradnl"/>
        </w:rPr>
        <w:t xml:space="preserve">H1c. Privacy concerns regarding the collection and use of personal and location data (PRIV) are negatively associated with perceived </w:t>
      </w:r>
      <w:proofErr w:type="spellStart"/>
      <w:r w:rsidRPr="00170F22">
        <w:rPr>
          <w:lang w:val="en-US" w:eastAsia="es-ES_tradnl"/>
        </w:rPr>
        <w:t>personalisation</w:t>
      </w:r>
      <w:proofErr w:type="spellEnd"/>
      <w:r w:rsidRPr="00170F22">
        <w:rPr>
          <w:lang w:val="en-US" w:eastAsia="es-ES_tradnl"/>
        </w:rPr>
        <w:t xml:space="preserve"> (PERS).</w:t>
      </w:r>
    </w:p>
    <w:p w:rsidR="00170F22" w:rsidRDefault="00170F22" w:rsidP="00170F22">
      <w:pPr>
        <w:pStyle w:val="Numberedlist"/>
        <w:rPr>
          <w:lang w:val="en-US" w:eastAsia="es-ES_tradnl"/>
        </w:rPr>
      </w:pPr>
      <w:r w:rsidRPr="00170F22">
        <w:rPr>
          <w:lang w:val="en-US" w:eastAsia="es-ES_tradnl"/>
        </w:rPr>
        <w:t xml:space="preserve">H2. Perceived </w:t>
      </w:r>
      <w:proofErr w:type="spellStart"/>
      <w:r w:rsidRPr="00170F22">
        <w:rPr>
          <w:lang w:val="en-US" w:eastAsia="es-ES_tradnl"/>
        </w:rPr>
        <w:t>personalisation</w:t>
      </w:r>
      <w:proofErr w:type="spellEnd"/>
      <w:r w:rsidRPr="00170F22">
        <w:rPr>
          <w:lang w:val="en-US" w:eastAsia="es-ES_tradnl"/>
        </w:rPr>
        <w:t xml:space="preserve"> (PERS) positively influences the immersive experience (INM) within the digitally mediated festival </w:t>
      </w:r>
      <w:proofErr w:type="spellStart"/>
      <w:r w:rsidRPr="00170F22">
        <w:rPr>
          <w:lang w:val="en-US" w:eastAsia="es-ES_tradnl"/>
        </w:rPr>
        <w:t>experiencescape</w:t>
      </w:r>
      <w:proofErr w:type="spellEnd"/>
      <w:r w:rsidRPr="00170F22">
        <w:rPr>
          <w:lang w:val="en-US" w:eastAsia="es-ES_tradnl"/>
        </w:rPr>
        <w:t>.</w:t>
      </w:r>
    </w:p>
    <w:p w:rsidR="00170F22" w:rsidRPr="00170F22" w:rsidRDefault="00170F22" w:rsidP="00170F22">
      <w:pPr>
        <w:pStyle w:val="Numberedlist"/>
        <w:rPr>
          <w:lang w:val="en-US" w:eastAsia="es-ES_tradnl"/>
        </w:rPr>
      </w:pPr>
      <w:r w:rsidRPr="00170F22">
        <w:rPr>
          <w:lang w:val="en-US" w:eastAsia="es-ES_tradnl"/>
        </w:rPr>
        <w:t xml:space="preserve">H3. The immersive experience (INM) positively influences loyalty to the event (LOY), </w:t>
      </w:r>
      <w:proofErr w:type="spellStart"/>
      <w:r w:rsidRPr="00170F22">
        <w:rPr>
          <w:lang w:val="en-US" w:eastAsia="es-ES_tradnl"/>
        </w:rPr>
        <w:t>operationalised</w:t>
      </w:r>
      <w:proofErr w:type="spellEnd"/>
      <w:r w:rsidRPr="00170F22">
        <w:rPr>
          <w:lang w:val="en-US" w:eastAsia="es-ES_tradnl"/>
        </w:rPr>
        <w:t xml:space="preserve"> as intention to revisit and recommend.</w:t>
      </w:r>
    </w:p>
    <w:p w:rsidR="00287EBA" w:rsidRPr="00287EBA" w:rsidRDefault="00170F22" w:rsidP="00287EBA">
      <w:pPr>
        <w:pStyle w:val="Paragraph"/>
        <w:rPr>
          <w:color w:val="FF0000"/>
          <w:lang w:val="en-US" w:eastAsia="es-ES_tradnl"/>
        </w:rPr>
      </w:pPr>
      <w:r w:rsidRPr="00170F22">
        <w:rPr>
          <w:lang w:val="en-US" w:eastAsia="es-ES_tradnl"/>
        </w:rPr>
        <w:t xml:space="preserve">The proposed model is </w:t>
      </w:r>
      <w:r w:rsidRPr="000B15CE">
        <w:rPr>
          <w:color w:val="000000" w:themeColor="text1"/>
          <w:lang w:val="en-US" w:eastAsia="es-ES_tradnl"/>
        </w:rPr>
        <w:t>shown in Figure 1.</w:t>
      </w:r>
    </w:p>
    <w:p w:rsidR="000B15CE" w:rsidRDefault="000B15CE" w:rsidP="000B15CE">
      <w:pPr>
        <w:pStyle w:val="Tabletitle"/>
      </w:pPr>
      <w:r w:rsidRPr="000B15CE">
        <w:t>Figure 1. Conceptual model</w:t>
      </w:r>
    </w:p>
    <w:p w:rsidR="000B15CE" w:rsidRPr="000B15CE" w:rsidRDefault="00287EBA" w:rsidP="000B15CE">
      <w:r>
        <w:rPr>
          <w:noProof/>
        </w:rPr>
        <w:lastRenderedPageBreak/>
        <w:drawing>
          <wp:inline distT="0" distB="0" distL="0" distR="0">
            <wp:extent cx="5899931" cy="2698230"/>
            <wp:effectExtent l="0" t="0" r="5715" b="0"/>
            <wp:docPr id="32336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66254" name="Imagen 323366254"/>
                    <pic:cNvPicPr/>
                  </pic:nvPicPr>
                  <pic:blipFill rotWithShape="1">
                    <a:blip r:embed="rId8">
                      <a:extLst>
                        <a:ext uri="{28A0092B-C50C-407E-A947-70E740481C1C}">
                          <a14:useLocalDpi xmlns:a14="http://schemas.microsoft.com/office/drawing/2010/main" val="0"/>
                        </a:ext>
                      </a:extLst>
                    </a:blip>
                    <a:srcRect l="2390"/>
                    <a:stretch/>
                  </pic:blipFill>
                  <pic:spPr bwMode="auto">
                    <a:xfrm>
                      <a:off x="0" y="0"/>
                      <a:ext cx="5926480" cy="2710372"/>
                    </a:xfrm>
                    <a:prstGeom prst="rect">
                      <a:avLst/>
                    </a:prstGeom>
                    <a:ln>
                      <a:noFill/>
                    </a:ln>
                    <a:extLst>
                      <a:ext uri="{53640926-AAD7-44D8-BBD7-CCE9431645EC}">
                        <a14:shadowObscured xmlns:a14="http://schemas.microsoft.com/office/drawing/2010/main"/>
                      </a:ext>
                    </a:extLst>
                  </pic:spPr>
                </pic:pic>
              </a:graphicData>
            </a:graphic>
          </wp:inline>
        </w:drawing>
      </w:r>
    </w:p>
    <w:p w:rsidR="00707C92" w:rsidRPr="00707C92" w:rsidRDefault="00707C92" w:rsidP="00707C92">
      <w:pPr>
        <w:pStyle w:val="Ttulo1"/>
        <w:rPr>
          <w:lang w:val="en-US" w:eastAsia="es-ES_tradnl"/>
        </w:rPr>
      </w:pPr>
      <w:r w:rsidRPr="00707C92">
        <w:rPr>
          <w:lang w:val="en-US" w:eastAsia="es-ES_tradnl"/>
        </w:rPr>
        <w:t>Methods</w:t>
      </w:r>
    </w:p>
    <w:p w:rsidR="00707C92" w:rsidRPr="00707C92" w:rsidRDefault="00707C92" w:rsidP="00707C92">
      <w:pPr>
        <w:pStyle w:val="Ttulo2"/>
        <w:rPr>
          <w:lang w:val="en-US" w:eastAsia="es-ES_tradnl"/>
        </w:rPr>
      </w:pPr>
      <w:r w:rsidRPr="00707C92">
        <w:rPr>
          <w:lang w:val="en-US" w:eastAsia="es-ES_tradnl"/>
        </w:rPr>
        <w:t>Sample and data collection</w:t>
      </w:r>
    </w:p>
    <w:p w:rsidR="00707C92" w:rsidRPr="00707C92" w:rsidRDefault="00707C92" w:rsidP="00707C92">
      <w:pPr>
        <w:pStyle w:val="Paragraph"/>
        <w:rPr>
          <w:lang w:val="en-US" w:eastAsia="es-ES_tradnl"/>
        </w:rPr>
      </w:pPr>
      <w:r w:rsidRPr="00707C92">
        <w:rPr>
          <w:lang w:val="en-US" w:eastAsia="es-ES_tradnl"/>
        </w:rPr>
        <w:t>Data collection occurred between November 2025 and February 2026 via an online questionnaire distributed through social media and live-festival online communities. Non-probability purposive sampling was used. Participation was voluntary, with informed consent prior to participation and responses collected anonymously. To ensure festival relevance, a screening question confirmed attendance at a live festival in the past two years; non-qualifying participants were excluded.</w:t>
      </w:r>
    </w:p>
    <w:p w:rsidR="00707C92" w:rsidRPr="00707C92" w:rsidRDefault="00707C92" w:rsidP="00287EBA">
      <w:pPr>
        <w:pStyle w:val="Newparagraph"/>
        <w:rPr>
          <w:lang w:val="en-US" w:eastAsia="es-ES_tradnl"/>
        </w:rPr>
      </w:pPr>
      <w:r w:rsidRPr="00707C92">
        <w:rPr>
          <w:lang w:val="en-US" w:eastAsia="es-ES_tradnl"/>
        </w:rPr>
        <w:t>The sample was restricted to respondents who reported direct use of smart or emerging technologies in festival settings (n = 216). This restriction was applied to ensure that evaluations of usefulness, trust, privacy concerns, perceived personalization, and immersive experience were grounded in actual technological exposure rather than hypothetical assessment. The analytical sample was predominantly composed of respondents reporting Spanish nationality, indicating that the study mainly captures a Spain-</w:t>
      </w:r>
      <w:proofErr w:type="spellStart"/>
      <w:r w:rsidRPr="00707C92">
        <w:rPr>
          <w:lang w:val="en-US" w:eastAsia="es-ES_tradnl"/>
        </w:rPr>
        <w:t>centred</w:t>
      </w:r>
      <w:proofErr w:type="spellEnd"/>
      <w:r w:rsidRPr="00707C92">
        <w:rPr>
          <w:lang w:val="en-US" w:eastAsia="es-ES_tradnl"/>
        </w:rPr>
        <w:t xml:space="preserve"> festival audience. Respondents were relatively young on average (mean age 26 years), and the sample was slightly female-skewed (56.0% women; 42.1% men; </w:t>
      </w:r>
      <w:r w:rsidRPr="00707C92">
        <w:rPr>
          <w:lang w:val="en-US" w:eastAsia="es-ES_tradnl"/>
        </w:rPr>
        <w:lastRenderedPageBreak/>
        <w:t>remaining respondents identified as non-binary, preferred not to say, or provided other responses). Festival attendance was relatively frequent, with most respondents reporting attendance either once a year (40.7%) or two to three times a year (43.5%). In terms of festival genres, music festivals clearly dominated the sample (89.8%), followed by arts (48.1%), food (46.3%), and cultural festivals (39.4%). Overall, this profile suggests a technology-exposed festival audience with strong representation of high-density music-festival settings alongside other festival formats (Table 1).</w:t>
      </w:r>
    </w:p>
    <w:p w:rsidR="00707C92" w:rsidRDefault="00707C92" w:rsidP="00287EBA">
      <w:pPr>
        <w:pStyle w:val="Tabletitle"/>
        <w:rPr>
          <w:lang w:val="en-US" w:eastAsia="es-ES_tradnl"/>
        </w:rPr>
      </w:pPr>
      <w:r w:rsidRPr="00707C92">
        <w:rPr>
          <w:lang w:val="en-US" w:eastAsia="es-ES_tradnl"/>
        </w:rPr>
        <w:t>Table 1. Sociodemographic characteristics of respondents and technology used at festivals</w:t>
      </w:r>
    </w:p>
    <w:tbl>
      <w:tblPr>
        <w:tblW w:w="0" w:type="auto"/>
        <w:jc w:val="center"/>
        <w:tblLook w:val="04A0" w:firstRow="1" w:lastRow="0" w:firstColumn="1" w:lastColumn="0" w:noHBand="0" w:noVBand="1"/>
      </w:tblPr>
      <w:tblGrid>
        <w:gridCol w:w="1979"/>
        <w:gridCol w:w="761"/>
        <w:gridCol w:w="1562"/>
        <w:gridCol w:w="2095"/>
        <w:gridCol w:w="540"/>
        <w:gridCol w:w="1562"/>
      </w:tblGrid>
      <w:tr w:rsidR="00287EBA" w:rsidRPr="000C349F" w:rsidTr="00287EBA">
        <w:trPr>
          <w:trHeight w:val="20"/>
          <w:jc w:val="center"/>
        </w:trPr>
        <w:tc>
          <w:tcPr>
            <w:tcW w:w="0" w:type="auto"/>
            <w:tcBorders>
              <w:bottom w:val="single" w:sz="4" w:space="0" w:color="000000" w:themeColor="text1"/>
            </w:tcBorders>
            <w:tcMar>
              <w:top w:w="60" w:type="dxa"/>
              <w:left w:w="90" w:type="dxa"/>
              <w:bottom w:w="60" w:type="dxa"/>
              <w:right w:w="90" w:type="dxa"/>
            </w:tcMar>
            <w:vAlign w:val="center"/>
          </w:tcPr>
          <w:p w:rsidR="00287EBA" w:rsidRPr="000C349F" w:rsidRDefault="00287EBA" w:rsidP="00F56688">
            <w:pPr>
              <w:spacing w:line="240" w:lineRule="auto"/>
            </w:pPr>
            <w:r w:rsidRPr="000C349F">
              <w:rPr>
                <w:b/>
              </w:rPr>
              <w:t>Variables</w:t>
            </w:r>
          </w:p>
        </w:tc>
        <w:tc>
          <w:tcPr>
            <w:tcW w:w="0" w:type="auto"/>
            <w:tcBorders>
              <w:bottom w:val="single" w:sz="4" w:space="0" w:color="000000" w:themeColor="text1"/>
            </w:tcBorders>
            <w:tcMar>
              <w:top w:w="60" w:type="dxa"/>
              <w:left w:w="90" w:type="dxa"/>
              <w:bottom w:w="60" w:type="dxa"/>
              <w:right w:w="90" w:type="dxa"/>
            </w:tcMar>
            <w:vAlign w:val="center"/>
          </w:tcPr>
          <w:p w:rsidR="00287EBA" w:rsidRPr="000C349F" w:rsidRDefault="00287EBA" w:rsidP="00F56688">
            <w:pPr>
              <w:spacing w:line="240" w:lineRule="auto"/>
              <w:jc w:val="center"/>
            </w:pPr>
            <w:r w:rsidRPr="000C349F">
              <w:rPr>
                <w:b/>
              </w:rPr>
              <w:t>n</w:t>
            </w:r>
          </w:p>
        </w:tc>
        <w:tc>
          <w:tcPr>
            <w:tcW w:w="0" w:type="auto"/>
            <w:tcBorders>
              <w:bottom w:val="single" w:sz="4" w:space="0" w:color="000000" w:themeColor="text1"/>
            </w:tcBorders>
            <w:tcMar>
              <w:top w:w="60" w:type="dxa"/>
              <w:left w:w="90" w:type="dxa"/>
              <w:bottom w:w="60" w:type="dxa"/>
              <w:right w:w="90" w:type="dxa"/>
            </w:tcMar>
            <w:vAlign w:val="center"/>
          </w:tcPr>
          <w:p w:rsidR="00287EBA" w:rsidRPr="000C349F" w:rsidRDefault="00287EBA" w:rsidP="00F56688">
            <w:pPr>
              <w:spacing w:line="240" w:lineRule="auto"/>
              <w:jc w:val="center"/>
            </w:pPr>
            <w:r w:rsidRPr="000C349F">
              <w:rPr>
                <w:b/>
              </w:rPr>
              <w:t>% of respondents</w:t>
            </w:r>
          </w:p>
        </w:tc>
        <w:tc>
          <w:tcPr>
            <w:tcW w:w="0" w:type="auto"/>
            <w:tcBorders>
              <w:bottom w:val="single" w:sz="4" w:space="0" w:color="000000" w:themeColor="text1"/>
            </w:tcBorders>
            <w:tcMar>
              <w:top w:w="60" w:type="dxa"/>
              <w:left w:w="90" w:type="dxa"/>
              <w:bottom w:w="60" w:type="dxa"/>
              <w:right w:w="90" w:type="dxa"/>
            </w:tcMar>
            <w:vAlign w:val="center"/>
          </w:tcPr>
          <w:p w:rsidR="00287EBA" w:rsidRPr="000C349F" w:rsidRDefault="00287EBA" w:rsidP="00F56688">
            <w:pPr>
              <w:spacing w:line="240" w:lineRule="auto"/>
            </w:pPr>
            <w:r w:rsidRPr="000C349F">
              <w:rPr>
                <w:b/>
              </w:rPr>
              <w:t>Technology used</w:t>
            </w:r>
          </w:p>
        </w:tc>
        <w:tc>
          <w:tcPr>
            <w:tcW w:w="0" w:type="auto"/>
            <w:tcBorders>
              <w:bottom w:val="single" w:sz="4" w:space="0" w:color="000000" w:themeColor="text1"/>
            </w:tcBorders>
            <w:tcMar>
              <w:top w:w="60" w:type="dxa"/>
              <w:left w:w="90" w:type="dxa"/>
              <w:bottom w:w="60" w:type="dxa"/>
              <w:right w:w="90" w:type="dxa"/>
            </w:tcMar>
            <w:vAlign w:val="center"/>
          </w:tcPr>
          <w:p w:rsidR="00287EBA" w:rsidRPr="000C349F" w:rsidRDefault="00287EBA" w:rsidP="00F56688">
            <w:pPr>
              <w:spacing w:line="240" w:lineRule="auto"/>
              <w:jc w:val="center"/>
            </w:pPr>
            <w:r w:rsidRPr="000C349F">
              <w:rPr>
                <w:b/>
              </w:rPr>
              <w:t>n</w:t>
            </w:r>
          </w:p>
        </w:tc>
        <w:tc>
          <w:tcPr>
            <w:tcW w:w="0" w:type="auto"/>
            <w:tcBorders>
              <w:bottom w:val="single" w:sz="4" w:space="0" w:color="000000" w:themeColor="text1"/>
            </w:tcBorders>
            <w:tcMar>
              <w:top w:w="60" w:type="dxa"/>
              <w:left w:w="90" w:type="dxa"/>
              <w:bottom w:w="60" w:type="dxa"/>
              <w:right w:w="90" w:type="dxa"/>
            </w:tcMar>
            <w:vAlign w:val="center"/>
          </w:tcPr>
          <w:p w:rsidR="00287EBA" w:rsidRPr="000C349F" w:rsidRDefault="00287EBA" w:rsidP="00F56688">
            <w:pPr>
              <w:spacing w:line="240" w:lineRule="auto"/>
              <w:jc w:val="center"/>
            </w:pPr>
            <w:r w:rsidRPr="000C349F">
              <w:rPr>
                <w:b/>
              </w:rPr>
              <w:t>% of respondents</w:t>
            </w:r>
          </w:p>
        </w:tc>
      </w:tr>
      <w:tr w:rsidR="00287EBA" w:rsidRPr="000C349F" w:rsidTr="00287EBA">
        <w:trPr>
          <w:trHeight w:val="20"/>
          <w:jc w:val="center"/>
        </w:trPr>
        <w:tc>
          <w:tcPr>
            <w:tcW w:w="0" w:type="auto"/>
            <w:tcBorders>
              <w:top w:val="single" w:sz="4" w:space="0" w:color="000000" w:themeColor="text1"/>
            </w:tcBorders>
            <w:tcMar>
              <w:top w:w="60" w:type="dxa"/>
              <w:left w:w="90" w:type="dxa"/>
              <w:bottom w:w="60" w:type="dxa"/>
              <w:right w:w="90" w:type="dxa"/>
            </w:tcMar>
            <w:vAlign w:val="center"/>
          </w:tcPr>
          <w:p w:rsidR="00287EBA" w:rsidRPr="000C349F" w:rsidRDefault="00287EBA" w:rsidP="00F56688">
            <w:pPr>
              <w:spacing w:line="240" w:lineRule="auto"/>
            </w:pPr>
            <w:r w:rsidRPr="000C349F">
              <w:t>Age (years), mean (SD)</w:t>
            </w:r>
          </w:p>
        </w:tc>
        <w:tc>
          <w:tcPr>
            <w:tcW w:w="0" w:type="auto"/>
            <w:tcBorders>
              <w:top w:val="single" w:sz="4" w:space="0" w:color="000000" w:themeColor="text1"/>
            </w:tcBorders>
            <w:tcMar>
              <w:top w:w="60" w:type="dxa"/>
              <w:left w:w="90" w:type="dxa"/>
              <w:bottom w:w="60" w:type="dxa"/>
              <w:right w:w="90" w:type="dxa"/>
            </w:tcMar>
            <w:vAlign w:val="center"/>
          </w:tcPr>
          <w:p w:rsidR="00287EBA" w:rsidRPr="000C349F" w:rsidRDefault="00287EBA" w:rsidP="00F56688">
            <w:pPr>
              <w:spacing w:line="240" w:lineRule="auto"/>
              <w:jc w:val="center"/>
            </w:pPr>
            <w:r w:rsidRPr="000C349F">
              <w:t>26.0 (9.3)</w:t>
            </w:r>
          </w:p>
        </w:tc>
        <w:tc>
          <w:tcPr>
            <w:tcW w:w="0" w:type="auto"/>
            <w:tcBorders>
              <w:top w:val="single" w:sz="4" w:space="0" w:color="000000" w:themeColor="text1"/>
            </w:tcBorders>
            <w:tcMar>
              <w:top w:w="60" w:type="dxa"/>
              <w:left w:w="90" w:type="dxa"/>
              <w:bottom w:w="60" w:type="dxa"/>
              <w:right w:w="90" w:type="dxa"/>
            </w:tcMar>
            <w:vAlign w:val="center"/>
          </w:tcPr>
          <w:p w:rsidR="00287EBA" w:rsidRPr="000C349F" w:rsidRDefault="00287EBA" w:rsidP="00F56688">
            <w:pPr>
              <w:spacing w:line="240" w:lineRule="auto"/>
              <w:jc w:val="center"/>
            </w:pPr>
            <w:r w:rsidRPr="000C349F">
              <w:t>-</w:t>
            </w:r>
          </w:p>
        </w:tc>
        <w:tc>
          <w:tcPr>
            <w:tcW w:w="0" w:type="auto"/>
            <w:tcBorders>
              <w:top w:val="single" w:sz="4" w:space="0" w:color="000000" w:themeColor="text1"/>
            </w:tcBorders>
            <w:tcMar>
              <w:top w:w="60" w:type="dxa"/>
              <w:left w:w="90" w:type="dxa"/>
              <w:bottom w:w="60" w:type="dxa"/>
              <w:right w:w="90" w:type="dxa"/>
            </w:tcMar>
            <w:vAlign w:val="center"/>
          </w:tcPr>
          <w:p w:rsidR="00287EBA" w:rsidRPr="000C349F" w:rsidRDefault="00287EBA" w:rsidP="00F56688">
            <w:pPr>
              <w:spacing w:line="240" w:lineRule="auto"/>
            </w:pPr>
            <w:r w:rsidRPr="000C349F">
              <w:t>Digital tickets</w:t>
            </w:r>
          </w:p>
        </w:tc>
        <w:tc>
          <w:tcPr>
            <w:tcW w:w="0" w:type="auto"/>
            <w:tcBorders>
              <w:top w:val="single" w:sz="4" w:space="0" w:color="000000" w:themeColor="text1"/>
            </w:tcBorders>
            <w:tcMar>
              <w:top w:w="60" w:type="dxa"/>
              <w:left w:w="90" w:type="dxa"/>
              <w:bottom w:w="60" w:type="dxa"/>
              <w:right w:w="90" w:type="dxa"/>
            </w:tcMar>
            <w:vAlign w:val="center"/>
          </w:tcPr>
          <w:p w:rsidR="00287EBA" w:rsidRPr="000C349F" w:rsidRDefault="00287EBA" w:rsidP="00F56688">
            <w:pPr>
              <w:spacing w:line="240" w:lineRule="auto"/>
              <w:jc w:val="center"/>
            </w:pPr>
            <w:r w:rsidRPr="000C349F">
              <w:t>206</w:t>
            </w:r>
          </w:p>
        </w:tc>
        <w:tc>
          <w:tcPr>
            <w:tcW w:w="0" w:type="auto"/>
            <w:tcBorders>
              <w:top w:val="single" w:sz="4" w:space="0" w:color="000000" w:themeColor="text1"/>
            </w:tcBorders>
            <w:tcMar>
              <w:top w:w="60" w:type="dxa"/>
              <w:left w:w="90" w:type="dxa"/>
              <w:bottom w:w="60" w:type="dxa"/>
              <w:right w:w="90" w:type="dxa"/>
            </w:tcMar>
            <w:vAlign w:val="center"/>
          </w:tcPr>
          <w:p w:rsidR="00287EBA" w:rsidRPr="000C349F" w:rsidRDefault="00287EBA" w:rsidP="00F56688">
            <w:pPr>
              <w:spacing w:line="240" w:lineRule="auto"/>
              <w:jc w:val="center"/>
            </w:pPr>
            <w:r w:rsidRPr="000C349F">
              <w:t>95.4</w:t>
            </w:r>
          </w:p>
        </w:tc>
      </w:tr>
      <w:tr w:rsidR="00287EBA" w:rsidRPr="000C349F" w:rsidTr="00287EBA">
        <w:trPr>
          <w:trHeight w:val="20"/>
          <w:jc w:val="center"/>
        </w:trPr>
        <w:tc>
          <w:tcPr>
            <w:tcW w:w="0" w:type="auto"/>
            <w:tcMar>
              <w:top w:w="60" w:type="dxa"/>
              <w:left w:w="90" w:type="dxa"/>
              <w:bottom w:w="60" w:type="dxa"/>
              <w:right w:w="90" w:type="dxa"/>
            </w:tcMar>
            <w:vAlign w:val="center"/>
          </w:tcPr>
          <w:p w:rsidR="00287EBA" w:rsidRPr="000C349F" w:rsidRDefault="00287EBA" w:rsidP="00F56688">
            <w:pPr>
              <w:spacing w:line="240" w:lineRule="auto"/>
            </w:pPr>
            <w:r w:rsidRPr="000C349F">
              <w:rPr>
                <w:b/>
              </w:rPr>
              <w:t>Gender</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p>
        </w:tc>
        <w:tc>
          <w:tcPr>
            <w:tcW w:w="0" w:type="auto"/>
            <w:tcMar>
              <w:top w:w="60" w:type="dxa"/>
              <w:left w:w="90" w:type="dxa"/>
              <w:bottom w:w="60" w:type="dxa"/>
              <w:right w:w="90" w:type="dxa"/>
            </w:tcMar>
            <w:vAlign w:val="center"/>
          </w:tcPr>
          <w:p w:rsidR="00287EBA" w:rsidRPr="000C349F" w:rsidRDefault="00287EBA" w:rsidP="00F56688">
            <w:pPr>
              <w:spacing w:line="240" w:lineRule="auto"/>
            </w:pPr>
            <w:r w:rsidRPr="000C349F">
              <w:t>QR codes</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203</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94.0</w:t>
            </w:r>
          </w:p>
        </w:tc>
      </w:tr>
      <w:tr w:rsidR="00287EBA" w:rsidRPr="000C349F" w:rsidTr="00287EBA">
        <w:trPr>
          <w:trHeight w:val="20"/>
          <w:jc w:val="center"/>
        </w:trPr>
        <w:tc>
          <w:tcPr>
            <w:tcW w:w="0" w:type="auto"/>
            <w:tcMar>
              <w:top w:w="60" w:type="dxa"/>
              <w:left w:w="90" w:type="dxa"/>
              <w:bottom w:w="60" w:type="dxa"/>
              <w:right w:w="90" w:type="dxa"/>
            </w:tcMar>
            <w:vAlign w:val="center"/>
          </w:tcPr>
          <w:p w:rsidR="00287EBA" w:rsidRPr="000C349F" w:rsidRDefault="00287EBA" w:rsidP="00F56688">
            <w:pPr>
              <w:spacing w:line="240" w:lineRule="auto"/>
            </w:pPr>
            <w:r w:rsidRPr="000C349F">
              <w:t xml:space="preserve">  Women</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121</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56.0</w:t>
            </w:r>
          </w:p>
        </w:tc>
        <w:tc>
          <w:tcPr>
            <w:tcW w:w="0" w:type="auto"/>
            <w:tcMar>
              <w:top w:w="60" w:type="dxa"/>
              <w:left w:w="90" w:type="dxa"/>
              <w:bottom w:w="60" w:type="dxa"/>
              <w:right w:w="90" w:type="dxa"/>
            </w:tcMar>
            <w:vAlign w:val="center"/>
          </w:tcPr>
          <w:p w:rsidR="00287EBA" w:rsidRPr="000C349F" w:rsidRDefault="00287EBA" w:rsidP="00F56688">
            <w:pPr>
              <w:spacing w:line="240" w:lineRule="auto"/>
            </w:pPr>
            <w:r w:rsidRPr="000C349F">
              <w:t>RFID wristbands / wearables</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171</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79.2</w:t>
            </w:r>
          </w:p>
        </w:tc>
      </w:tr>
      <w:tr w:rsidR="00287EBA" w:rsidRPr="000C349F" w:rsidTr="00287EBA">
        <w:trPr>
          <w:trHeight w:val="20"/>
          <w:jc w:val="center"/>
        </w:trPr>
        <w:tc>
          <w:tcPr>
            <w:tcW w:w="0" w:type="auto"/>
            <w:tcMar>
              <w:top w:w="60" w:type="dxa"/>
              <w:left w:w="90" w:type="dxa"/>
              <w:bottom w:w="60" w:type="dxa"/>
              <w:right w:w="90" w:type="dxa"/>
            </w:tcMar>
            <w:vAlign w:val="center"/>
          </w:tcPr>
          <w:p w:rsidR="00287EBA" w:rsidRPr="000C349F" w:rsidRDefault="00287EBA" w:rsidP="00F56688">
            <w:pPr>
              <w:spacing w:line="240" w:lineRule="auto"/>
            </w:pPr>
            <w:r w:rsidRPr="000C349F">
              <w:t xml:space="preserve">  Men</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91</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42.1</w:t>
            </w:r>
          </w:p>
        </w:tc>
        <w:tc>
          <w:tcPr>
            <w:tcW w:w="0" w:type="auto"/>
            <w:tcMar>
              <w:top w:w="60" w:type="dxa"/>
              <w:left w:w="90" w:type="dxa"/>
              <w:bottom w:w="60" w:type="dxa"/>
              <w:right w:w="90" w:type="dxa"/>
            </w:tcMar>
            <w:vAlign w:val="center"/>
          </w:tcPr>
          <w:p w:rsidR="00287EBA" w:rsidRPr="000C349F" w:rsidRDefault="00287EBA" w:rsidP="00F56688">
            <w:pPr>
              <w:spacing w:line="240" w:lineRule="auto"/>
            </w:pPr>
            <w:r w:rsidRPr="000C349F">
              <w:t>Official festival mobile app</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165</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76.4</w:t>
            </w:r>
          </w:p>
        </w:tc>
      </w:tr>
      <w:tr w:rsidR="00287EBA" w:rsidRPr="000C349F" w:rsidTr="00287EBA">
        <w:trPr>
          <w:trHeight w:val="20"/>
          <w:jc w:val="center"/>
        </w:trPr>
        <w:tc>
          <w:tcPr>
            <w:tcW w:w="0" w:type="auto"/>
            <w:tcMar>
              <w:top w:w="60" w:type="dxa"/>
              <w:left w:w="90" w:type="dxa"/>
              <w:bottom w:w="60" w:type="dxa"/>
              <w:right w:w="90" w:type="dxa"/>
            </w:tcMar>
            <w:vAlign w:val="center"/>
          </w:tcPr>
          <w:p w:rsidR="00287EBA" w:rsidRPr="000C349F" w:rsidRDefault="00287EBA" w:rsidP="00F56688">
            <w:pPr>
              <w:spacing w:line="240" w:lineRule="auto"/>
              <w:rPr>
                <w:lang w:val="en-US"/>
              </w:rPr>
            </w:pPr>
            <w:r w:rsidRPr="000C349F">
              <w:rPr>
                <w:lang w:val="en-US"/>
              </w:rPr>
              <w:t xml:space="preserve">  Other / non-binary / prefer not to say</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4</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1.9</w:t>
            </w:r>
          </w:p>
        </w:tc>
        <w:tc>
          <w:tcPr>
            <w:tcW w:w="0" w:type="auto"/>
            <w:tcMar>
              <w:top w:w="60" w:type="dxa"/>
              <w:left w:w="90" w:type="dxa"/>
              <w:bottom w:w="60" w:type="dxa"/>
              <w:right w:w="90" w:type="dxa"/>
            </w:tcMar>
            <w:vAlign w:val="center"/>
          </w:tcPr>
          <w:p w:rsidR="00287EBA" w:rsidRPr="000C349F" w:rsidRDefault="00287EBA" w:rsidP="00F56688">
            <w:pPr>
              <w:spacing w:line="240" w:lineRule="auto"/>
            </w:pPr>
            <w:r w:rsidRPr="000C349F">
              <w:t>Live streaming</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114</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52.8</w:t>
            </w:r>
          </w:p>
        </w:tc>
      </w:tr>
      <w:tr w:rsidR="00287EBA" w:rsidRPr="000C349F" w:rsidTr="00287EBA">
        <w:trPr>
          <w:trHeight w:val="20"/>
          <w:jc w:val="center"/>
        </w:trPr>
        <w:tc>
          <w:tcPr>
            <w:tcW w:w="0" w:type="auto"/>
            <w:tcMar>
              <w:top w:w="60" w:type="dxa"/>
              <w:left w:w="90" w:type="dxa"/>
              <w:bottom w:w="60" w:type="dxa"/>
              <w:right w:w="90" w:type="dxa"/>
            </w:tcMar>
            <w:vAlign w:val="center"/>
          </w:tcPr>
          <w:p w:rsidR="00287EBA" w:rsidRPr="000C349F" w:rsidRDefault="00287EBA" w:rsidP="00F56688">
            <w:pPr>
              <w:spacing w:line="240" w:lineRule="auto"/>
            </w:pPr>
            <w:r w:rsidRPr="000C349F">
              <w:rPr>
                <w:b/>
              </w:rPr>
              <w:t>Festival attendance frequency</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p>
        </w:tc>
        <w:tc>
          <w:tcPr>
            <w:tcW w:w="0" w:type="auto"/>
            <w:tcMar>
              <w:top w:w="60" w:type="dxa"/>
              <w:left w:w="90" w:type="dxa"/>
              <w:bottom w:w="60" w:type="dxa"/>
              <w:right w:w="90" w:type="dxa"/>
            </w:tcMar>
            <w:vAlign w:val="center"/>
          </w:tcPr>
          <w:p w:rsidR="00287EBA" w:rsidRPr="000C349F" w:rsidRDefault="00287EBA" w:rsidP="00F56688">
            <w:pPr>
              <w:spacing w:line="240" w:lineRule="auto"/>
            </w:pPr>
            <w:r w:rsidRPr="000C349F">
              <w:t>GPS festival maps</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112</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51.9</w:t>
            </w:r>
          </w:p>
        </w:tc>
      </w:tr>
      <w:tr w:rsidR="00287EBA" w:rsidRPr="000C349F" w:rsidTr="00287EBA">
        <w:trPr>
          <w:trHeight w:val="20"/>
          <w:jc w:val="center"/>
        </w:trPr>
        <w:tc>
          <w:tcPr>
            <w:tcW w:w="0" w:type="auto"/>
            <w:tcMar>
              <w:top w:w="60" w:type="dxa"/>
              <w:left w:w="90" w:type="dxa"/>
              <w:bottom w:w="60" w:type="dxa"/>
              <w:right w:w="90" w:type="dxa"/>
            </w:tcMar>
            <w:vAlign w:val="center"/>
          </w:tcPr>
          <w:p w:rsidR="00287EBA" w:rsidRPr="000C349F" w:rsidRDefault="00287EBA" w:rsidP="00F56688">
            <w:pPr>
              <w:spacing w:line="240" w:lineRule="auto"/>
            </w:pPr>
            <w:r w:rsidRPr="000C349F">
              <w:t xml:space="preserve">  Once a year</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88</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40.7</w:t>
            </w:r>
          </w:p>
        </w:tc>
        <w:tc>
          <w:tcPr>
            <w:tcW w:w="0" w:type="auto"/>
            <w:tcMar>
              <w:top w:w="60" w:type="dxa"/>
              <w:left w:w="90" w:type="dxa"/>
              <w:bottom w:w="60" w:type="dxa"/>
              <w:right w:w="90" w:type="dxa"/>
            </w:tcMar>
            <w:vAlign w:val="center"/>
          </w:tcPr>
          <w:p w:rsidR="00287EBA" w:rsidRPr="000C349F" w:rsidRDefault="00287EBA" w:rsidP="00F56688">
            <w:pPr>
              <w:spacing w:line="240" w:lineRule="auto"/>
            </w:pPr>
            <w:r w:rsidRPr="000C349F">
              <w:t>Interactive screens / mirrors</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101</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46.8</w:t>
            </w:r>
          </w:p>
        </w:tc>
      </w:tr>
      <w:tr w:rsidR="00287EBA" w:rsidRPr="000C349F" w:rsidTr="00287EBA">
        <w:trPr>
          <w:trHeight w:val="20"/>
          <w:jc w:val="center"/>
        </w:trPr>
        <w:tc>
          <w:tcPr>
            <w:tcW w:w="0" w:type="auto"/>
            <w:tcMar>
              <w:top w:w="60" w:type="dxa"/>
              <w:left w:w="90" w:type="dxa"/>
              <w:bottom w:w="60" w:type="dxa"/>
              <w:right w:w="90" w:type="dxa"/>
            </w:tcMar>
            <w:vAlign w:val="center"/>
          </w:tcPr>
          <w:p w:rsidR="00287EBA" w:rsidRPr="000C349F" w:rsidRDefault="00287EBA" w:rsidP="00F56688">
            <w:pPr>
              <w:spacing w:line="240" w:lineRule="auto"/>
              <w:rPr>
                <w:lang w:val="en-US"/>
              </w:rPr>
            </w:pPr>
            <w:r w:rsidRPr="000C349F">
              <w:rPr>
                <w:lang w:val="en-US"/>
              </w:rPr>
              <w:t xml:space="preserve">  Two to three times a year</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94</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43.5</w:t>
            </w:r>
          </w:p>
        </w:tc>
        <w:tc>
          <w:tcPr>
            <w:tcW w:w="0" w:type="auto"/>
            <w:tcMar>
              <w:top w:w="60" w:type="dxa"/>
              <w:left w:w="90" w:type="dxa"/>
              <w:bottom w:w="60" w:type="dxa"/>
              <w:right w:w="90" w:type="dxa"/>
            </w:tcMar>
            <w:vAlign w:val="center"/>
          </w:tcPr>
          <w:p w:rsidR="00287EBA" w:rsidRPr="000C349F" w:rsidRDefault="00287EBA" w:rsidP="00F56688">
            <w:pPr>
              <w:spacing w:line="240" w:lineRule="auto"/>
            </w:pPr>
            <w:r w:rsidRPr="000C349F">
              <w:t>Interactive installations</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86</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39.8</w:t>
            </w:r>
          </w:p>
        </w:tc>
      </w:tr>
      <w:tr w:rsidR="00287EBA" w:rsidRPr="000C349F" w:rsidTr="00287EBA">
        <w:trPr>
          <w:trHeight w:val="20"/>
          <w:jc w:val="center"/>
        </w:trPr>
        <w:tc>
          <w:tcPr>
            <w:tcW w:w="0" w:type="auto"/>
            <w:tcMar>
              <w:top w:w="60" w:type="dxa"/>
              <w:left w:w="90" w:type="dxa"/>
              <w:bottom w:w="60" w:type="dxa"/>
              <w:right w:w="90" w:type="dxa"/>
            </w:tcMar>
            <w:vAlign w:val="center"/>
          </w:tcPr>
          <w:p w:rsidR="00287EBA" w:rsidRPr="000C349F" w:rsidRDefault="00287EBA" w:rsidP="00F56688">
            <w:pPr>
              <w:spacing w:line="240" w:lineRule="auto"/>
              <w:rPr>
                <w:lang w:val="en-US"/>
              </w:rPr>
            </w:pPr>
            <w:r w:rsidRPr="000C349F">
              <w:rPr>
                <w:lang w:val="en-US"/>
              </w:rPr>
              <w:t xml:space="preserve">  Four to five times a year</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20</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9.3</w:t>
            </w:r>
          </w:p>
        </w:tc>
        <w:tc>
          <w:tcPr>
            <w:tcW w:w="0" w:type="auto"/>
            <w:tcMar>
              <w:top w:w="60" w:type="dxa"/>
              <w:left w:w="90" w:type="dxa"/>
              <w:bottom w:w="60" w:type="dxa"/>
              <w:right w:w="90" w:type="dxa"/>
            </w:tcMar>
            <w:vAlign w:val="center"/>
          </w:tcPr>
          <w:p w:rsidR="00287EBA" w:rsidRPr="000C349F" w:rsidRDefault="00287EBA" w:rsidP="00F56688">
            <w:pPr>
              <w:spacing w:line="240" w:lineRule="auto"/>
              <w:rPr>
                <w:lang w:val="en-US"/>
              </w:rPr>
            </w:pPr>
            <w:r w:rsidRPr="000C349F">
              <w:rPr>
                <w:lang w:val="en-US"/>
              </w:rPr>
              <w:t>Artificial intelligence</w:t>
            </w:r>
            <w:r w:rsidRPr="000C349F">
              <w:rPr>
                <w:lang w:val="en-US"/>
              </w:rPr>
              <w:br/>
              <w:t>(e.g., chatbots, recommender systems)</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62</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28.7</w:t>
            </w:r>
          </w:p>
        </w:tc>
      </w:tr>
      <w:tr w:rsidR="00287EBA" w:rsidRPr="000C349F" w:rsidTr="00287EBA">
        <w:trPr>
          <w:trHeight w:val="20"/>
          <w:jc w:val="center"/>
        </w:trPr>
        <w:tc>
          <w:tcPr>
            <w:tcW w:w="0" w:type="auto"/>
            <w:tcMar>
              <w:top w:w="60" w:type="dxa"/>
              <w:left w:w="90" w:type="dxa"/>
              <w:bottom w:w="60" w:type="dxa"/>
              <w:right w:w="90" w:type="dxa"/>
            </w:tcMar>
            <w:vAlign w:val="center"/>
          </w:tcPr>
          <w:p w:rsidR="00287EBA" w:rsidRPr="000C349F" w:rsidRDefault="00287EBA" w:rsidP="00F56688">
            <w:pPr>
              <w:spacing w:line="240" w:lineRule="auto"/>
              <w:rPr>
                <w:lang w:val="en-US"/>
              </w:rPr>
            </w:pPr>
            <w:r w:rsidRPr="000C349F">
              <w:rPr>
                <w:lang w:val="en-US"/>
              </w:rPr>
              <w:t xml:space="preserve">  Six or more times a year</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9</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4.2</w:t>
            </w:r>
          </w:p>
        </w:tc>
        <w:tc>
          <w:tcPr>
            <w:tcW w:w="0" w:type="auto"/>
            <w:tcMar>
              <w:top w:w="60" w:type="dxa"/>
              <w:left w:w="90" w:type="dxa"/>
              <w:bottom w:w="60" w:type="dxa"/>
              <w:right w:w="90" w:type="dxa"/>
            </w:tcMar>
            <w:vAlign w:val="center"/>
          </w:tcPr>
          <w:p w:rsidR="00287EBA" w:rsidRPr="000C349F" w:rsidRDefault="00287EBA" w:rsidP="00F56688">
            <w:pPr>
              <w:spacing w:line="240" w:lineRule="auto"/>
            </w:pPr>
            <w:r w:rsidRPr="000C349F">
              <w:t>Virtual reality (VR) experiences</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43</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19.9</w:t>
            </w:r>
          </w:p>
        </w:tc>
      </w:tr>
      <w:tr w:rsidR="00287EBA" w:rsidRPr="000C349F" w:rsidTr="00287EBA">
        <w:trPr>
          <w:trHeight w:val="20"/>
          <w:jc w:val="center"/>
        </w:trPr>
        <w:tc>
          <w:tcPr>
            <w:tcW w:w="0" w:type="auto"/>
            <w:tcMar>
              <w:top w:w="60" w:type="dxa"/>
              <w:left w:w="90" w:type="dxa"/>
              <w:bottom w:w="60" w:type="dxa"/>
              <w:right w:w="90" w:type="dxa"/>
            </w:tcMar>
            <w:vAlign w:val="center"/>
          </w:tcPr>
          <w:p w:rsidR="00287EBA" w:rsidRPr="000C349F" w:rsidRDefault="00287EBA" w:rsidP="00F56688">
            <w:pPr>
              <w:spacing w:line="240" w:lineRule="auto"/>
            </w:pPr>
            <w:r w:rsidRPr="000C349F">
              <w:lastRenderedPageBreak/>
              <w:t xml:space="preserve">  Other</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5</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2.3</w:t>
            </w:r>
          </w:p>
        </w:tc>
        <w:tc>
          <w:tcPr>
            <w:tcW w:w="0" w:type="auto"/>
            <w:tcMar>
              <w:top w:w="60" w:type="dxa"/>
              <w:left w:w="90" w:type="dxa"/>
              <w:bottom w:w="60" w:type="dxa"/>
              <w:right w:w="90" w:type="dxa"/>
            </w:tcMar>
            <w:vAlign w:val="center"/>
          </w:tcPr>
          <w:p w:rsidR="00287EBA" w:rsidRPr="000C349F" w:rsidRDefault="00287EBA" w:rsidP="00F56688">
            <w:pPr>
              <w:spacing w:line="240" w:lineRule="auto"/>
            </w:pPr>
            <w:r w:rsidRPr="000C349F">
              <w:t>Augmented reality (AR) experiences</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27</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12.5</w:t>
            </w:r>
          </w:p>
        </w:tc>
      </w:tr>
      <w:tr w:rsidR="00287EBA" w:rsidRPr="000C349F" w:rsidTr="00287EBA">
        <w:trPr>
          <w:trHeight w:val="20"/>
          <w:jc w:val="center"/>
        </w:trPr>
        <w:tc>
          <w:tcPr>
            <w:tcW w:w="0" w:type="auto"/>
            <w:tcMar>
              <w:top w:w="60" w:type="dxa"/>
              <w:left w:w="90" w:type="dxa"/>
              <w:bottom w:w="60" w:type="dxa"/>
              <w:right w:w="90" w:type="dxa"/>
            </w:tcMar>
            <w:vAlign w:val="center"/>
          </w:tcPr>
          <w:p w:rsidR="00287EBA" w:rsidRPr="000C349F" w:rsidRDefault="00287EBA" w:rsidP="00F56688">
            <w:pPr>
              <w:spacing w:line="240" w:lineRule="auto"/>
            </w:pPr>
            <w:r w:rsidRPr="000C349F">
              <w:rPr>
                <w:b/>
              </w:rPr>
              <w:t>Nationality</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p>
        </w:tc>
        <w:tc>
          <w:tcPr>
            <w:tcW w:w="0" w:type="auto"/>
            <w:tcMar>
              <w:top w:w="60" w:type="dxa"/>
              <w:left w:w="90" w:type="dxa"/>
              <w:bottom w:w="60" w:type="dxa"/>
              <w:right w:w="90" w:type="dxa"/>
            </w:tcMar>
            <w:vAlign w:val="center"/>
          </w:tcPr>
          <w:p w:rsidR="00287EBA" w:rsidRPr="000C349F" w:rsidRDefault="00287EBA" w:rsidP="00F56688">
            <w:pPr>
              <w:spacing w:line="240" w:lineRule="auto"/>
            </w:pPr>
            <w:r w:rsidRPr="000C349F">
              <w:t>Robots</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25</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11.6</w:t>
            </w:r>
          </w:p>
        </w:tc>
      </w:tr>
      <w:tr w:rsidR="00287EBA" w:rsidRPr="000C349F" w:rsidTr="00287EBA">
        <w:trPr>
          <w:trHeight w:val="20"/>
          <w:jc w:val="center"/>
        </w:trPr>
        <w:tc>
          <w:tcPr>
            <w:tcW w:w="0" w:type="auto"/>
            <w:tcMar>
              <w:top w:w="60" w:type="dxa"/>
              <w:left w:w="90" w:type="dxa"/>
              <w:bottom w:w="60" w:type="dxa"/>
              <w:right w:w="90" w:type="dxa"/>
            </w:tcMar>
            <w:vAlign w:val="center"/>
          </w:tcPr>
          <w:p w:rsidR="00287EBA" w:rsidRPr="000C349F" w:rsidRDefault="00287EBA" w:rsidP="00F56688">
            <w:pPr>
              <w:spacing w:line="240" w:lineRule="auto"/>
            </w:pPr>
            <w:r w:rsidRPr="000C349F">
              <w:t xml:space="preserve">  Spanish nationality</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181</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83.8</w:t>
            </w:r>
          </w:p>
        </w:tc>
        <w:tc>
          <w:tcPr>
            <w:tcW w:w="0" w:type="auto"/>
            <w:tcMar>
              <w:top w:w="60" w:type="dxa"/>
              <w:left w:w="90" w:type="dxa"/>
              <w:bottom w:w="60" w:type="dxa"/>
              <w:right w:w="90" w:type="dxa"/>
            </w:tcMar>
            <w:vAlign w:val="center"/>
          </w:tcPr>
          <w:p w:rsidR="00287EBA" w:rsidRPr="000C349F" w:rsidRDefault="00287EBA" w:rsidP="00F56688">
            <w:pPr>
              <w:spacing w:line="240" w:lineRule="auto"/>
            </w:pPr>
            <w:r w:rsidRPr="000C349F">
              <w:t>Metaverse experiences</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12</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5.6</w:t>
            </w:r>
          </w:p>
        </w:tc>
      </w:tr>
      <w:tr w:rsidR="00287EBA" w:rsidRPr="000C349F" w:rsidTr="00287EBA">
        <w:trPr>
          <w:trHeight w:val="20"/>
          <w:jc w:val="center"/>
        </w:trPr>
        <w:tc>
          <w:tcPr>
            <w:tcW w:w="0" w:type="auto"/>
            <w:tcMar>
              <w:top w:w="60" w:type="dxa"/>
              <w:left w:w="90" w:type="dxa"/>
              <w:bottom w:w="60" w:type="dxa"/>
              <w:right w:w="90" w:type="dxa"/>
            </w:tcMar>
            <w:vAlign w:val="center"/>
          </w:tcPr>
          <w:p w:rsidR="00287EBA" w:rsidRPr="000C349F" w:rsidRDefault="00287EBA" w:rsidP="00F56688">
            <w:pPr>
              <w:spacing w:line="240" w:lineRule="auto"/>
            </w:pPr>
            <w:r w:rsidRPr="000C349F">
              <w:t xml:space="preserve">  Other nationalities</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35</w:t>
            </w:r>
          </w:p>
        </w:tc>
        <w:tc>
          <w:tcPr>
            <w:tcW w:w="0" w:type="auto"/>
            <w:tcMar>
              <w:top w:w="60" w:type="dxa"/>
              <w:left w:w="90" w:type="dxa"/>
              <w:bottom w:w="60" w:type="dxa"/>
              <w:right w:w="90" w:type="dxa"/>
            </w:tcMar>
            <w:vAlign w:val="center"/>
          </w:tcPr>
          <w:p w:rsidR="00287EBA" w:rsidRPr="000C349F" w:rsidRDefault="00287EBA" w:rsidP="00F56688">
            <w:pPr>
              <w:spacing w:line="240" w:lineRule="auto"/>
              <w:jc w:val="center"/>
            </w:pPr>
            <w:r w:rsidRPr="000C349F">
              <w:t>16.2</w:t>
            </w:r>
          </w:p>
        </w:tc>
        <w:tc>
          <w:tcPr>
            <w:tcW w:w="0" w:type="auto"/>
            <w:tcMar>
              <w:top w:w="60" w:type="dxa"/>
              <w:left w:w="90" w:type="dxa"/>
              <w:bottom w:w="60" w:type="dxa"/>
              <w:right w:w="90" w:type="dxa"/>
            </w:tcMar>
            <w:vAlign w:val="center"/>
          </w:tcPr>
          <w:p w:rsidR="00287EBA" w:rsidRPr="000C349F" w:rsidRDefault="00287EBA" w:rsidP="00F56688">
            <w:pPr>
              <w:spacing w:line="240" w:lineRule="auto"/>
            </w:pPr>
          </w:p>
        </w:tc>
        <w:tc>
          <w:tcPr>
            <w:tcW w:w="0" w:type="auto"/>
            <w:tcMar>
              <w:top w:w="60" w:type="dxa"/>
              <w:left w:w="90" w:type="dxa"/>
              <w:bottom w:w="60" w:type="dxa"/>
              <w:right w:w="90" w:type="dxa"/>
            </w:tcMar>
            <w:vAlign w:val="center"/>
          </w:tcPr>
          <w:p w:rsidR="00287EBA" w:rsidRPr="000C349F" w:rsidRDefault="00287EBA" w:rsidP="00F56688">
            <w:pPr>
              <w:spacing w:line="240" w:lineRule="auto"/>
            </w:pPr>
          </w:p>
        </w:tc>
        <w:tc>
          <w:tcPr>
            <w:tcW w:w="0" w:type="auto"/>
            <w:tcMar>
              <w:top w:w="60" w:type="dxa"/>
              <w:left w:w="90" w:type="dxa"/>
              <w:bottom w:w="60" w:type="dxa"/>
              <w:right w:w="90" w:type="dxa"/>
            </w:tcMar>
            <w:vAlign w:val="center"/>
          </w:tcPr>
          <w:p w:rsidR="00287EBA" w:rsidRPr="000C349F" w:rsidRDefault="00287EBA" w:rsidP="00F56688">
            <w:pPr>
              <w:spacing w:line="240" w:lineRule="auto"/>
            </w:pPr>
          </w:p>
        </w:tc>
      </w:tr>
    </w:tbl>
    <w:p w:rsidR="00707C92" w:rsidRPr="00707C92" w:rsidRDefault="00707C92" w:rsidP="00707C92">
      <w:pPr>
        <w:spacing w:line="240" w:lineRule="auto"/>
        <w:rPr>
          <w:lang w:val="en-US" w:eastAsia="es-ES_tradnl"/>
        </w:rPr>
      </w:pPr>
    </w:p>
    <w:p w:rsidR="00707C92" w:rsidRPr="00707C92" w:rsidRDefault="00707C92" w:rsidP="00B927D2">
      <w:pPr>
        <w:pStyle w:val="Newparagraph"/>
        <w:rPr>
          <w:lang w:val="en-US" w:eastAsia="es-ES_tradnl"/>
        </w:rPr>
      </w:pPr>
      <w:r w:rsidRPr="00707C92">
        <w:rPr>
          <w:lang w:val="en-US" w:eastAsia="es-ES_tradnl"/>
        </w:rPr>
        <w:t>The technology profile—a multiple-response item (percentages do not sum to 100%)—among the analytical sample suggests that respondents were primarily exposed to functional and service-oriented smart festival technologies rather than exclusively immersive or experimental formats. The most frequently reported technologies were digital tickets (95.4%), QR codes (94.0%), RFID wristbands or wearables (79.2%), and official festival apps (76.4%). By contrast, more advanced or less widely diffused technologies such as AI-based systems (28.7%), VR experiences (19.9%), AR experiences (12.5%), robots (11.6%), and metaverse experiences (5.6%) were substantially less common. This pattern indicates that the empirical model captures digitally mediated festival experiences in a broad sense, but within a usage landscape still dominated by functional, navigational, and access-related technologies. Accordingly, the findings should be interpreted as applying to technology-exposed festival attendees and as reflecting aggregate smart-technology-enabled festival experiences rather than the effects of any single technological application.</w:t>
      </w:r>
    </w:p>
    <w:p w:rsidR="00707C92" w:rsidRPr="00707C92" w:rsidRDefault="00707C92" w:rsidP="00287EBA">
      <w:pPr>
        <w:pStyle w:val="Ttulo2"/>
        <w:rPr>
          <w:lang w:val="en-US" w:eastAsia="es-ES_tradnl"/>
        </w:rPr>
      </w:pPr>
      <w:r w:rsidRPr="00707C92">
        <w:rPr>
          <w:color w:val="000000"/>
          <w:lang w:val="en-US" w:eastAsia="es-ES_tradnl"/>
        </w:rPr>
        <w:t>Questionnaire and measures</w:t>
      </w:r>
    </w:p>
    <w:p w:rsidR="00707C92" w:rsidRPr="00707C92" w:rsidRDefault="00707C92" w:rsidP="00287EBA">
      <w:pPr>
        <w:pStyle w:val="Paragraph"/>
        <w:rPr>
          <w:lang w:val="en-US" w:eastAsia="es-ES_tradnl"/>
        </w:rPr>
      </w:pPr>
      <w:r w:rsidRPr="00707C92">
        <w:rPr>
          <w:lang w:val="en-US" w:eastAsia="es-ES_tradnl"/>
        </w:rPr>
        <w:t xml:space="preserve">The questionnaire was designed to </w:t>
      </w:r>
      <w:proofErr w:type="spellStart"/>
      <w:r w:rsidRPr="00707C92">
        <w:rPr>
          <w:lang w:val="en-US" w:eastAsia="es-ES_tradnl"/>
        </w:rPr>
        <w:t>operationalise</w:t>
      </w:r>
      <w:proofErr w:type="spellEnd"/>
      <w:r w:rsidRPr="00707C92">
        <w:rPr>
          <w:lang w:val="en-US" w:eastAsia="es-ES_tradnl"/>
        </w:rPr>
        <w:t xml:space="preserve"> the six latent constructs included in the proposed model using multi-item measures adapted from established scales in prior research. All focal constructs were measured on seven-point Likert-type scales ranging from 1 (“strongly disagree”) to 7 (“strongly agree”). Perceived usefulness was measured with four items adapted from technology acceptance research in digital event contexts, </w:t>
      </w:r>
      <w:r w:rsidRPr="00707C92">
        <w:rPr>
          <w:lang w:val="en-US" w:eastAsia="es-ES_tradnl"/>
        </w:rPr>
        <w:lastRenderedPageBreak/>
        <w:t xml:space="preserve">consistent with the original TAM logic (Davis, 1989; </w:t>
      </w:r>
      <w:proofErr w:type="spellStart"/>
      <w:r w:rsidRPr="00707C92">
        <w:rPr>
          <w:lang w:val="en-US" w:eastAsia="es-ES_tradnl"/>
        </w:rPr>
        <w:t>Bär</w:t>
      </w:r>
      <w:proofErr w:type="spellEnd"/>
      <w:r w:rsidRPr="00707C92">
        <w:rPr>
          <w:lang w:val="en-US" w:eastAsia="es-ES_tradnl"/>
        </w:rPr>
        <w:t xml:space="preserve"> et al., 2025). Perceived </w:t>
      </w:r>
      <w:proofErr w:type="spellStart"/>
      <w:r w:rsidRPr="00707C92">
        <w:rPr>
          <w:lang w:val="en-US" w:eastAsia="es-ES_tradnl"/>
        </w:rPr>
        <w:t>personalisation</w:t>
      </w:r>
      <w:proofErr w:type="spellEnd"/>
      <w:r w:rsidRPr="00707C92">
        <w:rPr>
          <w:lang w:val="en-US" w:eastAsia="es-ES_tradnl"/>
        </w:rPr>
        <w:t xml:space="preserve"> was measured with four items capturing the extent to which festival technologies were perceived to tailor information and recommendations and to support user-controlled </w:t>
      </w:r>
      <w:proofErr w:type="spellStart"/>
      <w:r w:rsidRPr="00707C92">
        <w:rPr>
          <w:lang w:val="en-US" w:eastAsia="es-ES_tradnl"/>
        </w:rPr>
        <w:t>customisation</w:t>
      </w:r>
      <w:proofErr w:type="spellEnd"/>
      <w:r w:rsidRPr="00707C92">
        <w:rPr>
          <w:lang w:val="en-US" w:eastAsia="es-ES_tradnl"/>
        </w:rPr>
        <w:t xml:space="preserve">, drawing on smart tourism and </w:t>
      </w:r>
      <w:proofErr w:type="spellStart"/>
      <w:r w:rsidRPr="00707C92">
        <w:rPr>
          <w:lang w:val="en-US" w:eastAsia="es-ES_tradnl"/>
        </w:rPr>
        <w:t>personalisation</w:t>
      </w:r>
      <w:proofErr w:type="spellEnd"/>
      <w:r w:rsidRPr="00707C92">
        <w:rPr>
          <w:lang w:val="en-US" w:eastAsia="es-ES_tradnl"/>
        </w:rPr>
        <w:t xml:space="preserve"> research (Koo et al., 2025; </w:t>
      </w:r>
      <w:proofErr w:type="spellStart"/>
      <w:r w:rsidRPr="00707C92">
        <w:rPr>
          <w:lang w:val="en-US" w:eastAsia="es-ES_tradnl"/>
        </w:rPr>
        <w:t>Jeong</w:t>
      </w:r>
      <w:proofErr w:type="spellEnd"/>
      <w:r w:rsidRPr="00707C92">
        <w:rPr>
          <w:lang w:val="en-US" w:eastAsia="es-ES_tradnl"/>
        </w:rPr>
        <w:t xml:space="preserve"> &amp; Shin, 2020). Immersive experience was measured with three items assessing absorption, emotional connection, and deep engagement enabled by immersive and interactive festival touchpoints (Chen et al., 2025). Trust in smart festival technologies was measured with three items adapted from the integrated trust–TAM framework, reflecting beliefs about reliability, dependability, and acting in the user’s interest (Gefen et al., 2003). Privacy </w:t>
      </w:r>
      <w:r w:rsidR="00B86585">
        <w:rPr>
          <w:lang w:val="en-US" w:eastAsia="es-ES_tradnl"/>
        </w:rPr>
        <w:t xml:space="preserve">and data </w:t>
      </w:r>
      <w:r w:rsidRPr="00707C92">
        <w:rPr>
          <w:lang w:val="en-US" w:eastAsia="es-ES_tradnl"/>
        </w:rPr>
        <w:t xml:space="preserve">concerns were measured with three items adapted from the IUIPC scale, capturing apprehension regarding data collection, sharing, and use (Malhotra et al., 2004). Finally, loyalty was measured with three items assessing revisit and recommendation intentions toward festivals that effectively integrate smart technologies into the attendee experience (Lee et al., 2012; </w:t>
      </w:r>
      <w:proofErr w:type="spellStart"/>
      <w:r w:rsidRPr="00707C92">
        <w:rPr>
          <w:lang w:val="en-US" w:eastAsia="es-ES_tradnl"/>
        </w:rPr>
        <w:t>Jeong</w:t>
      </w:r>
      <w:proofErr w:type="spellEnd"/>
      <w:r w:rsidRPr="00707C92">
        <w:rPr>
          <w:lang w:val="en-US" w:eastAsia="es-ES_tradnl"/>
        </w:rPr>
        <w:t xml:space="preserve"> &amp; Shin, 2020). The scales were originally sourced from English-language studies, adapted into Spanish for questionnaire administration, and contextually refined for the festival setting. The English wording presented in this paper is intended to reflect the meaning of the Spanish items used in the survey instrument.</w:t>
      </w:r>
    </w:p>
    <w:p w:rsidR="00707C92" w:rsidRPr="00707C92" w:rsidRDefault="00707C92" w:rsidP="00B927D2">
      <w:pPr>
        <w:pStyle w:val="Newparagraph"/>
        <w:rPr>
          <w:lang w:val="en-US" w:eastAsia="es-ES_tradnl"/>
        </w:rPr>
      </w:pPr>
      <w:r w:rsidRPr="00707C92">
        <w:rPr>
          <w:lang w:val="en-US" w:eastAsia="es-ES_tradnl"/>
        </w:rPr>
        <w:t>Prior to the main data collection, the questionnaire was piloted with 45 individuals who had experience attending live festivals. Following the pilot, two academic reviewers assessed the instrument and minor refinements were made to improve wording and construct clarity. All six constructs retained for the present analysis were modelled as reflective latent variables. In addition to the focal measures, the questionnaire also included brief sections on festival attendance, prior exposure to festival technologies, and respondents’ socio-demographic profile.</w:t>
      </w:r>
    </w:p>
    <w:p w:rsidR="00707C92" w:rsidRPr="00707C92" w:rsidRDefault="00707C92" w:rsidP="00B927D2">
      <w:pPr>
        <w:pStyle w:val="Newparagraph"/>
        <w:rPr>
          <w:lang w:val="en-US" w:eastAsia="es-ES_tradnl"/>
        </w:rPr>
      </w:pPr>
      <w:r w:rsidRPr="00707C92">
        <w:rPr>
          <w:lang w:val="en-US" w:eastAsia="es-ES_tradnl"/>
        </w:rPr>
        <w:lastRenderedPageBreak/>
        <w:t xml:space="preserve">A full list of measurement items, construct </w:t>
      </w:r>
      <w:proofErr w:type="spellStart"/>
      <w:r w:rsidRPr="00707C92">
        <w:rPr>
          <w:lang w:val="en-US" w:eastAsia="es-ES_tradnl"/>
        </w:rPr>
        <w:t>operationalisations</w:t>
      </w:r>
      <w:proofErr w:type="spellEnd"/>
      <w:r w:rsidRPr="00707C92">
        <w:rPr>
          <w:lang w:val="en-US" w:eastAsia="es-ES_tradnl"/>
        </w:rPr>
        <w:t>, and source scales is provided in Appendix Table A1.</w:t>
      </w:r>
    </w:p>
    <w:p w:rsidR="00707C92" w:rsidRPr="00707C92" w:rsidRDefault="00707C92" w:rsidP="00B927D2">
      <w:pPr>
        <w:pStyle w:val="Ttulo2"/>
        <w:rPr>
          <w:lang w:val="en-US" w:eastAsia="es-ES_tradnl"/>
        </w:rPr>
      </w:pPr>
      <w:r w:rsidRPr="00707C92">
        <w:rPr>
          <w:lang w:val="en-US" w:eastAsia="es-ES_tradnl"/>
        </w:rPr>
        <w:t>Data analysis</w:t>
      </w:r>
    </w:p>
    <w:p w:rsidR="00707C92" w:rsidRDefault="00707C92" w:rsidP="00B927D2">
      <w:pPr>
        <w:pStyle w:val="Paragraph"/>
        <w:rPr>
          <w:lang w:val="en-US" w:eastAsia="es-ES_tradnl"/>
        </w:rPr>
      </w:pPr>
      <w:r w:rsidRPr="00707C92">
        <w:rPr>
          <w:lang w:val="en-US" w:eastAsia="es-ES_tradnl"/>
        </w:rPr>
        <w:t xml:space="preserve">The main CFA and SEM models were estimated in R using </w:t>
      </w:r>
      <w:proofErr w:type="spellStart"/>
      <w:r w:rsidRPr="00707C92">
        <w:rPr>
          <w:lang w:val="en-US" w:eastAsia="es-ES_tradnl"/>
        </w:rPr>
        <w:t>lavaan</w:t>
      </w:r>
      <w:proofErr w:type="spellEnd"/>
      <w:r w:rsidRPr="00707C92">
        <w:rPr>
          <w:lang w:val="en-US" w:eastAsia="es-ES_tradnl"/>
        </w:rPr>
        <w:t xml:space="preserve"> with robust maximum likelihood (MLR) estimation and FIML treatment of missing data. This approach was considered appropriate because the study aimed to test a theory-driven latent-variable model composed of reflective constructs and to evaluate both measurement quality and structural relationships simultaneously.</w:t>
      </w:r>
    </w:p>
    <w:p w:rsidR="00B927D2" w:rsidRPr="00707C92" w:rsidRDefault="00B927D2" w:rsidP="00707C92">
      <w:pPr>
        <w:spacing w:line="240" w:lineRule="auto"/>
        <w:jc w:val="both"/>
        <w:rPr>
          <w:lang w:val="en-US" w:eastAsia="es-ES_tradnl"/>
        </w:rPr>
      </w:pPr>
    </w:p>
    <w:p w:rsidR="00707C92" w:rsidRPr="00707C92" w:rsidRDefault="00707C92" w:rsidP="00B927D2">
      <w:pPr>
        <w:pStyle w:val="Newparagraph"/>
        <w:rPr>
          <w:lang w:val="en-US" w:eastAsia="es-ES_tradnl"/>
        </w:rPr>
      </w:pPr>
      <w:r w:rsidRPr="00707C92">
        <w:rPr>
          <w:lang w:val="en-US" w:eastAsia="es-ES_tradnl"/>
        </w:rPr>
        <w:t xml:space="preserve">The measurement model was assessed by examining </w:t>
      </w:r>
      <w:proofErr w:type="spellStart"/>
      <w:r w:rsidRPr="00707C92">
        <w:rPr>
          <w:lang w:val="en-US" w:eastAsia="es-ES_tradnl"/>
        </w:rPr>
        <w:t>standardised</w:t>
      </w:r>
      <w:proofErr w:type="spellEnd"/>
      <w:r w:rsidRPr="00707C92">
        <w:rPr>
          <w:lang w:val="en-US" w:eastAsia="es-ES_tradnl"/>
        </w:rPr>
        <w:t xml:space="preserve"> factor loadings, Cronbach’s alpha, composite reliability (CR), and average variance extracted (AVE). Convergent validity was considered satisfactory when AVE exceeded 0.50 and CR exceeded 0.70 (</w:t>
      </w:r>
      <w:proofErr w:type="spellStart"/>
      <w:r w:rsidRPr="00707C92">
        <w:rPr>
          <w:lang w:val="en-US" w:eastAsia="es-ES_tradnl"/>
        </w:rPr>
        <w:t>Fornell</w:t>
      </w:r>
      <w:proofErr w:type="spellEnd"/>
      <w:r w:rsidRPr="00707C92">
        <w:rPr>
          <w:lang w:val="en-US" w:eastAsia="es-ES_tradnl"/>
        </w:rPr>
        <w:t xml:space="preserve"> &amp; </w:t>
      </w:r>
      <w:proofErr w:type="spellStart"/>
      <w:r w:rsidRPr="00707C92">
        <w:rPr>
          <w:lang w:val="en-US" w:eastAsia="es-ES_tradnl"/>
        </w:rPr>
        <w:t>Larcker</w:t>
      </w:r>
      <w:proofErr w:type="spellEnd"/>
      <w:r w:rsidRPr="00707C92">
        <w:rPr>
          <w:lang w:val="en-US" w:eastAsia="es-ES_tradnl"/>
        </w:rPr>
        <w:t xml:space="preserve">, 1981), while discriminant validity was evaluated using the </w:t>
      </w:r>
      <w:proofErr w:type="spellStart"/>
      <w:r w:rsidRPr="00707C92">
        <w:rPr>
          <w:lang w:val="en-US" w:eastAsia="es-ES_tradnl"/>
        </w:rPr>
        <w:t>heterotrait</w:t>
      </w:r>
      <w:proofErr w:type="spellEnd"/>
      <w:r w:rsidRPr="00707C92">
        <w:rPr>
          <w:lang w:val="en-US" w:eastAsia="es-ES_tradnl"/>
        </w:rPr>
        <w:t>–</w:t>
      </w:r>
      <w:proofErr w:type="spellStart"/>
      <w:r w:rsidRPr="00707C92">
        <w:rPr>
          <w:lang w:val="en-US" w:eastAsia="es-ES_tradnl"/>
        </w:rPr>
        <w:t>monotrait</w:t>
      </w:r>
      <w:proofErr w:type="spellEnd"/>
      <w:r w:rsidRPr="00707C92">
        <w:rPr>
          <w:lang w:val="en-US" w:eastAsia="es-ES_tradnl"/>
        </w:rPr>
        <w:t xml:space="preserve"> ratio (HTMT), with values below 0.85 indicating adequate discriminant validity (</w:t>
      </w:r>
      <w:proofErr w:type="spellStart"/>
      <w:r w:rsidRPr="00707C92">
        <w:rPr>
          <w:lang w:val="en-US" w:eastAsia="es-ES_tradnl"/>
        </w:rPr>
        <w:t>Henseler</w:t>
      </w:r>
      <w:proofErr w:type="spellEnd"/>
      <w:r w:rsidRPr="00707C92">
        <w:rPr>
          <w:lang w:val="en-US" w:eastAsia="es-ES_tradnl"/>
        </w:rPr>
        <w:t xml:space="preserve"> et al., 2015). Because all constructs retained in the present study were specified as reflective latent variables, this set of criteria was considered appropriate for evaluating the psychometric quality of the model.</w:t>
      </w:r>
    </w:p>
    <w:p w:rsidR="00707C92" w:rsidRPr="00707C92" w:rsidRDefault="00707C92" w:rsidP="00B927D2">
      <w:pPr>
        <w:pStyle w:val="Newparagraph"/>
        <w:rPr>
          <w:lang w:val="en-US" w:eastAsia="es-ES_tradnl"/>
        </w:rPr>
      </w:pPr>
      <w:r w:rsidRPr="00707C92">
        <w:rPr>
          <w:lang w:val="en-US" w:eastAsia="es-ES_tradnl"/>
        </w:rPr>
        <w:t xml:space="preserve">The structural model was then assessed by examining </w:t>
      </w:r>
      <w:proofErr w:type="spellStart"/>
      <w:r w:rsidRPr="00707C92">
        <w:rPr>
          <w:lang w:val="en-US" w:eastAsia="es-ES_tradnl"/>
        </w:rPr>
        <w:t>standardised</w:t>
      </w:r>
      <w:proofErr w:type="spellEnd"/>
      <w:r w:rsidRPr="00707C92">
        <w:rPr>
          <w:lang w:val="en-US" w:eastAsia="es-ES_tradnl"/>
        </w:rPr>
        <w:t xml:space="preserve"> path coefficients, their significance levels, effect sizes (f²), and the coefficients of determination (R²) of the endogenous constructs. Global model fit was evaluated using multiple indices, including the chi-square to degrees-of-freedom ratio (</w:t>
      </w:r>
      <w:r w:rsidRPr="00707C92">
        <w:rPr>
          <w:lang w:val="es-ES" w:eastAsia="es-ES_tradnl"/>
        </w:rPr>
        <w:t>χ</w:t>
      </w:r>
      <w:r w:rsidRPr="00707C92">
        <w:rPr>
          <w:lang w:val="en-US" w:eastAsia="es-ES_tradnl"/>
        </w:rPr>
        <w:t>²/</w:t>
      </w:r>
      <w:proofErr w:type="spellStart"/>
      <w:r w:rsidRPr="00707C92">
        <w:rPr>
          <w:lang w:val="en-US" w:eastAsia="es-ES_tradnl"/>
        </w:rPr>
        <w:t>df</w:t>
      </w:r>
      <w:proofErr w:type="spellEnd"/>
      <w:r w:rsidRPr="00707C92">
        <w:rPr>
          <w:lang w:val="en-US" w:eastAsia="es-ES_tradnl"/>
        </w:rPr>
        <w:t xml:space="preserve">), the Comparative Fit Index (CFI), the Tucker–Lewis Index (TLI), the Root Mean Square Error of Approximation (RMSEA), and the </w:t>
      </w:r>
      <w:proofErr w:type="spellStart"/>
      <w:r w:rsidRPr="00707C92">
        <w:rPr>
          <w:lang w:val="en-US" w:eastAsia="es-ES_tradnl"/>
        </w:rPr>
        <w:t>Standardised</w:t>
      </w:r>
      <w:proofErr w:type="spellEnd"/>
      <w:r w:rsidRPr="00707C92">
        <w:rPr>
          <w:lang w:val="en-US" w:eastAsia="es-ES_tradnl"/>
        </w:rPr>
        <w:t xml:space="preserve"> Root Mean Square Residual (SRMR), following established SEM guidance (Hu &amp; </w:t>
      </w:r>
      <w:proofErr w:type="spellStart"/>
      <w:r w:rsidRPr="00707C92">
        <w:rPr>
          <w:lang w:val="en-US" w:eastAsia="es-ES_tradnl"/>
        </w:rPr>
        <w:t>Bentler</w:t>
      </w:r>
      <w:proofErr w:type="spellEnd"/>
      <w:r w:rsidRPr="00707C92">
        <w:rPr>
          <w:lang w:val="en-US" w:eastAsia="es-ES_tradnl"/>
        </w:rPr>
        <w:t xml:space="preserve">, 1999). As in other </w:t>
      </w:r>
      <w:r w:rsidRPr="00707C92">
        <w:rPr>
          <w:lang w:val="en-US" w:eastAsia="es-ES_tradnl"/>
        </w:rPr>
        <w:lastRenderedPageBreak/>
        <w:t>applications of SEM in tourism research, fit indices were interpreted jointly rather than in isolation.</w:t>
      </w:r>
    </w:p>
    <w:p w:rsidR="00707C92" w:rsidRPr="00707C92" w:rsidRDefault="00707C92" w:rsidP="00B927D2">
      <w:pPr>
        <w:pStyle w:val="Newparagraph"/>
        <w:rPr>
          <w:lang w:val="en-US" w:eastAsia="es-ES_tradnl"/>
        </w:rPr>
      </w:pPr>
      <w:r w:rsidRPr="00707C92">
        <w:rPr>
          <w:lang w:val="en-US" w:eastAsia="es-ES_tradnl"/>
        </w:rPr>
        <w:t xml:space="preserve">Indirect effects were tested using bootstrap resampling with 5,000 resamples, allowing the estimation of standard errors, p-values, and confidence intervals for the mediated paths. In addition, the explanatory power of the model was assessed through the R² values of perceived </w:t>
      </w:r>
      <w:proofErr w:type="spellStart"/>
      <w:r w:rsidRPr="00707C92">
        <w:rPr>
          <w:lang w:val="en-US" w:eastAsia="es-ES_tradnl"/>
        </w:rPr>
        <w:t>personalisation</w:t>
      </w:r>
      <w:proofErr w:type="spellEnd"/>
      <w:r w:rsidRPr="00707C92">
        <w:rPr>
          <w:lang w:val="en-US" w:eastAsia="es-ES_tradnl"/>
        </w:rPr>
        <w:t xml:space="preserve">, immersive experience, and loyalty, while substantive effect magnitudes were interpreted using f² values. Given the moderate complexity of the model and the strength of the measurement parameters, the analytical sample of 216 respondents was considered adequate for the present CB-SEM application, while </w:t>
      </w:r>
      <w:proofErr w:type="spellStart"/>
      <w:r w:rsidRPr="00707C92">
        <w:rPr>
          <w:lang w:val="en-US" w:eastAsia="es-ES_tradnl"/>
        </w:rPr>
        <w:t>recognising</w:t>
      </w:r>
      <w:proofErr w:type="spellEnd"/>
      <w:r w:rsidRPr="00707C92">
        <w:rPr>
          <w:lang w:val="en-US" w:eastAsia="es-ES_tradnl"/>
        </w:rPr>
        <w:t xml:space="preserve"> that sample adequacy in SEM is model-dependent rather than governed by a universal rule (Wolf et al., 2013).</w:t>
      </w:r>
    </w:p>
    <w:p w:rsidR="00707C92" w:rsidRPr="00707C92" w:rsidRDefault="00707C92" w:rsidP="00B927D2">
      <w:pPr>
        <w:pStyle w:val="Ttulo2"/>
        <w:rPr>
          <w:lang w:val="en-US" w:eastAsia="es-ES_tradnl"/>
        </w:rPr>
      </w:pPr>
      <w:r w:rsidRPr="00707C92">
        <w:rPr>
          <w:lang w:val="en-US" w:eastAsia="es-ES_tradnl"/>
        </w:rPr>
        <w:t>Results </w:t>
      </w:r>
    </w:p>
    <w:p w:rsidR="00707C92" w:rsidRPr="00707C92" w:rsidRDefault="00707C92" w:rsidP="00707C92">
      <w:pPr>
        <w:spacing w:line="240" w:lineRule="auto"/>
        <w:rPr>
          <w:lang w:val="en-US" w:eastAsia="es-ES_tradnl"/>
        </w:rPr>
      </w:pPr>
    </w:p>
    <w:p w:rsidR="00707C92" w:rsidRPr="00707C92" w:rsidRDefault="00707C92" w:rsidP="00B927D2">
      <w:pPr>
        <w:pStyle w:val="Paragraph"/>
        <w:rPr>
          <w:lang w:val="en-US" w:eastAsia="es-ES_tradnl"/>
        </w:rPr>
      </w:pPr>
      <w:r w:rsidRPr="00707C92">
        <w:rPr>
          <w:lang w:val="en-US" w:eastAsia="es-ES_tradnl"/>
        </w:rPr>
        <w:t>Appendix Table A2 reports the descriptive statistics and standardized loadings for all measurement items. Overall, the indicators displayed satisfactory psychometric properties. All standardized factor loadings were statistically significant at the 0.001 level, and most exceeded the conventional 0.70 threshold. Only one item (</w:t>
      </w:r>
      <w:r w:rsidR="00B86585" w:rsidRPr="006F6DFC">
        <w:rPr>
          <w:lang w:val="en-US" w:eastAsia="es-ES_tradnl"/>
        </w:rPr>
        <w:t>Smart technologies would improve my ability to navigate and plan my festival experience</w:t>
      </w:r>
      <w:r w:rsidRPr="00707C92">
        <w:rPr>
          <w:lang w:val="en-US" w:eastAsia="es-ES_tradnl"/>
        </w:rPr>
        <w:t xml:space="preserve"> = 0.668) fell slightly below this benchmark, although it remained statistically significant and was retained because the corresponding construct still demonstrated acceptable overall reliability and convergent validity. The remaining loadings ranged from 0.732 to 0.930, indicating that the observed indicators adequately represented their intended latent constructs. </w:t>
      </w:r>
    </w:p>
    <w:p w:rsidR="00707C92" w:rsidRPr="00707C92" w:rsidRDefault="00707C92" w:rsidP="00707C92">
      <w:pPr>
        <w:spacing w:line="240" w:lineRule="auto"/>
        <w:rPr>
          <w:lang w:val="en-US" w:eastAsia="es-ES_tradnl"/>
        </w:rPr>
      </w:pPr>
    </w:p>
    <w:p w:rsidR="00707C92" w:rsidRPr="00707C92" w:rsidRDefault="00707C92" w:rsidP="00B927D2">
      <w:pPr>
        <w:pStyle w:val="Newparagraph"/>
        <w:rPr>
          <w:lang w:val="en-US" w:eastAsia="es-ES_tradnl"/>
        </w:rPr>
      </w:pPr>
      <w:r w:rsidRPr="00707C92">
        <w:rPr>
          <w:lang w:val="en-US" w:eastAsia="es-ES_tradnl"/>
        </w:rPr>
        <w:lastRenderedPageBreak/>
        <w:t>The measurement model demonstrated satisfactory internal consistency and convergent validity (Table 2). Average variance extracted (AVE) values ranged from 0.607 to 0.799, consistently exceeding the recommended threshold of 0.50. Composite reliability (CR) values ranged from 0.840 to 0.923, while Cronbach’s alpha coefficients ranged from 0.837 to 0.922. Taken together, these results indicate that all constructs exhibited acceptable-to-strong reliability and convergent validity. In particular, privacy concerns, perceived personalization, immersive experience, and loyalty showed especially strong psychometric performance. </w:t>
      </w:r>
    </w:p>
    <w:p w:rsidR="00707C92" w:rsidRPr="00707C92" w:rsidRDefault="00707C92" w:rsidP="00707C92">
      <w:pPr>
        <w:spacing w:line="240" w:lineRule="auto"/>
        <w:rPr>
          <w:lang w:val="en-US" w:eastAsia="es-ES_tradnl"/>
        </w:rPr>
      </w:pPr>
    </w:p>
    <w:p w:rsidR="00707C92" w:rsidRDefault="00707C92" w:rsidP="003D3C59">
      <w:pPr>
        <w:pStyle w:val="Tabletitle"/>
        <w:rPr>
          <w:lang w:val="en-US" w:eastAsia="es-ES_tradnl"/>
        </w:rPr>
      </w:pPr>
      <w:r w:rsidRPr="00707C92">
        <w:rPr>
          <w:lang w:val="en-US" w:eastAsia="es-ES_tradnl"/>
        </w:rPr>
        <w:t>T</w:t>
      </w:r>
      <w:r w:rsidR="003D3C59">
        <w:rPr>
          <w:lang w:val="en-US" w:eastAsia="es-ES_tradnl"/>
        </w:rPr>
        <w:t>able</w:t>
      </w:r>
      <w:r w:rsidRPr="00707C92">
        <w:rPr>
          <w:lang w:val="en-US" w:eastAsia="es-ES_tradnl"/>
        </w:rPr>
        <w:t xml:space="preserve"> 2. Measurement model evaluation</w:t>
      </w:r>
    </w:p>
    <w:tbl>
      <w:tblPr>
        <w:tblW w:w="0" w:type="auto"/>
        <w:jc w:val="center"/>
        <w:tblLayout w:type="fixed"/>
        <w:tblLook w:val="0420" w:firstRow="1" w:lastRow="0" w:firstColumn="0" w:lastColumn="0" w:noHBand="0" w:noVBand="1"/>
      </w:tblPr>
      <w:tblGrid>
        <w:gridCol w:w="3167"/>
        <w:gridCol w:w="858"/>
        <w:gridCol w:w="858"/>
        <w:gridCol w:w="869"/>
      </w:tblGrid>
      <w:tr w:rsidR="003D3C59" w:rsidRPr="00FF7E14" w:rsidTr="00F56688">
        <w:trPr>
          <w:tblHeader/>
          <w:jc w:val="center"/>
        </w:trPr>
        <w:tc>
          <w:tcPr>
            <w:tcW w:w="3167" w:type="dxa"/>
            <w:tcBorders>
              <w:bottom w:val="single" w:sz="4" w:space="0" w:color="auto"/>
            </w:tcBorders>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rPr>
                <w:rFonts w:eastAsia="Helvetica"/>
                <w:color w:val="000000"/>
              </w:rPr>
            </w:pPr>
            <w:r w:rsidRPr="00FF7E14">
              <w:rPr>
                <w:rFonts w:eastAsia="Helvetica"/>
                <w:color w:val="000000"/>
              </w:rPr>
              <w:t>Construct</w:t>
            </w:r>
          </w:p>
        </w:tc>
        <w:tc>
          <w:tcPr>
            <w:tcW w:w="858" w:type="dxa"/>
            <w:tcBorders>
              <w:bottom w:val="single" w:sz="4" w:space="0" w:color="auto"/>
            </w:tcBorders>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AVE</w:t>
            </w:r>
          </w:p>
        </w:tc>
        <w:tc>
          <w:tcPr>
            <w:tcW w:w="858" w:type="dxa"/>
            <w:tcBorders>
              <w:bottom w:val="single" w:sz="4" w:space="0" w:color="auto"/>
            </w:tcBorders>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CR</w:t>
            </w:r>
          </w:p>
        </w:tc>
        <w:tc>
          <w:tcPr>
            <w:tcW w:w="869" w:type="dxa"/>
            <w:tcBorders>
              <w:bottom w:val="single" w:sz="4" w:space="0" w:color="auto"/>
            </w:tcBorders>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Alpha</w:t>
            </w:r>
          </w:p>
        </w:tc>
      </w:tr>
      <w:tr w:rsidR="003D3C59" w:rsidRPr="00FF7E14" w:rsidTr="00F56688">
        <w:trPr>
          <w:jc w:val="center"/>
        </w:trPr>
        <w:tc>
          <w:tcPr>
            <w:tcW w:w="3167" w:type="dxa"/>
            <w:tcBorders>
              <w:top w:val="single" w:sz="4" w:space="0" w:color="auto"/>
            </w:tcBorders>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rPr>
                <w:rFonts w:eastAsia="Helvetica"/>
                <w:color w:val="000000"/>
              </w:rPr>
            </w:pPr>
            <w:r w:rsidRPr="00FF7E14">
              <w:rPr>
                <w:rFonts w:eastAsia="Helvetica"/>
                <w:color w:val="000000"/>
              </w:rPr>
              <w:t>P</w:t>
            </w:r>
            <w:r>
              <w:rPr>
                <w:rFonts w:eastAsia="Helvetica"/>
                <w:color w:val="000000"/>
              </w:rPr>
              <w:t>erceived Usefulness</w:t>
            </w:r>
          </w:p>
        </w:tc>
        <w:tc>
          <w:tcPr>
            <w:tcW w:w="858" w:type="dxa"/>
            <w:tcBorders>
              <w:top w:val="single" w:sz="4" w:space="0" w:color="auto"/>
            </w:tcBorders>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0.607</w:t>
            </w:r>
          </w:p>
        </w:tc>
        <w:tc>
          <w:tcPr>
            <w:tcW w:w="858" w:type="dxa"/>
            <w:tcBorders>
              <w:top w:val="single" w:sz="4" w:space="0" w:color="auto"/>
            </w:tcBorders>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0.860</w:t>
            </w:r>
          </w:p>
        </w:tc>
        <w:tc>
          <w:tcPr>
            <w:tcW w:w="869" w:type="dxa"/>
            <w:tcBorders>
              <w:top w:val="single" w:sz="4" w:space="0" w:color="auto"/>
            </w:tcBorders>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0.859</w:t>
            </w:r>
          </w:p>
        </w:tc>
      </w:tr>
      <w:tr w:rsidR="003D3C59" w:rsidRPr="00FF7E14" w:rsidTr="00F56688">
        <w:trPr>
          <w:jc w:val="center"/>
        </w:trPr>
        <w:tc>
          <w:tcPr>
            <w:tcW w:w="3167" w:type="dxa"/>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rPr>
                <w:rFonts w:eastAsia="Helvetica"/>
                <w:color w:val="000000"/>
              </w:rPr>
            </w:pPr>
            <w:r>
              <w:rPr>
                <w:rFonts w:eastAsia="Helvetica"/>
                <w:color w:val="000000"/>
              </w:rPr>
              <w:t>Trust in Smart Technologies</w:t>
            </w:r>
          </w:p>
        </w:tc>
        <w:tc>
          <w:tcPr>
            <w:tcW w:w="858" w:type="dxa"/>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0.637</w:t>
            </w:r>
          </w:p>
        </w:tc>
        <w:tc>
          <w:tcPr>
            <w:tcW w:w="858" w:type="dxa"/>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0.840</w:t>
            </w:r>
          </w:p>
        </w:tc>
        <w:tc>
          <w:tcPr>
            <w:tcW w:w="869" w:type="dxa"/>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0.837</w:t>
            </w:r>
          </w:p>
        </w:tc>
      </w:tr>
      <w:tr w:rsidR="003D3C59" w:rsidRPr="00FF7E14" w:rsidTr="00F56688">
        <w:trPr>
          <w:jc w:val="center"/>
        </w:trPr>
        <w:tc>
          <w:tcPr>
            <w:tcW w:w="3167" w:type="dxa"/>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rPr>
                <w:rFonts w:eastAsia="Helvetica"/>
                <w:color w:val="000000"/>
              </w:rPr>
            </w:pPr>
            <w:r w:rsidRPr="00FF7E14">
              <w:rPr>
                <w:rFonts w:eastAsia="Helvetica"/>
                <w:color w:val="000000"/>
              </w:rPr>
              <w:t>P</w:t>
            </w:r>
            <w:r>
              <w:rPr>
                <w:rFonts w:eastAsia="Helvetica"/>
                <w:color w:val="000000"/>
              </w:rPr>
              <w:t>rivacy and Data Concerns</w:t>
            </w:r>
          </w:p>
        </w:tc>
        <w:tc>
          <w:tcPr>
            <w:tcW w:w="858" w:type="dxa"/>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0.799</w:t>
            </w:r>
          </w:p>
        </w:tc>
        <w:tc>
          <w:tcPr>
            <w:tcW w:w="858" w:type="dxa"/>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0.923</w:t>
            </w:r>
          </w:p>
        </w:tc>
        <w:tc>
          <w:tcPr>
            <w:tcW w:w="869" w:type="dxa"/>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0.922</w:t>
            </w:r>
          </w:p>
        </w:tc>
      </w:tr>
      <w:tr w:rsidR="003D3C59" w:rsidRPr="00FF7E14" w:rsidTr="00F56688">
        <w:trPr>
          <w:jc w:val="center"/>
        </w:trPr>
        <w:tc>
          <w:tcPr>
            <w:tcW w:w="3167" w:type="dxa"/>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rPr>
                <w:rFonts w:eastAsia="Helvetica"/>
                <w:color w:val="000000"/>
              </w:rPr>
            </w:pPr>
            <w:r w:rsidRPr="00FF7E14">
              <w:rPr>
                <w:rFonts w:eastAsia="Helvetica"/>
                <w:color w:val="000000"/>
              </w:rPr>
              <w:t>P</w:t>
            </w:r>
            <w:r>
              <w:rPr>
                <w:rFonts w:eastAsia="Helvetica"/>
                <w:color w:val="000000"/>
              </w:rPr>
              <w:t>erceived Personalization</w:t>
            </w:r>
          </w:p>
        </w:tc>
        <w:tc>
          <w:tcPr>
            <w:tcW w:w="858" w:type="dxa"/>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0.680</w:t>
            </w:r>
          </w:p>
        </w:tc>
        <w:tc>
          <w:tcPr>
            <w:tcW w:w="858" w:type="dxa"/>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0.894</w:t>
            </w:r>
          </w:p>
        </w:tc>
        <w:tc>
          <w:tcPr>
            <w:tcW w:w="869" w:type="dxa"/>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0.889</w:t>
            </w:r>
          </w:p>
        </w:tc>
      </w:tr>
      <w:tr w:rsidR="003D3C59" w:rsidRPr="00FF7E14" w:rsidTr="00F56688">
        <w:trPr>
          <w:jc w:val="center"/>
        </w:trPr>
        <w:tc>
          <w:tcPr>
            <w:tcW w:w="3167" w:type="dxa"/>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rPr>
                <w:rFonts w:eastAsia="Helvetica"/>
                <w:color w:val="000000"/>
              </w:rPr>
            </w:pPr>
            <w:r w:rsidRPr="00FF7E14">
              <w:rPr>
                <w:rFonts w:eastAsia="Helvetica"/>
                <w:color w:val="000000"/>
              </w:rPr>
              <w:t>I</w:t>
            </w:r>
            <w:r>
              <w:rPr>
                <w:rFonts w:eastAsia="Helvetica"/>
                <w:color w:val="000000"/>
              </w:rPr>
              <w:t>mmersive Experience</w:t>
            </w:r>
          </w:p>
        </w:tc>
        <w:tc>
          <w:tcPr>
            <w:tcW w:w="858" w:type="dxa"/>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0.717</w:t>
            </w:r>
          </w:p>
        </w:tc>
        <w:tc>
          <w:tcPr>
            <w:tcW w:w="858" w:type="dxa"/>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0.884</w:t>
            </w:r>
          </w:p>
        </w:tc>
        <w:tc>
          <w:tcPr>
            <w:tcW w:w="869" w:type="dxa"/>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0.881</w:t>
            </w:r>
          </w:p>
        </w:tc>
      </w:tr>
      <w:tr w:rsidR="003D3C59" w:rsidRPr="00FF7E14" w:rsidTr="00F56688">
        <w:trPr>
          <w:jc w:val="center"/>
        </w:trPr>
        <w:tc>
          <w:tcPr>
            <w:tcW w:w="3167" w:type="dxa"/>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rPr>
                <w:rFonts w:eastAsia="Helvetica"/>
                <w:color w:val="000000"/>
              </w:rPr>
            </w:pPr>
            <w:proofErr w:type="spellStart"/>
            <w:r>
              <w:rPr>
                <w:rFonts w:eastAsia="Helvetica"/>
                <w:color w:val="000000"/>
              </w:rPr>
              <w:t>Behavioral</w:t>
            </w:r>
            <w:proofErr w:type="spellEnd"/>
            <w:r>
              <w:rPr>
                <w:rFonts w:eastAsia="Helvetica"/>
                <w:color w:val="000000"/>
              </w:rPr>
              <w:t xml:space="preserve"> Loyalty Intention</w:t>
            </w:r>
          </w:p>
        </w:tc>
        <w:tc>
          <w:tcPr>
            <w:tcW w:w="858" w:type="dxa"/>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0.740</w:t>
            </w:r>
          </w:p>
        </w:tc>
        <w:tc>
          <w:tcPr>
            <w:tcW w:w="858" w:type="dxa"/>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0.895</w:t>
            </w:r>
          </w:p>
        </w:tc>
        <w:tc>
          <w:tcPr>
            <w:tcW w:w="869" w:type="dxa"/>
            <w:shd w:val="clear" w:color="auto" w:fill="FFFFFF"/>
            <w:tcMar>
              <w:top w:w="0" w:type="dxa"/>
              <w:left w:w="0" w:type="dxa"/>
              <w:bottom w:w="0" w:type="dxa"/>
              <w:right w:w="0" w:type="dxa"/>
            </w:tcMar>
            <w:vAlign w:val="center"/>
          </w:tcPr>
          <w:p w:rsidR="003D3C59" w:rsidRPr="00FF7E14" w:rsidRDefault="003D3C59"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0.888</w:t>
            </w:r>
          </w:p>
        </w:tc>
      </w:tr>
    </w:tbl>
    <w:p w:rsidR="003D3C59" w:rsidRPr="003D3C59" w:rsidRDefault="003D3C59" w:rsidP="003D3C59">
      <w:pPr>
        <w:rPr>
          <w:lang w:val="en-US" w:eastAsia="es-ES_tradnl"/>
        </w:rPr>
      </w:pPr>
    </w:p>
    <w:p w:rsidR="00707C92" w:rsidRPr="00707C92" w:rsidRDefault="00707C92" w:rsidP="00707C92">
      <w:pPr>
        <w:spacing w:line="240" w:lineRule="auto"/>
        <w:rPr>
          <w:lang w:val="en-US" w:eastAsia="es-ES_tradnl"/>
        </w:rPr>
      </w:pPr>
    </w:p>
    <w:p w:rsidR="00707C92" w:rsidRPr="00707C92" w:rsidRDefault="00707C92" w:rsidP="007F4235">
      <w:pPr>
        <w:pStyle w:val="Newparagraph"/>
        <w:rPr>
          <w:lang w:val="en-US" w:eastAsia="es-ES_tradnl"/>
        </w:rPr>
      </w:pPr>
      <w:r w:rsidRPr="00707C92">
        <w:rPr>
          <w:lang w:val="en-US" w:eastAsia="es-ES_tradnl"/>
        </w:rPr>
        <w:t xml:space="preserve">Discriminant validity was assessed using the </w:t>
      </w:r>
      <w:proofErr w:type="spellStart"/>
      <w:r w:rsidRPr="00707C92">
        <w:rPr>
          <w:lang w:val="en-US" w:eastAsia="es-ES_tradnl"/>
        </w:rPr>
        <w:t>heterotrait-monotrait</w:t>
      </w:r>
      <w:proofErr w:type="spellEnd"/>
      <w:r w:rsidRPr="00707C92">
        <w:rPr>
          <w:lang w:val="en-US" w:eastAsia="es-ES_tradnl"/>
        </w:rPr>
        <w:t xml:space="preserve"> ratio (HTMT). As reported in Table 3, all HTMT values were below the conservative threshold of 0.85. The highest observed HTMT ratio was between immersive experience and loyalty (HTMT = 0.721), followed by the associations between loyalty and perceived usefulness (HTMT = 0.708) and between perceived usefulness and </w:t>
      </w:r>
      <w:r w:rsidRPr="00707C92">
        <w:rPr>
          <w:lang w:val="en-US" w:eastAsia="es-ES_tradnl"/>
        </w:rPr>
        <w:lastRenderedPageBreak/>
        <w:t>personalization (HTMT = 0.706). Although some constructs were strongly related, none appeared empirically redundant, thereby supporting discriminant validity. </w:t>
      </w:r>
    </w:p>
    <w:p w:rsidR="00707C92" w:rsidRDefault="00707C92" w:rsidP="003D3C59">
      <w:pPr>
        <w:pStyle w:val="Tabletitle"/>
        <w:rPr>
          <w:lang w:val="en-US" w:eastAsia="es-ES_tradnl"/>
        </w:rPr>
      </w:pPr>
      <w:r w:rsidRPr="00707C92">
        <w:rPr>
          <w:lang w:val="en-US" w:eastAsia="es-ES_tradnl"/>
        </w:rPr>
        <w:t>T</w:t>
      </w:r>
      <w:r w:rsidR="003D3C59">
        <w:rPr>
          <w:lang w:val="en-US" w:eastAsia="es-ES_tradnl"/>
        </w:rPr>
        <w:t>able</w:t>
      </w:r>
      <w:r w:rsidRPr="00707C92">
        <w:rPr>
          <w:lang w:val="en-US" w:eastAsia="es-ES_tradnl"/>
        </w:rPr>
        <w:t xml:space="preserve"> 3.  </w:t>
      </w:r>
      <w:proofErr w:type="spellStart"/>
      <w:r w:rsidRPr="00707C92">
        <w:rPr>
          <w:lang w:val="en-US" w:eastAsia="es-ES_tradnl"/>
        </w:rPr>
        <w:t>Heterotrait-Monotrait</w:t>
      </w:r>
      <w:proofErr w:type="spellEnd"/>
      <w:r w:rsidRPr="00707C92">
        <w:rPr>
          <w:lang w:val="en-US" w:eastAsia="es-ES_tradnl"/>
        </w:rPr>
        <w:t xml:space="preserve"> Ratio (HTMT)</w:t>
      </w:r>
    </w:p>
    <w:tbl>
      <w:tblPr>
        <w:tblW w:w="9677" w:type="dxa"/>
        <w:jc w:val="center"/>
        <w:tblLook w:val="0420" w:firstRow="1" w:lastRow="0" w:firstColumn="0" w:lastColumn="0" w:noHBand="0" w:noVBand="1"/>
      </w:tblPr>
      <w:tblGrid>
        <w:gridCol w:w="1985"/>
        <w:gridCol w:w="1239"/>
        <w:gridCol w:w="1373"/>
        <w:gridCol w:w="987"/>
        <w:gridCol w:w="1640"/>
        <w:gridCol w:w="1240"/>
        <w:gridCol w:w="1213"/>
      </w:tblGrid>
      <w:tr w:rsidR="003D3C59" w:rsidRPr="003D3C59" w:rsidTr="00F56688">
        <w:trPr>
          <w:trHeight w:val="20"/>
          <w:tblHeader/>
          <w:jc w:val="center"/>
        </w:trPr>
        <w:tc>
          <w:tcPr>
            <w:tcW w:w="1985" w:type="dxa"/>
            <w:tcBorders>
              <w:bottom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proofErr w:type="spellStart"/>
            <w:r w:rsidRPr="003D3C59">
              <w:rPr>
                <w:rFonts w:eastAsia="Helvetica"/>
                <w:color w:val="000000"/>
                <w:lang w:val="es-ES" w:eastAsia="es-ES_tradnl"/>
              </w:rPr>
              <w:t>Construct</w:t>
            </w:r>
            <w:proofErr w:type="spellEnd"/>
          </w:p>
        </w:tc>
        <w:tc>
          <w:tcPr>
            <w:tcW w:w="1239" w:type="dxa"/>
            <w:tcBorders>
              <w:bottom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right="80"/>
              <w:jc w:val="center"/>
              <w:rPr>
                <w:rFonts w:eastAsia="Helvetica"/>
                <w:color w:val="000000"/>
                <w:lang w:val="es-ES" w:eastAsia="es-ES_tradnl"/>
              </w:rPr>
            </w:pPr>
            <w:proofErr w:type="spellStart"/>
            <w:r w:rsidRPr="003D3C59">
              <w:rPr>
                <w:rFonts w:eastAsia="Helvetica"/>
                <w:color w:val="000000"/>
                <w:lang w:val="es-ES" w:eastAsia="es-ES_tradnl"/>
              </w:rPr>
              <w:t>Perceived</w:t>
            </w:r>
            <w:proofErr w:type="spellEnd"/>
            <w:r w:rsidRPr="003D3C59">
              <w:rPr>
                <w:rFonts w:eastAsia="Helvetica"/>
                <w:color w:val="000000"/>
                <w:lang w:val="es-ES" w:eastAsia="es-ES_tradnl"/>
              </w:rPr>
              <w:t xml:space="preserve"> </w:t>
            </w:r>
            <w:proofErr w:type="spellStart"/>
            <w:r w:rsidRPr="003D3C59">
              <w:rPr>
                <w:rFonts w:eastAsia="Helvetica"/>
                <w:color w:val="000000"/>
                <w:lang w:val="es-ES" w:eastAsia="es-ES_tradnl"/>
              </w:rPr>
              <w:t>Usefulness</w:t>
            </w:r>
            <w:proofErr w:type="spellEnd"/>
          </w:p>
        </w:tc>
        <w:tc>
          <w:tcPr>
            <w:tcW w:w="0" w:type="auto"/>
            <w:tcBorders>
              <w:bottom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right="80"/>
              <w:jc w:val="center"/>
              <w:rPr>
                <w:rFonts w:eastAsia="Helvetica"/>
                <w:color w:val="000000"/>
                <w:lang w:val="es-ES" w:eastAsia="es-ES_tradnl"/>
              </w:rPr>
            </w:pPr>
            <w:r w:rsidRPr="003D3C59">
              <w:rPr>
                <w:rFonts w:eastAsia="Helvetica"/>
                <w:color w:val="000000"/>
                <w:lang w:val="es-ES" w:eastAsia="es-ES_tradnl"/>
              </w:rPr>
              <w:t>Trust in Smart Technologies</w:t>
            </w:r>
          </w:p>
        </w:tc>
        <w:tc>
          <w:tcPr>
            <w:tcW w:w="0" w:type="auto"/>
            <w:tcBorders>
              <w:bottom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right="80"/>
              <w:jc w:val="center"/>
              <w:rPr>
                <w:rFonts w:eastAsia="Helvetica"/>
                <w:color w:val="000000"/>
                <w:lang w:val="es-ES" w:eastAsia="es-ES_tradnl"/>
              </w:rPr>
            </w:pPr>
            <w:proofErr w:type="spellStart"/>
            <w:r w:rsidRPr="003D3C59">
              <w:rPr>
                <w:rFonts w:eastAsia="Helvetica"/>
                <w:color w:val="000000"/>
                <w:lang w:val="es-ES" w:eastAsia="es-ES_tradnl"/>
              </w:rPr>
              <w:t>Privacy</w:t>
            </w:r>
            <w:proofErr w:type="spellEnd"/>
            <w:r w:rsidRPr="003D3C59">
              <w:rPr>
                <w:rFonts w:eastAsia="Helvetica"/>
                <w:color w:val="000000"/>
                <w:lang w:val="es-ES" w:eastAsia="es-ES_tradnl"/>
              </w:rPr>
              <w:t xml:space="preserve"> and Data </w:t>
            </w:r>
            <w:proofErr w:type="spellStart"/>
            <w:r w:rsidRPr="003D3C59">
              <w:rPr>
                <w:rFonts w:eastAsia="Helvetica"/>
                <w:color w:val="000000"/>
                <w:lang w:val="es-ES" w:eastAsia="es-ES_tradnl"/>
              </w:rPr>
              <w:t>Concerns</w:t>
            </w:r>
            <w:proofErr w:type="spellEnd"/>
          </w:p>
        </w:tc>
        <w:tc>
          <w:tcPr>
            <w:tcW w:w="0" w:type="auto"/>
            <w:tcBorders>
              <w:bottom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roofErr w:type="spellStart"/>
            <w:r w:rsidRPr="003D3C59">
              <w:rPr>
                <w:rFonts w:eastAsia="Helvetica"/>
                <w:color w:val="000000"/>
                <w:lang w:val="es-ES" w:eastAsia="es-ES_tradnl"/>
              </w:rPr>
              <w:t>Perceived</w:t>
            </w:r>
            <w:proofErr w:type="spellEnd"/>
            <w:r w:rsidRPr="003D3C59">
              <w:rPr>
                <w:rFonts w:eastAsia="Helvetica"/>
                <w:color w:val="000000"/>
                <w:lang w:val="es-ES" w:eastAsia="es-ES_tradnl"/>
              </w:rPr>
              <w:t xml:space="preserve"> </w:t>
            </w:r>
            <w:proofErr w:type="spellStart"/>
            <w:r w:rsidRPr="003D3C59">
              <w:rPr>
                <w:rFonts w:eastAsia="Helvetica"/>
                <w:color w:val="000000"/>
                <w:lang w:val="es-ES" w:eastAsia="es-ES_tradnl"/>
              </w:rPr>
              <w:t>Personalization</w:t>
            </w:r>
            <w:proofErr w:type="spellEnd"/>
          </w:p>
        </w:tc>
        <w:tc>
          <w:tcPr>
            <w:tcW w:w="0" w:type="auto"/>
            <w:tcBorders>
              <w:bottom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roofErr w:type="spellStart"/>
            <w:r w:rsidRPr="003D3C59">
              <w:rPr>
                <w:rFonts w:eastAsia="Helvetica"/>
                <w:color w:val="000000"/>
                <w:lang w:val="es-ES" w:eastAsia="es-ES_tradnl"/>
              </w:rPr>
              <w:t>Immersive</w:t>
            </w:r>
            <w:proofErr w:type="spellEnd"/>
            <w:r w:rsidRPr="003D3C59">
              <w:rPr>
                <w:rFonts w:eastAsia="Helvetica"/>
                <w:color w:val="000000"/>
                <w:lang w:val="es-ES" w:eastAsia="es-ES_tradnl"/>
              </w:rPr>
              <w:t xml:space="preserve"> </w:t>
            </w:r>
            <w:proofErr w:type="spellStart"/>
            <w:r w:rsidRPr="003D3C59">
              <w:rPr>
                <w:rFonts w:eastAsia="Helvetica"/>
                <w:color w:val="000000"/>
                <w:lang w:val="es-ES" w:eastAsia="es-ES_tradnl"/>
              </w:rPr>
              <w:t>Experience</w:t>
            </w:r>
            <w:proofErr w:type="spellEnd"/>
          </w:p>
        </w:tc>
        <w:tc>
          <w:tcPr>
            <w:tcW w:w="0" w:type="auto"/>
            <w:tcBorders>
              <w:bottom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roofErr w:type="spellStart"/>
            <w:r w:rsidRPr="003D3C59">
              <w:rPr>
                <w:rFonts w:eastAsia="Helvetica"/>
                <w:color w:val="000000"/>
                <w:lang w:val="es-ES" w:eastAsia="es-ES_tradnl"/>
              </w:rPr>
              <w:t>Behavioral</w:t>
            </w:r>
            <w:proofErr w:type="spellEnd"/>
            <w:r w:rsidRPr="003D3C59">
              <w:rPr>
                <w:rFonts w:eastAsia="Helvetica"/>
                <w:color w:val="000000"/>
                <w:lang w:val="es-ES" w:eastAsia="es-ES_tradnl"/>
              </w:rPr>
              <w:t xml:space="preserve"> </w:t>
            </w:r>
            <w:proofErr w:type="spellStart"/>
            <w:r w:rsidRPr="003D3C59">
              <w:rPr>
                <w:rFonts w:eastAsia="Helvetica"/>
                <w:color w:val="000000"/>
                <w:lang w:val="es-ES" w:eastAsia="es-ES_tradnl"/>
              </w:rPr>
              <w:t>Loyalty</w:t>
            </w:r>
            <w:proofErr w:type="spellEnd"/>
            <w:r w:rsidRPr="003D3C59">
              <w:rPr>
                <w:rFonts w:eastAsia="Helvetica"/>
                <w:color w:val="000000"/>
                <w:lang w:val="es-ES" w:eastAsia="es-ES_tradnl"/>
              </w:rPr>
              <w:t xml:space="preserve"> </w:t>
            </w:r>
            <w:proofErr w:type="spellStart"/>
            <w:r w:rsidRPr="003D3C59">
              <w:rPr>
                <w:rFonts w:eastAsia="Helvetica"/>
                <w:color w:val="000000"/>
                <w:lang w:val="es-ES" w:eastAsia="es-ES_tradnl"/>
              </w:rPr>
              <w:t>Intention</w:t>
            </w:r>
            <w:proofErr w:type="spellEnd"/>
          </w:p>
        </w:tc>
      </w:tr>
      <w:tr w:rsidR="003D3C59" w:rsidRPr="003D3C59" w:rsidTr="00F56688">
        <w:trPr>
          <w:trHeight w:val="20"/>
          <w:jc w:val="center"/>
        </w:trPr>
        <w:tc>
          <w:tcPr>
            <w:tcW w:w="1985" w:type="dxa"/>
            <w:tcBorders>
              <w:top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right="80"/>
              <w:rPr>
                <w:rFonts w:eastAsia="Helvetica"/>
                <w:color w:val="000000"/>
                <w:lang w:val="es-ES" w:eastAsia="es-ES_tradnl"/>
              </w:rPr>
            </w:pPr>
            <w:proofErr w:type="spellStart"/>
            <w:r w:rsidRPr="003D3C59">
              <w:rPr>
                <w:rFonts w:eastAsia="Helvetica"/>
                <w:color w:val="000000"/>
                <w:lang w:val="es-ES" w:eastAsia="es-ES_tradnl"/>
              </w:rPr>
              <w:t>Perceived</w:t>
            </w:r>
            <w:proofErr w:type="spellEnd"/>
            <w:r w:rsidRPr="003D3C59">
              <w:rPr>
                <w:rFonts w:eastAsia="Helvetica"/>
                <w:color w:val="000000"/>
                <w:lang w:val="es-ES" w:eastAsia="es-ES_tradnl"/>
              </w:rPr>
              <w:t xml:space="preserve"> </w:t>
            </w:r>
            <w:proofErr w:type="spellStart"/>
            <w:r w:rsidRPr="003D3C59">
              <w:rPr>
                <w:rFonts w:eastAsia="Helvetica"/>
                <w:color w:val="000000"/>
                <w:lang w:val="es-ES" w:eastAsia="es-ES_tradnl"/>
              </w:rPr>
              <w:t>Usefulness</w:t>
            </w:r>
            <w:proofErr w:type="spellEnd"/>
          </w:p>
        </w:tc>
        <w:tc>
          <w:tcPr>
            <w:tcW w:w="1239" w:type="dxa"/>
            <w:tcBorders>
              <w:top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0" w:type="auto"/>
            <w:tcBorders>
              <w:top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0" w:type="auto"/>
            <w:tcBorders>
              <w:top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0" w:type="auto"/>
            <w:tcBorders>
              <w:top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0" w:type="auto"/>
            <w:tcBorders>
              <w:top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0" w:type="auto"/>
            <w:tcBorders>
              <w:top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r>
      <w:tr w:rsidR="003D3C59" w:rsidRPr="003D3C59" w:rsidTr="00F56688">
        <w:trPr>
          <w:trHeight w:val="20"/>
          <w:jc w:val="center"/>
        </w:trPr>
        <w:tc>
          <w:tcPr>
            <w:tcW w:w="1985"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right="80"/>
              <w:rPr>
                <w:rFonts w:eastAsia="Helvetica"/>
                <w:color w:val="000000"/>
                <w:lang w:val="es-ES" w:eastAsia="es-ES_tradnl"/>
              </w:rPr>
            </w:pPr>
            <w:r w:rsidRPr="003D3C59">
              <w:rPr>
                <w:rFonts w:eastAsia="Helvetica"/>
                <w:color w:val="000000"/>
                <w:lang w:val="es-ES" w:eastAsia="es-ES_tradnl"/>
              </w:rPr>
              <w:t>Trust in Smart Technologies</w:t>
            </w:r>
          </w:p>
        </w:tc>
        <w:tc>
          <w:tcPr>
            <w:tcW w:w="1239"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0.583</w:t>
            </w: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r>
      <w:tr w:rsidR="003D3C59" w:rsidRPr="003D3C59" w:rsidTr="00F56688">
        <w:trPr>
          <w:trHeight w:val="20"/>
          <w:jc w:val="center"/>
        </w:trPr>
        <w:tc>
          <w:tcPr>
            <w:tcW w:w="1985"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right="80"/>
              <w:rPr>
                <w:rFonts w:eastAsia="Helvetica"/>
                <w:color w:val="000000"/>
                <w:lang w:val="es-ES" w:eastAsia="es-ES_tradnl"/>
              </w:rPr>
            </w:pPr>
            <w:proofErr w:type="spellStart"/>
            <w:r w:rsidRPr="003D3C59">
              <w:rPr>
                <w:rFonts w:eastAsia="Helvetica"/>
                <w:color w:val="000000"/>
                <w:lang w:val="es-ES" w:eastAsia="es-ES_tradnl"/>
              </w:rPr>
              <w:t>Privacy</w:t>
            </w:r>
            <w:proofErr w:type="spellEnd"/>
            <w:r w:rsidRPr="003D3C59">
              <w:rPr>
                <w:rFonts w:eastAsia="Helvetica"/>
                <w:color w:val="000000"/>
                <w:lang w:val="es-ES" w:eastAsia="es-ES_tradnl"/>
              </w:rPr>
              <w:t xml:space="preserve"> and Data </w:t>
            </w:r>
            <w:proofErr w:type="spellStart"/>
            <w:r w:rsidRPr="003D3C59">
              <w:rPr>
                <w:rFonts w:eastAsia="Helvetica"/>
                <w:color w:val="000000"/>
                <w:lang w:val="es-ES" w:eastAsia="es-ES_tradnl"/>
              </w:rPr>
              <w:t>Concerns</w:t>
            </w:r>
            <w:proofErr w:type="spellEnd"/>
          </w:p>
        </w:tc>
        <w:tc>
          <w:tcPr>
            <w:tcW w:w="1239"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0.264</w:t>
            </w: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0.045</w:t>
            </w: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r>
      <w:tr w:rsidR="003D3C59" w:rsidRPr="003D3C59" w:rsidTr="00F56688">
        <w:trPr>
          <w:trHeight w:val="20"/>
          <w:jc w:val="center"/>
        </w:trPr>
        <w:tc>
          <w:tcPr>
            <w:tcW w:w="1985"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right="80"/>
              <w:rPr>
                <w:rFonts w:eastAsia="Helvetica"/>
                <w:color w:val="000000"/>
                <w:lang w:val="es-ES" w:eastAsia="es-ES_tradnl"/>
              </w:rPr>
            </w:pPr>
            <w:proofErr w:type="spellStart"/>
            <w:r w:rsidRPr="003D3C59">
              <w:rPr>
                <w:rFonts w:eastAsia="Helvetica"/>
                <w:color w:val="000000"/>
                <w:lang w:val="es-ES" w:eastAsia="es-ES_tradnl"/>
              </w:rPr>
              <w:t>Perceived</w:t>
            </w:r>
            <w:proofErr w:type="spellEnd"/>
            <w:r w:rsidRPr="003D3C59">
              <w:rPr>
                <w:rFonts w:eastAsia="Helvetica"/>
                <w:color w:val="000000"/>
                <w:lang w:val="es-ES" w:eastAsia="es-ES_tradnl"/>
              </w:rPr>
              <w:t xml:space="preserve"> </w:t>
            </w:r>
            <w:proofErr w:type="spellStart"/>
            <w:r w:rsidRPr="003D3C59">
              <w:rPr>
                <w:rFonts w:eastAsia="Helvetica"/>
                <w:color w:val="000000"/>
                <w:lang w:val="es-ES" w:eastAsia="es-ES_tradnl"/>
              </w:rPr>
              <w:t>Personalization</w:t>
            </w:r>
            <w:proofErr w:type="spellEnd"/>
          </w:p>
        </w:tc>
        <w:tc>
          <w:tcPr>
            <w:tcW w:w="1239"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0.706</w:t>
            </w: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0.606</w:t>
            </w: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0.233</w:t>
            </w: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r>
      <w:tr w:rsidR="003D3C59" w:rsidRPr="003D3C59" w:rsidTr="00F56688">
        <w:trPr>
          <w:trHeight w:val="20"/>
          <w:jc w:val="center"/>
        </w:trPr>
        <w:tc>
          <w:tcPr>
            <w:tcW w:w="1985"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right="80"/>
              <w:rPr>
                <w:rFonts w:eastAsia="Helvetica"/>
                <w:color w:val="000000"/>
                <w:lang w:val="es-ES" w:eastAsia="es-ES_tradnl"/>
              </w:rPr>
            </w:pPr>
            <w:proofErr w:type="spellStart"/>
            <w:r w:rsidRPr="003D3C59">
              <w:rPr>
                <w:rFonts w:eastAsia="Helvetica"/>
                <w:color w:val="000000"/>
                <w:lang w:val="es-ES" w:eastAsia="es-ES_tradnl"/>
              </w:rPr>
              <w:t>Immersive</w:t>
            </w:r>
            <w:proofErr w:type="spellEnd"/>
            <w:r w:rsidRPr="003D3C59">
              <w:rPr>
                <w:rFonts w:eastAsia="Helvetica"/>
                <w:color w:val="000000"/>
                <w:lang w:val="es-ES" w:eastAsia="es-ES_tradnl"/>
              </w:rPr>
              <w:t xml:space="preserve"> </w:t>
            </w:r>
            <w:proofErr w:type="spellStart"/>
            <w:r w:rsidRPr="003D3C59">
              <w:rPr>
                <w:rFonts w:eastAsia="Helvetica"/>
                <w:color w:val="000000"/>
                <w:lang w:val="es-ES" w:eastAsia="es-ES_tradnl"/>
              </w:rPr>
              <w:t>Experience</w:t>
            </w:r>
            <w:proofErr w:type="spellEnd"/>
          </w:p>
        </w:tc>
        <w:tc>
          <w:tcPr>
            <w:tcW w:w="1239"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0.575</w:t>
            </w: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0.518</w:t>
            </w: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0.140</w:t>
            </w: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0.584</w:t>
            </w: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r>
      <w:tr w:rsidR="003D3C59" w:rsidRPr="003D3C59" w:rsidTr="00F56688">
        <w:trPr>
          <w:trHeight w:val="20"/>
          <w:jc w:val="center"/>
        </w:trPr>
        <w:tc>
          <w:tcPr>
            <w:tcW w:w="1985"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right="80"/>
              <w:rPr>
                <w:rFonts w:eastAsia="Helvetica"/>
                <w:color w:val="000000"/>
                <w:lang w:val="es-ES" w:eastAsia="es-ES_tradnl"/>
              </w:rPr>
            </w:pPr>
            <w:proofErr w:type="spellStart"/>
            <w:r w:rsidRPr="003D3C59">
              <w:rPr>
                <w:rFonts w:eastAsia="Helvetica"/>
                <w:color w:val="000000"/>
                <w:lang w:val="es-ES" w:eastAsia="es-ES_tradnl"/>
              </w:rPr>
              <w:t>Behavioral</w:t>
            </w:r>
            <w:proofErr w:type="spellEnd"/>
            <w:r w:rsidRPr="003D3C59">
              <w:rPr>
                <w:rFonts w:eastAsia="Helvetica"/>
                <w:color w:val="000000"/>
                <w:lang w:val="es-ES" w:eastAsia="es-ES_tradnl"/>
              </w:rPr>
              <w:t xml:space="preserve"> </w:t>
            </w:r>
            <w:proofErr w:type="spellStart"/>
            <w:r w:rsidRPr="003D3C59">
              <w:rPr>
                <w:rFonts w:eastAsia="Helvetica"/>
                <w:color w:val="000000"/>
                <w:lang w:val="es-ES" w:eastAsia="es-ES_tradnl"/>
              </w:rPr>
              <w:t>Loyalty</w:t>
            </w:r>
            <w:proofErr w:type="spellEnd"/>
            <w:r w:rsidRPr="003D3C59">
              <w:rPr>
                <w:rFonts w:eastAsia="Helvetica"/>
                <w:color w:val="000000"/>
                <w:lang w:val="es-ES" w:eastAsia="es-ES_tradnl"/>
              </w:rPr>
              <w:t xml:space="preserve"> </w:t>
            </w:r>
            <w:proofErr w:type="spellStart"/>
            <w:r w:rsidRPr="003D3C59">
              <w:rPr>
                <w:rFonts w:eastAsia="Helvetica"/>
                <w:color w:val="000000"/>
                <w:lang w:val="es-ES" w:eastAsia="es-ES_tradnl"/>
              </w:rPr>
              <w:t>Intention</w:t>
            </w:r>
            <w:proofErr w:type="spellEnd"/>
          </w:p>
        </w:tc>
        <w:tc>
          <w:tcPr>
            <w:tcW w:w="1239"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0.708</w:t>
            </w: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0.657</w:t>
            </w: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0.151</w:t>
            </w: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0.676</w:t>
            </w: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0.721</w:t>
            </w:r>
          </w:p>
        </w:tc>
        <w:tc>
          <w:tcPr>
            <w:tcW w:w="0" w:type="auto"/>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r>
    </w:tbl>
    <w:p w:rsidR="003D3C59" w:rsidRPr="003D3C59" w:rsidRDefault="003D3C59" w:rsidP="003D3C59">
      <w:pPr>
        <w:rPr>
          <w:lang w:val="en-US" w:eastAsia="es-ES_tradnl"/>
        </w:rPr>
      </w:pPr>
    </w:p>
    <w:p w:rsidR="00707C92" w:rsidRPr="00707C92" w:rsidRDefault="00707C92" w:rsidP="007F4235">
      <w:pPr>
        <w:pStyle w:val="Ttulo2"/>
        <w:rPr>
          <w:lang w:val="en-US" w:eastAsia="es-ES_tradnl"/>
        </w:rPr>
      </w:pPr>
      <w:r w:rsidRPr="00707C92">
        <w:rPr>
          <w:lang w:val="en-US" w:eastAsia="es-ES_tradnl"/>
        </w:rPr>
        <w:t>Assessment of the measurement model </w:t>
      </w:r>
    </w:p>
    <w:p w:rsidR="00707C92" w:rsidRPr="00707C92" w:rsidRDefault="00707C92" w:rsidP="00B927D2">
      <w:pPr>
        <w:pStyle w:val="Paragraph"/>
        <w:rPr>
          <w:lang w:val="en-US" w:eastAsia="es-ES_tradnl"/>
        </w:rPr>
      </w:pPr>
      <w:r w:rsidRPr="00707C92">
        <w:rPr>
          <w:lang w:val="en-US" w:eastAsia="es-ES_tradnl"/>
        </w:rPr>
        <w:t>The structural model results are presented in Table 4. Perceived usefulness had a positive and statistically significant effect on perceived personalization (</w:t>
      </w:r>
      <w:r w:rsidRPr="00707C92">
        <w:rPr>
          <w:lang w:val="es-ES" w:eastAsia="es-ES_tradnl"/>
        </w:rPr>
        <w:t>β</w:t>
      </w:r>
      <w:r w:rsidRPr="00707C92">
        <w:rPr>
          <w:lang w:val="en-US" w:eastAsia="es-ES_tradnl"/>
        </w:rPr>
        <w:t xml:space="preserve"> = 0.483, p &lt; 0.001), supporting H1a. Trust also positively predicted perceived personalization (</w:t>
      </w:r>
      <w:r w:rsidRPr="00707C92">
        <w:rPr>
          <w:lang w:val="es-ES" w:eastAsia="es-ES_tradnl"/>
        </w:rPr>
        <w:t>β</w:t>
      </w:r>
      <w:r w:rsidRPr="00707C92">
        <w:rPr>
          <w:lang w:val="en-US" w:eastAsia="es-ES_tradnl"/>
        </w:rPr>
        <w:t xml:space="preserve"> = 0.329, p &lt; 0.001), thus supporting H1b. In contrast, privacy concerns did not significantly influence perceived personalization (</w:t>
      </w:r>
      <w:r w:rsidRPr="00707C92">
        <w:rPr>
          <w:lang w:val="es-ES" w:eastAsia="es-ES_tradnl"/>
        </w:rPr>
        <w:t>β</w:t>
      </w:r>
      <w:r w:rsidRPr="00707C92">
        <w:rPr>
          <w:lang w:val="en-US" w:eastAsia="es-ES_tradnl"/>
        </w:rPr>
        <w:t xml:space="preserve"> = 0.096, p = 0.122), leading to the rejection of H1c. These findings suggest that, among festival attendees with direct experience using smart technologies, perceptions of usefulness and trust are meaningful antecedents of personalization, whereas privacy concerns do not appear to shape personalization perceptions in a statistically significant way.</w:t>
      </w:r>
    </w:p>
    <w:p w:rsidR="00707C92" w:rsidRPr="00707C92" w:rsidRDefault="00707C92" w:rsidP="00707C92">
      <w:pPr>
        <w:spacing w:line="240" w:lineRule="auto"/>
        <w:rPr>
          <w:lang w:val="en-US" w:eastAsia="es-ES_tradnl"/>
        </w:rPr>
      </w:pPr>
    </w:p>
    <w:p w:rsidR="00707C92" w:rsidRPr="00707C92" w:rsidRDefault="00707C92" w:rsidP="00B927D2">
      <w:pPr>
        <w:pStyle w:val="Newparagraph"/>
        <w:rPr>
          <w:lang w:val="en-US" w:eastAsia="es-ES_tradnl"/>
        </w:rPr>
      </w:pPr>
      <w:r w:rsidRPr="00707C92">
        <w:rPr>
          <w:lang w:val="en-US" w:eastAsia="es-ES_tradnl"/>
        </w:rPr>
        <w:lastRenderedPageBreak/>
        <w:t xml:space="preserve">The downstream experiential and </w:t>
      </w:r>
      <w:proofErr w:type="spellStart"/>
      <w:r w:rsidRPr="00707C92">
        <w:rPr>
          <w:lang w:val="en-US" w:eastAsia="es-ES_tradnl"/>
        </w:rPr>
        <w:t>behavioural</w:t>
      </w:r>
      <w:proofErr w:type="spellEnd"/>
      <w:r w:rsidRPr="00707C92">
        <w:rPr>
          <w:lang w:val="en-US" w:eastAsia="es-ES_tradnl"/>
        </w:rPr>
        <w:t xml:space="preserve"> relationships were strongly supported. Perceived personalization exerted a strong positive influence on immersive experience (</w:t>
      </w:r>
      <w:r w:rsidRPr="00707C92">
        <w:rPr>
          <w:lang w:val="es-ES" w:eastAsia="es-ES_tradnl"/>
        </w:rPr>
        <w:t>β</w:t>
      </w:r>
      <w:r w:rsidRPr="00707C92">
        <w:rPr>
          <w:lang w:val="en-US" w:eastAsia="es-ES_tradnl"/>
        </w:rPr>
        <w:t xml:space="preserve"> = 0.637, p &lt; 0.001), supporting H2. Immersive experience, in turn, had a strong positive effect on loyalty (</w:t>
      </w:r>
      <w:r w:rsidRPr="00707C92">
        <w:rPr>
          <w:lang w:val="es-ES" w:eastAsia="es-ES_tradnl"/>
        </w:rPr>
        <w:t>β</w:t>
      </w:r>
      <w:r w:rsidRPr="00707C92">
        <w:rPr>
          <w:lang w:val="en-US" w:eastAsia="es-ES_tradnl"/>
        </w:rPr>
        <w:t xml:space="preserve"> = 0.719, p &lt; 0.001), supporting H3. These results indicate that the influence of smart festival technologies on loyalty is not merely functional, but unfolds through an experiential pathway in which personalization enhances immersion and immersion subsequently strengthens loyalty-related intentions.</w:t>
      </w:r>
    </w:p>
    <w:p w:rsidR="00707C92" w:rsidRPr="00707C92" w:rsidRDefault="00707C92" w:rsidP="00707C92">
      <w:pPr>
        <w:spacing w:line="240" w:lineRule="auto"/>
        <w:jc w:val="center"/>
        <w:rPr>
          <w:lang w:val="en-US" w:eastAsia="es-ES_tradnl"/>
        </w:rPr>
      </w:pPr>
      <w:r w:rsidRPr="00707C92">
        <w:rPr>
          <w:color w:val="000000"/>
          <w:lang w:val="en-US" w:eastAsia="es-ES_tradnl"/>
        </w:rPr>
        <w:tab/>
      </w:r>
      <w:r w:rsidRPr="00707C92">
        <w:rPr>
          <w:color w:val="000000"/>
          <w:lang w:val="en-US" w:eastAsia="es-ES_tradnl"/>
        </w:rPr>
        <w:tab/>
      </w:r>
    </w:p>
    <w:p w:rsidR="00707C92" w:rsidRDefault="00707C92" w:rsidP="003D3C59">
      <w:pPr>
        <w:pStyle w:val="Tabletitle"/>
        <w:rPr>
          <w:lang w:val="en-US" w:eastAsia="es-ES_tradnl"/>
        </w:rPr>
      </w:pPr>
      <w:r w:rsidRPr="00707C92">
        <w:rPr>
          <w:lang w:val="en-US" w:eastAsia="es-ES_tradnl"/>
        </w:rPr>
        <w:t>Table 4. Structural model</w:t>
      </w:r>
    </w:p>
    <w:tbl>
      <w:tblPr>
        <w:tblW w:w="10255" w:type="dxa"/>
        <w:jc w:val="center"/>
        <w:tblLayout w:type="fixed"/>
        <w:tblLook w:val="0420" w:firstRow="1" w:lastRow="0" w:firstColumn="0" w:lastColumn="0" w:noHBand="0" w:noVBand="1"/>
      </w:tblPr>
      <w:tblGrid>
        <w:gridCol w:w="1412"/>
        <w:gridCol w:w="2898"/>
        <w:gridCol w:w="298"/>
        <w:gridCol w:w="1337"/>
        <w:gridCol w:w="1041"/>
        <w:gridCol w:w="891"/>
        <w:gridCol w:w="892"/>
        <w:gridCol w:w="1486"/>
      </w:tblGrid>
      <w:tr w:rsidR="003D3C59" w:rsidRPr="003D3C59" w:rsidTr="00F56688">
        <w:trPr>
          <w:trHeight w:val="437"/>
          <w:tblHeader/>
          <w:jc w:val="center"/>
        </w:trPr>
        <w:tc>
          <w:tcPr>
            <w:tcW w:w="1412" w:type="dxa"/>
            <w:tcBorders>
              <w:bottom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proofErr w:type="spellStart"/>
            <w:r w:rsidRPr="003D3C59">
              <w:rPr>
                <w:rFonts w:eastAsia="Helvetica"/>
                <w:color w:val="000000"/>
                <w:lang w:val="es-ES" w:eastAsia="es-ES_tradnl"/>
              </w:rPr>
              <w:t>Hypothesis</w:t>
            </w:r>
            <w:proofErr w:type="spellEnd"/>
          </w:p>
        </w:tc>
        <w:tc>
          <w:tcPr>
            <w:tcW w:w="2898" w:type="dxa"/>
            <w:tcBorders>
              <w:bottom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proofErr w:type="spellStart"/>
            <w:r w:rsidRPr="003D3C59">
              <w:rPr>
                <w:rFonts w:eastAsia="Helvetica"/>
                <w:color w:val="000000"/>
                <w:lang w:val="es-ES" w:eastAsia="es-ES_tradnl"/>
              </w:rPr>
              <w:t>Path</w:t>
            </w:r>
            <w:proofErr w:type="spellEnd"/>
          </w:p>
        </w:tc>
        <w:tc>
          <w:tcPr>
            <w:tcW w:w="1634" w:type="dxa"/>
            <w:gridSpan w:val="2"/>
            <w:tcBorders>
              <w:bottom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Beta</w:t>
            </w:r>
          </w:p>
        </w:tc>
        <w:tc>
          <w:tcPr>
            <w:tcW w:w="1041" w:type="dxa"/>
            <w:tcBorders>
              <w:bottom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SE</w:t>
            </w:r>
          </w:p>
        </w:tc>
        <w:tc>
          <w:tcPr>
            <w:tcW w:w="891" w:type="dxa"/>
            <w:tcBorders>
              <w:bottom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z</w:t>
            </w:r>
          </w:p>
        </w:tc>
        <w:tc>
          <w:tcPr>
            <w:tcW w:w="892" w:type="dxa"/>
            <w:tcBorders>
              <w:bottom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p</w:t>
            </w:r>
          </w:p>
        </w:tc>
        <w:tc>
          <w:tcPr>
            <w:tcW w:w="1486" w:type="dxa"/>
            <w:tcBorders>
              <w:bottom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roofErr w:type="spellStart"/>
            <w:r w:rsidRPr="003D3C59">
              <w:rPr>
                <w:rFonts w:eastAsia="Helvetica"/>
                <w:color w:val="000000"/>
                <w:lang w:val="es-ES" w:eastAsia="es-ES_tradnl"/>
              </w:rPr>
              <w:t>Conclusion</w:t>
            </w:r>
            <w:proofErr w:type="spellEnd"/>
          </w:p>
        </w:tc>
      </w:tr>
      <w:tr w:rsidR="003D3C59" w:rsidRPr="003D3C59" w:rsidTr="00F56688">
        <w:trPr>
          <w:trHeight w:val="546"/>
          <w:jc w:val="center"/>
        </w:trPr>
        <w:tc>
          <w:tcPr>
            <w:tcW w:w="1412" w:type="dxa"/>
            <w:tcBorders>
              <w:top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r w:rsidRPr="003D3C59">
              <w:rPr>
                <w:rFonts w:eastAsia="Helvetica"/>
                <w:color w:val="000000"/>
                <w:lang w:val="es-ES" w:eastAsia="es-ES_tradnl"/>
              </w:rPr>
              <w:t>H1a</w:t>
            </w:r>
          </w:p>
        </w:tc>
        <w:tc>
          <w:tcPr>
            <w:tcW w:w="3196" w:type="dxa"/>
            <w:gridSpan w:val="2"/>
            <w:tcBorders>
              <w:top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spacing w:line="240" w:lineRule="auto"/>
              <w:rPr>
                <w:lang w:val="es-ES" w:eastAsia="es-ES_tradnl"/>
              </w:rPr>
            </w:pPr>
            <w:proofErr w:type="spellStart"/>
            <w:r w:rsidRPr="003D3C59">
              <w:rPr>
                <w:lang w:val="es-ES" w:eastAsia="es-ES_tradnl"/>
              </w:rPr>
              <w:t>Perceived</w:t>
            </w:r>
            <w:proofErr w:type="spellEnd"/>
            <w:r w:rsidRPr="003D3C59">
              <w:rPr>
                <w:lang w:val="es-ES" w:eastAsia="es-ES_tradnl"/>
              </w:rPr>
              <w:t xml:space="preserve"> </w:t>
            </w:r>
            <w:proofErr w:type="spellStart"/>
            <w:r w:rsidRPr="003D3C59">
              <w:rPr>
                <w:lang w:val="es-ES" w:eastAsia="es-ES_tradnl"/>
              </w:rPr>
              <w:t>Usefulness</w:t>
            </w:r>
            <w:proofErr w:type="spellEnd"/>
            <w:r w:rsidRPr="003D3C59">
              <w:rPr>
                <w:lang w:val="es-ES" w:eastAsia="es-ES_tradnl"/>
              </w:rPr>
              <w:t xml:space="preserve"> → </w:t>
            </w:r>
            <w:proofErr w:type="spellStart"/>
            <w:r w:rsidRPr="003D3C59">
              <w:rPr>
                <w:lang w:val="es-ES" w:eastAsia="es-ES_tradnl"/>
              </w:rPr>
              <w:t>Perceived</w:t>
            </w:r>
            <w:proofErr w:type="spellEnd"/>
            <w:r w:rsidRPr="003D3C59">
              <w:rPr>
                <w:lang w:val="es-ES" w:eastAsia="es-ES_tradnl"/>
              </w:rPr>
              <w:t xml:space="preserve"> </w:t>
            </w:r>
            <w:proofErr w:type="spellStart"/>
            <w:r w:rsidRPr="003D3C59">
              <w:rPr>
                <w:lang w:val="es-ES" w:eastAsia="es-ES_tradnl"/>
              </w:rPr>
              <w:t>Personalization</w:t>
            </w:r>
            <w:proofErr w:type="spellEnd"/>
          </w:p>
        </w:tc>
        <w:tc>
          <w:tcPr>
            <w:tcW w:w="1337" w:type="dxa"/>
            <w:tcBorders>
              <w:top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0.483</w:t>
            </w:r>
          </w:p>
        </w:tc>
        <w:tc>
          <w:tcPr>
            <w:tcW w:w="1041" w:type="dxa"/>
            <w:tcBorders>
              <w:top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0.168</w:t>
            </w:r>
          </w:p>
        </w:tc>
        <w:tc>
          <w:tcPr>
            <w:tcW w:w="891" w:type="dxa"/>
            <w:tcBorders>
              <w:top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4.361</w:t>
            </w:r>
          </w:p>
        </w:tc>
        <w:tc>
          <w:tcPr>
            <w:tcW w:w="892" w:type="dxa"/>
            <w:tcBorders>
              <w:top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&lt; .001</w:t>
            </w:r>
          </w:p>
        </w:tc>
        <w:tc>
          <w:tcPr>
            <w:tcW w:w="1486" w:type="dxa"/>
            <w:tcBorders>
              <w:top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roofErr w:type="spellStart"/>
            <w:r w:rsidRPr="003D3C59">
              <w:rPr>
                <w:rFonts w:eastAsia="Helvetica"/>
                <w:color w:val="000000"/>
                <w:lang w:val="es-ES" w:eastAsia="es-ES_tradnl"/>
              </w:rPr>
              <w:t>Supported</w:t>
            </w:r>
            <w:proofErr w:type="spellEnd"/>
          </w:p>
        </w:tc>
      </w:tr>
      <w:tr w:rsidR="003D3C59" w:rsidRPr="003D3C59" w:rsidTr="00F56688">
        <w:trPr>
          <w:trHeight w:val="560"/>
          <w:jc w:val="center"/>
        </w:trPr>
        <w:tc>
          <w:tcPr>
            <w:tcW w:w="141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r w:rsidRPr="003D3C59">
              <w:rPr>
                <w:rFonts w:eastAsia="Helvetica"/>
                <w:color w:val="000000"/>
                <w:lang w:val="es-ES" w:eastAsia="es-ES_tradnl"/>
              </w:rPr>
              <w:t>H1b</w:t>
            </w:r>
          </w:p>
        </w:tc>
        <w:tc>
          <w:tcPr>
            <w:tcW w:w="3196" w:type="dxa"/>
            <w:gridSpan w:val="2"/>
            <w:shd w:val="clear" w:color="auto" w:fill="FFFFFF"/>
            <w:tcMar>
              <w:top w:w="0" w:type="dxa"/>
              <w:left w:w="0" w:type="dxa"/>
              <w:bottom w:w="0" w:type="dxa"/>
              <w:right w:w="0" w:type="dxa"/>
            </w:tcMar>
            <w:vAlign w:val="center"/>
          </w:tcPr>
          <w:p w:rsidR="003D3C59" w:rsidRPr="003D3C59" w:rsidRDefault="003D3C59" w:rsidP="003D3C59">
            <w:pPr>
              <w:spacing w:line="240" w:lineRule="auto"/>
              <w:rPr>
                <w:lang w:val="en-US" w:eastAsia="es-ES_tradnl"/>
              </w:rPr>
            </w:pPr>
            <w:r w:rsidRPr="003D3C59">
              <w:rPr>
                <w:lang w:val="en-US" w:eastAsia="es-ES_tradnl"/>
              </w:rPr>
              <w:t>Trust in Smart Technologies → Perceived Personalization</w:t>
            </w:r>
          </w:p>
        </w:tc>
        <w:tc>
          <w:tcPr>
            <w:tcW w:w="1337"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0.329</w:t>
            </w:r>
          </w:p>
        </w:tc>
        <w:tc>
          <w:tcPr>
            <w:tcW w:w="104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0.151</w:t>
            </w:r>
          </w:p>
        </w:tc>
        <w:tc>
          <w:tcPr>
            <w:tcW w:w="89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3.308</w:t>
            </w:r>
          </w:p>
        </w:tc>
        <w:tc>
          <w:tcPr>
            <w:tcW w:w="89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&lt; .001</w:t>
            </w:r>
          </w:p>
        </w:tc>
        <w:tc>
          <w:tcPr>
            <w:tcW w:w="1486"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roofErr w:type="spellStart"/>
            <w:r w:rsidRPr="003D3C59">
              <w:rPr>
                <w:rFonts w:eastAsia="Helvetica"/>
                <w:color w:val="000000"/>
                <w:lang w:val="es-ES" w:eastAsia="es-ES_tradnl"/>
              </w:rPr>
              <w:t>Supported</w:t>
            </w:r>
            <w:proofErr w:type="spellEnd"/>
          </w:p>
        </w:tc>
      </w:tr>
      <w:tr w:rsidR="003D3C59" w:rsidRPr="003D3C59" w:rsidTr="00F56688">
        <w:trPr>
          <w:trHeight w:val="710"/>
          <w:jc w:val="center"/>
        </w:trPr>
        <w:tc>
          <w:tcPr>
            <w:tcW w:w="141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r w:rsidRPr="003D3C59">
              <w:rPr>
                <w:rFonts w:eastAsia="Helvetica"/>
                <w:color w:val="000000"/>
                <w:lang w:val="es-ES" w:eastAsia="es-ES_tradnl"/>
              </w:rPr>
              <w:t>H1c</w:t>
            </w:r>
          </w:p>
        </w:tc>
        <w:tc>
          <w:tcPr>
            <w:tcW w:w="3196" w:type="dxa"/>
            <w:gridSpan w:val="2"/>
            <w:shd w:val="clear" w:color="auto" w:fill="FFFFFF"/>
            <w:tcMar>
              <w:top w:w="0" w:type="dxa"/>
              <w:left w:w="0" w:type="dxa"/>
              <w:bottom w:w="0" w:type="dxa"/>
              <w:right w:w="0" w:type="dxa"/>
            </w:tcMar>
            <w:vAlign w:val="center"/>
          </w:tcPr>
          <w:p w:rsidR="003D3C59" w:rsidRPr="003D3C59" w:rsidRDefault="003D3C59" w:rsidP="003D3C59">
            <w:pPr>
              <w:spacing w:line="240" w:lineRule="auto"/>
              <w:rPr>
                <w:lang w:val="en-US" w:eastAsia="es-ES_tradnl"/>
              </w:rPr>
            </w:pPr>
            <w:r w:rsidRPr="003D3C59">
              <w:rPr>
                <w:lang w:val="en-US" w:eastAsia="es-ES_tradnl"/>
              </w:rPr>
              <w:t>Privacy and Data Concerns → Perceived Personalization</w:t>
            </w:r>
          </w:p>
        </w:tc>
        <w:tc>
          <w:tcPr>
            <w:tcW w:w="1337"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0.096</w:t>
            </w:r>
          </w:p>
        </w:tc>
        <w:tc>
          <w:tcPr>
            <w:tcW w:w="104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0.094</w:t>
            </w:r>
          </w:p>
        </w:tc>
        <w:tc>
          <w:tcPr>
            <w:tcW w:w="89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1.545</w:t>
            </w:r>
          </w:p>
        </w:tc>
        <w:tc>
          <w:tcPr>
            <w:tcW w:w="89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0.122</w:t>
            </w:r>
          </w:p>
        </w:tc>
        <w:tc>
          <w:tcPr>
            <w:tcW w:w="1486"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roofErr w:type="spellStart"/>
            <w:r w:rsidRPr="003D3C59">
              <w:rPr>
                <w:rFonts w:eastAsia="Helvetica"/>
                <w:color w:val="000000"/>
                <w:lang w:val="es-ES" w:eastAsia="es-ES_tradnl"/>
              </w:rPr>
              <w:t>Not</w:t>
            </w:r>
            <w:proofErr w:type="spellEnd"/>
            <w:r w:rsidRPr="003D3C59">
              <w:rPr>
                <w:rFonts w:eastAsia="Helvetica"/>
                <w:color w:val="000000"/>
                <w:lang w:val="es-ES" w:eastAsia="es-ES_tradnl"/>
              </w:rPr>
              <w:t xml:space="preserve"> </w:t>
            </w:r>
            <w:proofErr w:type="spellStart"/>
            <w:r w:rsidRPr="003D3C59">
              <w:rPr>
                <w:rFonts w:eastAsia="Helvetica"/>
                <w:color w:val="000000"/>
                <w:lang w:val="es-ES" w:eastAsia="es-ES_tradnl"/>
              </w:rPr>
              <w:t>supported</w:t>
            </w:r>
            <w:proofErr w:type="spellEnd"/>
          </w:p>
        </w:tc>
      </w:tr>
      <w:tr w:rsidR="003D3C59" w:rsidRPr="003D3C59" w:rsidTr="00F56688">
        <w:trPr>
          <w:trHeight w:val="560"/>
          <w:jc w:val="center"/>
        </w:trPr>
        <w:tc>
          <w:tcPr>
            <w:tcW w:w="141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r w:rsidRPr="003D3C59">
              <w:rPr>
                <w:rFonts w:eastAsia="Helvetica"/>
                <w:color w:val="000000"/>
                <w:lang w:val="es-ES" w:eastAsia="es-ES_tradnl"/>
              </w:rPr>
              <w:t>H2</w:t>
            </w:r>
          </w:p>
        </w:tc>
        <w:tc>
          <w:tcPr>
            <w:tcW w:w="3196" w:type="dxa"/>
            <w:gridSpan w:val="2"/>
            <w:shd w:val="clear" w:color="auto" w:fill="FFFFFF"/>
            <w:tcMar>
              <w:top w:w="0" w:type="dxa"/>
              <w:left w:w="0" w:type="dxa"/>
              <w:bottom w:w="0" w:type="dxa"/>
              <w:right w:w="0" w:type="dxa"/>
            </w:tcMar>
            <w:vAlign w:val="center"/>
          </w:tcPr>
          <w:p w:rsidR="003D3C59" w:rsidRPr="003D3C59" w:rsidRDefault="003D3C59" w:rsidP="003D3C59">
            <w:pPr>
              <w:spacing w:line="240" w:lineRule="auto"/>
              <w:rPr>
                <w:lang w:val="es-ES" w:eastAsia="es-ES_tradnl"/>
              </w:rPr>
            </w:pPr>
            <w:proofErr w:type="spellStart"/>
            <w:r w:rsidRPr="003D3C59">
              <w:rPr>
                <w:lang w:val="es-ES" w:eastAsia="es-ES_tradnl"/>
              </w:rPr>
              <w:t>Perceived</w:t>
            </w:r>
            <w:proofErr w:type="spellEnd"/>
            <w:r w:rsidRPr="003D3C59">
              <w:rPr>
                <w:lang w:val="es-ES" w:eastAsia="es-ES_tradnl"/>
              </w:rPr>
              <w:t xml:space="preserve"> </w:t>
            </w:r>
            <w:proofErr w:type="spellStart"/>
            <w:r w:rsidRPr="003D3C59">
              <w:rPr>
                <w:lang w:val="es-ES" w:eastAsia="es-ES_tradnl"/>
              </w:rPr>
              <w:t>Personalization</w:t>
            </w:r>
            <w:proofErr w:type="spellEnd"/>
            <w:r w:rsidRPr="003D3C59">
              <w:rPr>
                <w:lang w:val="es-ES" w:eastAsia="es-ES_tradnl"/>
              </w:rPr>
              <w:t xml:space="preserve"> → </w:t>
            </w:r>
            <w:proofErr w:type="spellStart"/>
            <w:r w:rsidRPr="003D3C59">
              <w:rPr>
                <w:lang w:val="es-ES" w:eastAsia="es-ES_tradnl"/>
              </w:rPr>
              <w:t>Immersive</w:t>
            </w:r>
            <w:proofErr w:type="spellEnd"/>
            <w:r w:rsidRPr="003D3C59">
              <w:rPr>
                <w:lang w:val="es-ES" w:eastAsia="es-ES_tradnl"/>
              </w:rPr>
              <w:t xml:space="preserve"> </w:t>
            </w:r>
            <w:proofErr w:type="spellStart"/>
            <w:r w:rsidRPr="003D3C59">
              <w:rPr>
                <w:lang w:val="es-ES" w:eastAsia="es-ES_tradnl"/>
              </w:rPr>
              <w:t>Experience</w:t>
            </w:r>
            <w:proofErr w:type="spellEnd"/>
          </w:p>
        </w:tc>
        <w:tc>
          <w:tcPr>
            <w:tcW w:w="1337"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0.637</w:t>
            </w:r>
          </w:p>
        </w:tc>
        <w:tc>
          <w:tcPr>
            <w:tcW w:w="104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0.088</w:t>
            </w:r>
          </w:p>
        </w:tc>
        <w:tc>
          <w:tcPr>
            <w:tcW w:w="89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6.223</w:t>
            </w:r>
          </w:p>
        </w:tc>
        <w:tc>
          <w:tcPr>
            <w:tcW w:w="89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&lt; .001</w:t>
            </w:r>
          </w:p>
        </w:tc>
        <w:tc>
          <w:tcPr>
            <w:tcW w:w="1486"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roofErr w:type="spellStart"/>
            <w:r w:rsidRPr="003D3C59">
              <w:rPr>
                <w:rFonts w:eastAsia="Helvetica"/>
                <w:color w:val="000000"/>
                <w:lang w:val="es-ES" w:eastAsia="es-ES_tradnl"/>
              </w:rPr>
              <w:t>Supported</w:t>
            </w:r>
            <w:proofErr w:type="spellEnd"/>
          </w:p>
        </w:tc>
      </w:tr>
      <w:tr w:rsidR="003D3C59" w:rsidRPr="003D3C59" w:rsidTr="00F56688">
        <w:trPr>
          <w:trHeight w:val="560"/>
          <w:jc w:val="center"/>
        </w:trPr>
        <w:tc>
          <w:tcPr>
            <w:tcW w:w="141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r w:rsidRPr="003D3C59">
              <w:rPr>
                <w:rFonts w:eastAsia="Helvetica"/>
                <w:color w:val="000000"/>
                <w:lang w:val="es-ES" w:eastAsia="es-ES_tradnl"/>
              </w:rPr>
              <w:t>H3</w:t>
            </w:r>
          </w:p>
        </w:tc>
        <w:tc>
          <w:tcPr>
            <w:tcW w:w="3196" w:type="dxa"/>
            <w:gridSpan w:val="2"/>
            <w:shd w:val="clear" w:color="auto" w:fill="FFFFFF"/>
            <w:tcMar>
              <w:top w:w="0" w:type="dxa"/>
              <w:left w:w="0" w:type="dxa"/>
              <w:bottom w:w="0" w:type="dxa"/>
              <w:right w:w="0" w:type="dxa"/>
            </w:tcMar>
            <w:vAlign w:val="center"/>
          </w:tcPr>
          <w:p w:rsidR="003D3C59" w:rsidRPr="003D3C59" w:rsidRDefault="003D3C59" w:rsidP="003D3C59">
            <w:pPr>
              <w:spacing w:line="240" w:lineRule="auto"/>
              <w:rPr>
                <w:lang w:val="en-US" w:eastAsia="es-ES_tradnl"/>
              </w:rPr>
            </w:pPr>
            <w:r w:rsidRPr="003D3C59">
              <w:rPr>
                <w:lang w:val="en-US" w:eastAsia="es-ES_tradnl"/>
              </w:rPr>
              <w:t>Immersive Experience → Behavioral Loyalty Intention</w:t>
            </w:r>
          </w:p>
        </w:tc>
        <w:tc>
          <w:tcPr>
            <w:tcW w:w="1337"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0.719</w:t>
            </w:r>
          </w:p>
        </w:tc>
        <w:tc>
          <w:tcPr>
            <w:tcW w:w="104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0.106</w:t>
            </w:r>
          </w:p>
        </w:tc>
        <w:tc>
          <w:tcPr>
            <w:tcW w:w="89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7.547</w:t>
            </w:r>
          </w:p>
        </w:tc>
        <w:tc>
          <w:tcPr>
            <w:tcW w:w="89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&lt; .001</w:t>
            </w:r>
          </w:p>
        </w:tc>
        <w:tc>
          <w:tcPr>
            <w:tcW w:w="1486"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roofErr w:type="spellStart"/>
            <w:r w:rsidRPr="003D3C59">
              <w:rPr>
                <w:rFonts w:eastAsia="Helvetica"/>
                <w:color w:val="000000"/>
                <w:lang w:val="es-ES" w:eastAsia="es-ES_tradnl"/>
              </w:rPr>
              <w:t>Supported</w:t>
            </w:r>
            <w:proofErr w:type="spellEnd"/>
          </w:p>
        </w:tc>
      </w:tr>
      <w:tr w:rsidR="003D3C59" w:rsidRPr="003D3C59" w:rsidTr="00F56688">
        <w:trPr>
          <w:trHeight w:val="437"/>
          <w:jc w:val="center"/>
        </w:trPr>
        <w:tc>
          <w:tcPr>
            <w:tcW w:w="141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p>
        </w:tc>
        <w:tc>
          <w:tcPr>
            <w:tcW w:w="2898"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p>
        </w:tc>
        <w:tc>
          <w:tcPr>
            <w:tcW w:w="1634" w:type="dxa"/>
            <w:gridSpan w:val="2"/>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R2</w:t>
            </w:r>
          </w:p>
        </w:tc>
        <w:tc>
          <w:tcPr>
            <w:tcW w:w="104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89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89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1486"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r>
      <w:tr w:rsidR="003D3C59" w:rsidRPr="003D3C59" w:rsidTr="00F56688">
        <w:trPr>
          <w:trHeight w:val="437"/>
          <w:jc w:val="center"/>
        </w:trPr>
        <w:tc>
          <w:tcPr>
            <w:tcW w:w="141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p>
        </w:tc>
        <w:tc>
          <w:tcPr>
            <w:tcW w:w="2898"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proofErr w:type="spellStart"/>
            <w:r w:rsidRPr="003D3C59">
              <w:rPr>
                <w:rFonts w:eastAsia="Helvetica"/>
                <w:color w:val="000000"/>
                <w:lang w:val="es-ES" w:eastAsia="es-ES_tradnl"/>
              </w:rPr>
              <w:t>Perceived</w:t>
            </w:r>
            <w:proofErr w:type="spellEnd"/>
            <w:r w:rsidRPr="003D3C59">
              <w:rPr>
                <w:rFonts w:eastAsia="Helvetica"/>
                <w:color w:val="000000"/>
                <w:lang w:val="es-ES" w:eastAsia="es-ES_tradnl"/>
              </w:rPr>
              <w:t xml:space="preserve"> </w:t>
            </w:r>
            <w:proofErr w:type="spellStart"/>
            <w:r w:rsidRPr="003D3C59">
              <w:rPr>
                <w:rFonts w:eastAsia="Helvetica"/>
                <w:color w:val="000000"/>
                <w:lang w:val="es-ES" w:eastAsia="es-ES_tradnl"/>
              </w:rPr>
              <w:t>Personalization</w:t>
            </w:r>
            <w:proofErr w:type="spellEnd"/>
          </w:p>
        </w:tc>
        <w:tc>
          <w:tcPr>
            <w:tcW w:w="1634" w:type="dxa"/>
            <w:gridSpan w:val="2"/>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0.563</w:t>
            </w:r>
          </w:p>
        </w:tc>
        <w:tc>
          <w:tcPr>
            <w:tcW w:w="104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89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89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1486"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r>
      <w:tr w:rsidR="003D3C59" w:rsidRPr="003D3C59" w:rsidTr="00F56688">
        <w:trPr>
          <w:trHeight w:val="437"/>
          <w:jc w:val="center"/>
        </w:trPr>
        <w:tc>
          <w:tcPr>
            <w:tcW w:w="141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p>
        </w:tc>
        <w:tc>
          <w:tcPr>
            <w:tcW w:w="2898"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proofErr w:type="spellStart"/>
            <w:r w:rsidRPr="003D3C59">
              <w:rPr>
                <w:rFonts w:eastAsia="Helvetica"/>
                <w:color w:val="000000"/>
                <w:lang w:val="es-ES" w:eastAsia="es-ES_tradnl"/>
              </w:rPr>
              <w:t>Immersive</w:t>
            </w:r>
            <w:proofErr w:type="spellEnd"/>
            <w:r w:rsidRPr="003D3C59">
              <w:rPr>
                <w:rFonts w:eastAsia="Helvetica"/>
                <w:color w:val="000000"/>
                <w:lang w:val="es-ES" w:eastAsia="es-ES_tradnl"/>
              </w:rPr>
              <w:t xml:space="preserve"> </w:t>
            </w:r>
            <w:proofErr w:type="spellStart"/>
            <w:r w:rsidRPr="003D3C59">
              <w:rPr>
                <w:rFonts w:eastAsia="Helvetica"/>
                <w:color w:val="000000"/>
                <w:lang w:val="es-ES" w:eastAsia="es-ES_tradnl"/>
              </w:rPr>
              <w:t>Experience</w:t>
            </w:r>
            <w:proofErr w:type="spellEnd"/>
          </w:p>
        </w:tc>
        <w:tc>
          <w:tcPr>
            <w:tcW w:w="1634" w:type="dxa"/>
            <w:gridSpan w:val="2"/>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0.405</w:t>
            </w:r>
          </w:p>
        </w:tc>
        <w:tc>
          <w:tcPr>
            <w:tcW w:w="104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89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89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1486"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r>
      <w:tr w:rsidR="003D3C59" w:rsidRPr="003D3C59" w:rsidTr="003D3C59">
        <w:trPr>
          <w:trHeight w:val="710"/>
          <w:jc w:val="center"/>
        </w:trPr>
        <w:tc>
          <w:tcPr>
            <w:tcW w:w="141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p>
        </w:tc>
        <w:tc>
          <w:tcPr>
            <w:tcW w:w="2898"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proofErr w:type="spellStart"/>
            <w:r w:rsidRPr="003D3C59">
              <w:rPr>
                <w:rFonts w:eastAsia="Helvetica"/>
                <w:color w:val="000000"/>
                <w:lang w:val="es-ES" w:eastAsia="es-ES_tradnl"/>
              </w:rPr>
              <w:t>Behavioral</w:t>
            </w:r>
            <w:proofErr w:type="spellEnd"/>
            <w:r w:rsidRPr="003D3C59">
              <w:rPr>
                <w:rFonts w:eastAsia="Helvetica"/>
                <w:color w:val="000000"/>
                <w:lang w:val="es-ES" w:eastAsia="es-ES_tradnl"/>
              </w:rPr>
              <w:t xml:space="preserve"> </w:t>
            </w:r>
            <w:proofErr w:type="spellStart"/>
            <w:r w:rsidRPr="003D3C59">
              <w:rPr>
                <w:rFonts w:eastAsia="Helvetica"/>
                <w:color w:val="000000"/>
                <w:lang w:val="es-ES" w:eastAsia="es-ES_tradnl"/>
              </w:rPr>
              <w:t>Loyalty</w:t>
            </w:r>
            <w:proofErr w:type="spellEnd"/>
            <w:r w:rsidRPr="003D3C59">
              <w:rPr>
                <w:rFonts w:eastAsia="Helvetica"/>
                <w:color w:val="000000"/>
                <w:lang w:val="es-ES" w:eastAsia="es-ES_tradnl"/>
              </w:rPr>
              <w:t xml:space="preserve"> </w:t>
            </w:r>
            <w:proofErr w:type="spellStart"/>
            <w:r w:rsidRPr="003D3C59">
              <w:rPr>
                <w:rFonts w:eastAsia="Helvetica"/>
                <w:color w:val="000000"/>
                <w:lang w:val="es-ES" w:eastAsia="es-ES_tradnl"/>
              </w:rPr>
              <w:t>Intention</w:t>
            </w:r>
            <w:proofErr w:type="spellEnd"/>
          </w:p>
        </w:tc>
        <w:tc>
          <w:tcPr>
            <w:tcW w:w="1634" w:type="dxa"/>
            <w:gridSpan w:val="2"/>
            <w:shd w:val="clear" w:color="auto" w:fill="FFFFFF"/>
            <w:tcMar>
              <w:top w:w="0" w:type="dxa"/>
              <w:left w:w="0" w:type="dxa"/>
              <w:bottom w:w="0" w:type="dxa"/>
              <w:right w:w="0" w:type="dxa"/>
            </w:tcMar>
            <w:vAlign w:val="center"/>
          </w:tcPr>
          <w:p w:rsid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0.517</w:t>
            </w:r>
          </w:p>
          <w:p w:rsid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104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89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89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1486"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r>
      <w:tr w:rsidR="003D3C59" w:rsidRPr="003D3C59" w:rsidTr="00F56688">
        <w:trPr>
          <w:trHeight w:val="450"/>
          <w:jc w:val="center"/>
        </w:trPr>
        <w:tc>
          <w:tcPr>
            <w:tcW w:w="141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p>
        </w:tc>
        <w:tc>
          <w:tcPr>
            <w:tcW w:w="2898"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proofErr w:type="spellStart"/>
            <w:r w:rsidRPr="003D3C59">
              <w:rPr>
                <w:rFonts w:eastAsia="Helvetica"/>
                <w:color w:val="000000"/>
                <w:lang w:val="es-ES" w:eastAsia="es-ES_tradnl"/>
              </w:rPr>
              <w:t>Effect</w:t>
            </w:r>
            <w:proofErr w:type="spellEnd"/>
            <w:r w:rsidRPr="003D3C59">
              <w:rPr>
                <w:rFonts w:eastAsia="Helvetica"/>
                <w:color w:val="000000"/>
                <w:lang w:val="es-ES" w:eastAsia="es-ES_tradnl"/>
              </w:rPr>
              <w:t xml:space="preserve"> </w:t>
            </w:r>
            <w:proofErr w:type="spellStart"/>
            <w:r w:rsidRPr="003D3C59">
              <w:rPr>
                <w:rFonts w:eastAsia="Helvetica"/>
                <w:color w:val="000000"/>
                <w:lang w:val="es-ES" w:eastAsia="es-ES_tradnl"/>
              </w:rPr>
              <w:t>size</w:t>
            </w:r>
            <w:proofErr w:type="spellEnd"/>
            <w:r w:rsidRPr="003D3C59">
              <w:rPr>
                <w:rFonts w:eastAsia="Helvetica"/>
                <w:color w:val="000000"/>
                <w:lang w:val="es-ES" w:eastAsia="es-ES_tradnl"/>
              </w:rPr>
              <w:t xml:space="preserve"> </w:t>
            </w:r>
          </w:p>
        </w:tc>
        <w:tc>
          <w:tcPr>
            <w:tcW w:w="1634" w:type="dxa"/>
            <w:gridSpan w:val="2"/>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roofErr w:type="spellStart"/>
            <w:r w:rsidRPr="003D3C59">
              <w:rPr>
                <w:rFonts w:eastAsia="Helvetica"/>
                <w:color w:val="000000"/>
                <w:lang w:val="es-ES" w:eastAsia="es-ES_tradnl"/>
              </w:rPr>
              <w:t>Endogenous</w:t>
            </w:r>
            <w:proofErr w:type="spellEnd"/>
          </w:p>
        </w:tc>
        <w:tc>
          <w:tcPr>
            <w:tcW w:w="104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f2</w:t>
            </w:r>
          </w:p>
        </w:tc>
        <w:tc>
          <w:tcPr>
            <w:tcW w:w="89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89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1486"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r>
      <w:tr w:rsidR="003D3C59" w:rsidRPr="003D3C59" w:rsidTr="00F56688">
        <w:trPr>
          <w:trHeight w:val="546"/>
          <w:jc w:val="center"/>
        </w:trPr>
        <w:tc>
          <w:tcPr>
            <w:tcW w:w="141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r w:rsidRPr="003D3C59">
              <w:rPr>
                <w:rFonts w:eastAsia="Helvetica"/>
                <w:color w:val="000000"/>
                <w:lang w:val="es-ES" w:eastAsia="es-ES_tradnl"/>
              </w:rPr>
              <w:t>H1a</w:t>
            </w:r>
          </w:p>
        </w:tc>
        <w:tc>
          <w:tcPr>
            <w:tcW w:w="2898" w:type="dxa"/>
            <w:shd w:val="clear" w:color="auto" w:fill="FFFFFF"/>
            <w:tcMar>
              <w:top w:w="0" w:type="dxa"/>
              <w:left w:w="0" w:type="dxa"/>
              <w:bottom w:w="0" w:type="dxa"/>
              <w:right w:w="0" w:type="dxa"/>
            </w:tcMar>
            <w:vAlign w:val="center"/>
          </w:tcPr>
          <w:p w:rsidR="003D3C59" w:rsidRPr="003D3C59" w:rsidRDefault="003D3C59" w:rsidP="003D3C59">
            <w:pPr>
              <w:spacing w:line="240" w:lineRule="auto"/>
              <w:rPr>
                <w:lang w:val="es-ES" w:eastAsia="es-ES_tradnl"/>
              </w:rPr>
            </w:pPr>
            <w:proofErr w:type="spellStart"/>
            <w:r w:rsidRPr="003D3C59">
              <w:rPr>
                <w:lang w:val="es-ES" w:eastAsia="es-ES_tradnl"/>
              </w:rPr>
              <w:t>Perceived</w:t>
            </w:r>
            <w:proofErr w:type="spellEnd"/>
            <w:r w:rsidRPr="003D3C59">
              <w:rPr>
                <w:lang w:val="es-ES" w:eastAsia="es-ES_tradnl"/>
              </w:rPr>
              <w:t xml:space="preserve"> </w:t>
            </w:r>
            <w:proofErr w:type="spellStart"/>
            <w:r w:rsidRPr="003D3C59">
              <w:rPr>
                <w:lang w:val="es-ES" w:eastAsia="es-ES_tradnl"/>
              </w:rPr>
              <w:t>Usefulness</w:t>
            </w:r>
            <w:proofErr w:type="spellEnd"/>
            <w:r w:rsidRPr="003D3C59">
              <w:rPr>
                <w:lang w:val="es-ES" w:eastAsia="es-ES_tradnl"/>
              </w:rPr>
              <w:t xml:space="preserve"> → </w:t>
            </w:r>
            <w:proofErr w:type="spellStart"/>
            <w:r w:rsidRPr="003D3C59">
              <w:rPr>
                <w:lang w:val="es-ES" w:eastAsia="es-ES_tradnl"/>
              </w:rPr>
              <w:t>Perceived</w:t>
            </w:r>
            <w:proofErr w:type="spellEnd"/>
            <w:r w:rsidRPr="003D3C59">
              <w:rPr>
                <w:lang w:val="es-ES" w:eastAsia="es-ES_tradnl"/>
              </w:rPr>
              <w:t xml:space="preserve"> </w:t>
            </w:r>
            <w:proofErr w:type="spellStart"/>
            <w:r w:rsidRPr="003D3C59">
              <w:rPr>
                <w:lang w:val="es-ES" w:eastAsia="es-ES_tradnl"/>
              </w:rPr>
              <w:t>Personalization</w:t>
            </w:r>
            <w:proofErr w:type="spellEnd"/>
          </w:p>
        </w:tc>
        <w:tc>
          <w:tcPr>
            <w:tcW w:w="1634" w:type="dxa"/>
            <w:gridSpan w:val="2"/>
            <w:shd w:val="clear" w:color="auto" w:fill="FFFFFF"/>
            <w:tcMar>
              <w:top w:w="0" w:type="dxa"/>
              <w:left w:w="0" w:type="dxa"/>
              <w:bottom w:w="0" w:type="dxa"/>
              <w:right w:w="0" w:type="dxa"/>
            </w:tcMar>
            <w:vAlign w:val="center"/>
          </w:tcPr>
          <w:p w:rsidR="003D3C59" w:rsidRPr="003D3C59" w:rsidRDefault="003D3C59" w:rsidP="003D3C59">
            <w:pPr>
              <w:spacing w:line="240" w:lineRule="auto"/>
              <w:jc w:val="center"/>
              <w:rPr>
                <w:lang w:val="es-ES" w:eastAsia="es-ES_tradnl"/>
              </w:rPr>
            </w:pPr>
            <w:proofErr w:type="spellStart"/>
            <w:r w:rsidRPr="003D3C59">
              <w:rPr>
                <w:lang w:val="es-ES" w:eastAsia="es-ES_tradnl"/>
              </w:rPr>
              <w:t>Perceived</w:t>
            </w:r>
            <w:proofErr w:type="spellEnd"/>
            <w:r w:rsidRPr="003D3C59">
              <w:rPr>
                <w:lang w:val="es-ES" w:eastAsia="es-ES_tradnl"/>
              </w:rPr>
              <w:t xml:space="preserve"> </w:t>
            </w:r>
            <w:proofErr w:type="spellStart"/>
            <w:r w:rsidRPr="003D3C59">
              <w:rPr>
                <w:lang w:val="es-ES" w:eastAsia="es-ES_tradnl"/>
              </w:rPr>
              <w:t>Personalization</w:t>
            </w:r>
            <w:proofErr w:type="spellEnd"/>
          </w:p>
        </w:tc>
        <w:tc>
          <w:tcPr>
            <w:tcW w:w="104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0.175</w:t>
            </w:r>
          </w:p>
        </w:tc>
        <w:tc>
          <w:tcPr>
            <w:tcW w:w="89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89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1486"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r>
      <w:tr w:rsidR="003D3C59" w:rsidRPr="003D3C59" w:rsidTr="00F56688">
        <w:trPr>
          <w:trHeight w:val="833"/>
          <w:jc w:val="center"/>
        </w:trPr>
        <w:tc>
          <w:tcPr>
            <w:tcW w:w="141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r w:rsidRPr="003D3C59">
              <w:rPr>
                <w:rFonts w:eastAsia="Helvetica"/>
                <w:color w:val="000000"/>
                <w:lang w:val="es-ES" w:eastAsia="es-ES_tradnl"/>
              </w:rPr>
              <w:t>H1b</w:t>
            </w:r>
          </w:p>
        </w:tc>
        <w:tc>
          <w:tcPr>
            <w:tcW w:w="2898" w:type="dxa"/>
            <w:shd w:val="clear" w:color="auto" w:fill="FFFFFF"/>
            <w:tcMar>
              <w:top w:w="0" w:type="dxa"/>
              <w:left w:w="0" w:type="dxa"/>
              <w:bottom w:w="0" w:type="dxa"/>
              <w:right w:w="0" w:type="dxa"/>
            </w:tcMar>
            <w:vAlign w:val="center"/>
          </w:tcPr>
          <w:p w:rsidR="003D3C59" w:rsidRPr="003D3C59" w:rsidRDefault="003D3C59" w:rsidP="003D3C59">
            <w:pPr>
              <w:spacing w:line="240" w:lineRule="auto"/>
              <w:rPr>
                <w:lang w:val="en-US" w:eastAsia="es-ES_tradnl"/>
              </w:rPr>
            </w:pPr>
            <w:r w:rsidRPr="003D3C59">
              <w:rPr>
                <w:lang w:val="en-US" w:eastAsia="es-ES_tradnl"/>
              </w:rPr>
              <w:t>Trust in Smart Technologies → Perceived Personalization</w:t>
            </w:r>
          </w:p>
        </w:tc>
        <w:tc>
          <w:tcPr>
            <w:tcW w:w="1634" w:type="dxa"/>
            <w:gridSpan w:val="2"/>
            <w:shd w:val="clear" w:color="auto" w:fill="FFFFFF"/>
            <w:tcMar>
              <w:top w:w="0" w:type="dxa"/>
              <w:left w:w="0" w:type="dxa"/>
              <w:bottom w:w="0" w:type="dxa"/>
              <w:right w:w="0" w:type="dxa"/>
            </w:tcMar>
            <w:vAlign w:val="center"/>
          </w:tcPr>
          <w:p w:rsidR="003D3C59" w:rsidRPr="003D3C59" w:rsidRDefault="003D3C59" w:rsidP="003D3C59">
            <w:pPr>
              <w:spacing w:line="240" w:lineRule="auto"/>
              <w:jc w:val="center"/>
              <w:rPr>
                <w:lang w:val="es-ES" w:eastAsia="es-ES_tradnl"/>
              </w:rPr>
            </w:pPr>
            <w:proofErr w:type="spellStart"/>
            <w:r w:rsidRPr="003D3C59">
              <w:rPr>
                <w:lang w:val="es-ES" w:eastAsia="es-ES_tradnl"/>
              </w:rPr>
              <w:t>Perceived</w:t>
            </w:r>
            <w:proofErr w:type="spellEnd"/>
            <w:r w:rsidRPr="003D3C59">
              <w:rPr>
                <w:lang w:val="es-ES" w:eastAsia="es-ES_tradnl"/>
              </w:rPr>
              <w:t xml:space="preserve"> </w:t>
            </w:r>
            <w:proofErr w:type="spellStart"/>
            <w:r w:rsidRPr="003D3C59">
              <w:rPr>
                <w:lang w:val="es-ES" w:eastAsia="es-ES_tradnl"/>
              </w:rPr>
              <w:t>Personalization</w:t>
            </w:r>
            <w:proofErr w:type="spellEnd"/>
          </w:p>
        </w:tc>
        <w:tc>
          <w:tcPr>
            <w:tcW w:w="104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0.089</w:t>
            </w:r>
          </w:p>
        </w:tc>
        <w:tc>
          <w:tcPr>
            <w:tcW w:w="89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89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1486"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r>
      <w:tr w:rsidR="003D3C59" w:rsidRPr="003D3C59" w:rsidTr="00F56688">
        <w:trPr>
          <w:trHeight w:val="833"/>
          <w:jc w:val="center"/>
        </w:trPr>
        <w:tc>
          <w:tcPr>
            <w:tcW w:w="141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r w:rsidRPr="003D3C59">
              <w:rPr>
                <w:rFonts w:eastAsia="Helvetica"/>
                <w:color w:val="000000"/>
                <w:lang w:val="es-ES" w:eastAsia="es-ES_tradnl"/>
              </w:rPr>
              <w:t>H1c</w:t>
            </w:r>
          </w:p>
        </w:tc>
        <w:tc>
          <w:tcPr>
            <w:tcW w:w="2898" w:type="dxa"/>
            <w:shd w:val="clear" w:color="auto" w:fill="FFFFFF"/>
            <w:tcMar>
              <w:top w:w="0" w:type="dxa"/>
              <w:left w:w="0" w:type="dxa"/>
              <w:bottom w:w="0" w:type="dxa"/>
              <w:right w:w="0" w:type="dxa"/>
            </w:tcMar>
            <w:vAlign w:val="center"/>
          </w:tcPr>
          <w:p w:rsidR="003D3C59" w:rsidRPr="003D3C59" w:rsidRDefault="003D3C59" w:rsidP="003D3C59">
            <w:pPr>
              <w:spacing w:line="240" w:lineRule="auto"/>
              <w:rPr>
                <w:lang w:val="en-US" w:eastAsia="es-ES_tradnl"/>
              </w:rPr>
            </w:pPr>
            <w:r w:rsidRPr="003D3C59">
              <w:rPr>
                <w:lang w:val="en-US" w:eastAsia="es-ES_tradnl"/>
              </w:rPr>
              <w:t>Privacy and Data Concerns → Perceived Personalization</w:t>
            </w:r>
          </w:p>
        </w:tc>
        <w:tc>
          <w:tcPr>
            <w:tcW w:w="1634" w:type="dxa"/>
            <w:gridSpan w:val="2"/>
            <w:shd w:val="clear" w:color="auto" w:fill="FFFFFF"/>
            <w:tcMar>
              <w:top w:w="0" w:type="dxa"/>
              <w:left w:w="0" w:type="dxa"/>
              <w:bottom w:w="0" w:type="dxa"/>
              <w:right w:w="0" w:type="dxa"/>
            </w:tcMar>
            <w:vAlign w:val="center"/>
          </w:tcPr>
          <w:p w:rsidR="003D3C59" w:rsidRPr="003D3C59" w:rsidRDefault="003D3C59" w:rsidP="003D3C59">
            <w:pPr>
              <w:spacing w:line="240" w:lineRule="auto"/>
              <w:jc w:val="center"/>
              <w:rPr>
                <w:lang w:val="es-ES" w:eastAsia="es-ES_tradnl"/>
              </w:rPr>
            </w:pPr>
            <w:proofErr w:type="spellStart"/>
            <w:r w:rsidRPr="003D3C59">
              <w:rPr>
                <w:lang w:val="es-ES" w:eastAsia="es-ES_tradnl"/>
              </w:rPr>
              <w:t>Perceived</w:t>
            </w:r>
            <w:proofErr w:type="spellEnd"/>
            <w:r w:rsidRPr="003D3C59">
              <w:rPr>
                <w:lang w:val="es-ES" w:eastAsia="es-ES_tradnl"/>
              </w:rPr>
              <w:t xml:space="preserve"> </w:t>
            </w:r>
            <w:proofErr w:type="spellStart"/>
            <w:r w:rsidRPr="003D3C59">
              <w:rPr>
                <w:lang w:val="es-ES" w:eastAsia="es-ES_tradnl"/>
              </w:rPr>
              <w:t>Personalization</w:t>
            </w:r>
            <w:proofErr w:type="spellEnd"/>
          </w:p>
        </w:tc>
        <w:tc>
          <w:tcPr>
            <w:tcW w:w="104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0.013</w:t>
            </w:r>
          </w:p>
        </w:tc>
        <w:tc>
          <w:tcPr>
            <w:tcW w:w="89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89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1486"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r>
      <w:tr w:rsidR="003D3C59" w:rsidRPr="003D3C59" w:rsidTr="00F56688">
        <w:trPr>
          <w:trHeight w:val="560"/>
          <w:jc w:val="center"/>
        </w:trPr>
        <w:tc>
          <w:tcPr>
            <w:tcW w:w="141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r w:rsidRPr="003D3C59">
              <w:rPr>
                <w:rFonts w:eastAsia="Helvetica"/>
                <w:color w:val="000000"/>
                <w:lang w:val="es-ES" w:eastAsia="es-ES_tradnl"/>
              </w:rPr>
              <w:t>H2</w:t>
            </w:r>
          </w:p>
        </w:tc>
        <w:tc>
          <w:tcPr>
            <w:tcW w:w="2898" w:type="dxa"/>
            <w:shd w:val="clear" w:color="auto" w:fill="FFFFFF"/>
            <w:tcMar>
              <w:top w:w="0" w:type="dxa"/>
              <w:left w:w="0" w:type="dxa"/>
              <w:bottom w:w="0" w:type="dxa"/>
              <w:right w:w="0" w:type="dxa"/>
            </w:tcMar>
            <w:vAlign w:val="center"/>
          </w:tcPr>
          <w:p w:rsidR="003D3C59" w:rsidRPr="003D3C59" w:rsidRDefault="003D3C59" w:rsidP="003D3C59">
            <w:pPr>
              <w:spacing w:line="240" w:lineRule="auto"/>
              <w:rPr>
                <w:lang w:val="es-ES" w:eastAsia="es-ES_tradnl"/>
              </w:rPr>
            </w:pPr>
            <w:proofErr w:type="spellStart"/>
            <w:r w:rsidRPr="003D3C59">
              <w:rPr>
                <w:lang w:val="es-ES" w:eastAsia="es-ES_tradnl"/>
              </w:rPr>
              <w:t>Perceived</w:t>
            </w:r>
            <w:proofErr w:type="spellEnd"/>
            <w:r w:rsidRPr="003D3C59">
              <w:rPr>
                <w:lang w:val="es-ES" w:eastAsia="es-ES_tradnl"/>
              </w:rPr>
              <w:t xml:space="preserve"> </w:t>
            </w:r>
            <w:proofErr w:type="spellStart"/>
            <w:r w:rsidRPr="003D3C59">
              <w:rPr>
                <w:lang w:val="es-ES" w:eastAsia="es-ES_tradnl"/>
              </w:rPr>
              <w:t>Personalization</w:t>
            </w:r>
            <w:proofErr w:type="spellEnd"/>
            <w:r w:rsidRPr="003D3C59">
              <w:rPr>
                <w:lang w:val="es-ES" w:eastAsia="es-ES_tradnl"/>
              </w:rPr>
              <w:t xml:space="preserve"> → </w:t>
            </w:r>
            <w:proofErr w:type="spellStart"/>
            <w:r w:rsidRPr="003D3C59">
              <w:rPr>
                <w:lang w:val="es-ES" w:eastAsia="es-ES_tradnl"/>
              </w:rPr>
              <w:t>Immersive</w:t>
            </w:r>
            <w:proofErr w:type="spellEnd"/>
            <w:r w:rsidRPr="003D3C59">
              <w:rPr>
                <w:lang w:val="es-ES" w:eastAsia="es-ES_tradnl"/>
              </w:rPr>
              <w:t xml:space="preserve"> </w:t>
            </w:r>
            <w:proofErr w:type="spellStart"/>
            <w:r w:rsidRPr="003D3C59">
              <w:rPr>
                <w:lang w:val="es-ES" w:eastAsia="es-ES_tradnl"/>
              </w:rPr>
              <w:t>Experience</w:t>
            </w:r>
            <w:proofErr w:type="spellEnd"/>
          </w:p>
        </w:tc>
        <w:tc>
          <w:tcPr>
            <w:tcW w:w="1634" w:type="dxa"/>
            <w:gridSpan w:val="2"/>
            <w:shd w:val="clear" w:color="auto" w:fill="FFFFFF"/>
            <w:tcMar>
              <w:top w:w="0" w:type="dxa"/>
              <w:left w:w="0" w:type="dxa"/>
              <w:bottom w:w="0" w:type="dxa"/>
              <w:right w:w="0" w:type="dxa"/>
            </w:tcMar>
            <w:vAlign w:val="center"/>
          </w:tcPr>
          <w:p w:rsidR="003D3C59" w:rsidRPr="003D3C59" w:rsidRDefault="003D3C59" w:rsidP="003D3C59">
            <w:pPr>
              <w:spacing w:line="240" w:lineRule="auto"/>
              <w:jc w:val="center"/>
              <w:rPr>
                <w:lang w:val="es-ES" w:eastAsia="es-ES_tradnl"/>
              </w:rPr>
            </w:pPr>
            <w:proofErr w:type="spellStart"/>
            <w:r w:rsidRPr="003D3C59">
              <w:rPr>
                <w:lang w:val="es-ES" w:eastAsia="es-ES_tradnl"/>
              </w:rPr>
              <w:t>Immersive</w:t>
            </w:r>
            <w:proofErr w:type="spellEnd"/>
            <w:r w:rsidRPr="003D3C59">
              <w:rPr>
                <w:lang w:val="es-ES" w:eastAsia="es-ES_tradnl"/>
              </w:rPr>
              <w:t xml:space="preserve"> </w:t>
            </w:r>
            <w:proofErr w:type="spellStart"/>
            <w:r w:rsidRPr="003D3C59">
              <w:rPr>
                <w:lang w:val="es-ES" w:eastAsia="es-ES_tradnl"/>
              </w:rPr>
              <w:t>Experience</w:t>
            </w:r>
            <w:proofErr w:type="spellEnd"/>
          </w:p>
        </w:tc>
        <w:tc>
          <w:tcPr>
            <w:tcW w:w="104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0.682</w:t>
            </w:r>
          </w:p>
        </w:tc>
        <w:tc>
          <w:tcPr>
            <w:tcW w:w="89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89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1486"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r>
      <w:tr w:rsidR="003D3C59" w:rsidRPr="003D3C59" w:rsidTr="00F56688">
        <w:trPr>
          <w:trHeight w:val="833"/>
          <w:jc w:val="center"/>
        </w:trPr>
        <w:tc>
          <w:tcPr>
            <w:tcW w:w="141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r w:rsidRPr="003D3C59">
              <w:rPr>
                <w:rFonts w:eastAsia="Helvetica"/>
                <w:color w:val="000000"/>
                <w:lang w:val="es-ES" w:eastAsia="es-ES_tradnl"/>
              </w:rPr>
              <w:lastRenderedPageBreak/>
              <w:t>H3</w:t>
            </w:r>
          </w:p>
        </w:tc>
        <w:tc>
          <w:tcPr>
            <w:tcW w:w="2898" w:type="dxa"/>
            <w:shd w:val="clear" w:color="auto" w:fill="FFFFFF"/>
            <w:tcMar>
              <w:top w:w="0" w:type="dxa"/>
              <w:left w:w="0" w:type="dxa"/>
              <w:bottom w:w="0" w:type="dxa"/>
              <w:right w:w="0" w:type="dxa"/>
            </w:tcMar>
            <w:vAlign w:val="center"/>
          </w:tcPr>
          <w:p w:rsidR="003D3C59" w:rsidRPr="003D3C59" w:rsidRDefault="003D3C59" w:rsidP="003D3C59">
            <w:pPr>
              <w:spacing w:line="240" w:lineRule="auto"/>
              <w:rPr>
                <w:lang w:val="en-US" w:eastAsia="es-ES_tradnl"/>
              </w:rPr>
            </w:pPr>
            <w:r w:rsidRPr="003D3C59">
              <w:rPr>
                <w:lang w:val="en-US" w:eastAsia="es-ES_tradnl"/>
              </w:rPr>
              <w:t>Immersive Experience → Behavioral Loyalty Intention</w:t>
            </w:r>
          </w:p>
        </w:tc>
        <w:tc>
          <w:tcPr>
            <w:tcW w:w="1634" w:type="dxa"/>
            <w:gridSpan w:val="2"/>
            <w:shd w:val="clear" w:color="auto" w:fill="FFFFFF"/>
            <w:tcMar>
              <w:top w:w="0" w:type="dxa"/>
              <w:left w:w="0" w:type="dxa"/>
              <w:bottom w:w="0" w:type="dxa"/>
              <w:right w:w="0" w:type="dxa"/>
            </w:tcMar>
            <w:vAlign w:val="center"/>
          </w:tcPr>
          <w:p w:rsidR="003D3C59" w:rsidRPr="003D3C59" w:rsidRDefault="003D3C59" w:rsidP="003D3C59">
            <w:pPr>
              <w:spacing w:line="240" w:lineRule="auto"/>
              <w:jc w:val="center"/>
              <w:rPr>
                <w:lang w:val="es-ES" w:eastAsia="es-ES_tradnl"/>
              </w:rPr>
            </w:pPr>
            <w:proofErr w:type="spellStart"/>
            <w:r w:rsidRPr="003D3C59">
              <w:rPr>
                <w:lang w:val="es-ES" w:eastAsia="es-ES_tradnl"/>
              </w:rPr>
              <w:t>Behavioral</w:t>
            </w:r>
            <w:proofErr w:type="spellEnd"/>
            <w:r w:rsidRPr="003D3C59">
              <w:rPr>
                <w:lang w:val="es-ES" w:eastAsia="es-ES_tradnl"/>
              </w:rPr>
              <w:t xml:space="preserve"> </w:t>
            </w:r>
            <w:proofErr w:type="spellStart"/>
            <w:r w:rsidRPr="003D3C59">
              <w:rPr>
                <w:lang w:val="es-ES" w:eastAsia="es-ES_tradnl"/>
              </w:rPr>
              <w:t>Loyalty</w:t>
            </w:r>
            <w:proofErr w:type="spellEnd"/>
            <w:r w:rsidRPr="003D3C59">
              <w:rPr>
                <w:lang w:val="es-ES" w:eastAsia="es-ES_tradnl"/>
              </w:rPr>
              <w:t xml:space="preserve"> </w:t>
            </w:r>
            <w:proofErr w:type="spellStart"/>
            <w:r w:rsidRPr="003D3C59">
              <w:rPr>
                <w:lang w:val="es-ES" w:eastAsia="es-ES_tradnl"/>
              </w:rPr>
              <w:t>Intention</w:t>
            </w:r>
            <w:proofErr w:type="spellEnd"/>
          </w:p>
        </w:tc>
        <w:tc>
          <w:tcPr>
            <w:tcW w:w="104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1.070</w:t>
            </w:r>
          </w:p>
        </w:tc>
        <w:tc>
          <w:tcPr>
            <w:tcW w:w="89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892"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c>
          <w:tcPr>
            <w:tcW w:w="1486"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
        </w:tc>
      </w:tr>
    </w:tbl>
    <w:p w:rsidR="00707C92" w:rsidRPr="00707C92" w:rsidRDefault="00707C92" w:rsidP="00707C92">
      <w:pPr>
        <w:spacing w:line="240" w:lineRule="auto"/>
        <w:rPr>
          <w:lang w:val="en-US" w:eastAsia="es-ES_tradnl"/>
        </w:rPr>
      </w:pPr>
    </w:p>
    <w:p w:rsidR="00707C92" w:rsidRPr="00707C92" w:rsidRDefault="00707C92" w:rsidP="00B927D2">
      <w:pPr>
        <w:pStyle w:val="Newparagraph"/>
        <w:rPr>
          <w:lang w:val="en-US" w:eastAsia="es-ES_tradnl"/>
        </w:rPr>
      </w:pPr>
      <w:r w:rsidRPr="00707C92">
        <w:rPr>
          <w:lang w:val="en-US" w:eastAsia="es-ES_tradnl"/>
        </w:rPr>
        <w:t>The model explained a substantial proportion of variance in the endogenous constructs. Specifically, the predictors accounted for 56.3% of the variance in perceived personalization, 40.5% of the variance in immersive experience, and 51.7% of the variance in loyalty. These R² values suggest that the model has moderate-to-strong explanatory power, particularly for personalization and loyalty.</w:t>
      </w:r>
    </w:p>
    <w:p w:rsidR="00707C92" w:rsidRPr="00707C92" w:rsidRDefault="00707C92" w:rsidP="00B927D2">
      <w:pPr>
        <w:pStyle w:val="Newparagraph"/>
        <w:rPr>
          <w:lang w:val="en-US" w:eastAsia="es-ES_tradnl"/>
        </w:rPr>
      </w:pPr>
      <w:r w:rsidRPr="00707C92">
        <w:rPr>
          <w:lang w:val="en-US" w:eastAsia="es-ES_tradnl"/>
        </w:rPr>
        <w:t>The effect size estimates further clarify the substantive contribution of each path. The effect of perceived usefulness on personalization was of medium magnitude (f² = 0.175), while the effect of trust on personalization was small (f² = 0.089). Privacy concerns had only a trivial effect size (f² = 0.013), consistent with the non-significant path coefficient. By contrast, personalization had a large effect on immersive experience (f² = 0.682), and immersive experience had a very large effect on loyalty (f² = 1.070). These findings indicate that the strongest part of the model lies in the experiential sequence linking personalization, immersion, and loyalty. </w:t>
      </w:r>
    </w:p>
    <w:p w:rsidR="00707C92" w:rsidRPr="00707C92" w:rsidRDefault="00707C92" w:rsidP="00B927D2">
      <w:pPr>
        <w:pStyle w:val="Newparagraph"/>
        <w:rPr>
          <w:lang w:val="en-US" w:eastAsia="es-ES_tradnl"/>
        </w:rPr>
      </w:pPr>
      <w:r w:rsidRPr="00707C92">
        <w:rPr>
          <w:lang w:val="en-US" w:eastAsia="es-ES_tradnl"/>
        </w:rPr>
        <w:t>The measurement model demonstrated satisfactory psychometric properties, whereas the structural model showed less-than-ideal global fit. In line with this, the findings are interpreted primarily in terms of measurement adequacy, explained variance, and the theoretical consistency of the estimated structural relationships. Detailed fit statistics are provided in Appendix Table A3.</w:t>
      </w:r>
    </w:p>
    <w:p w:rsidR="00707C92" w:rsidRPr="00707C92" w:rsidRDefault="00707C92" w:rsidP="00B927D2">
      <w:pPr>
        <w:pStyle w:val="Newparagraph"/>
        <w:rPr>
          <w:lang w:val="en-US" w:eastAsia="es-ES_tradnl"/>
        </w:rPr>
      </w:pPr>
      <w:r w:rsidRPr="00707C92">
        <w:rPr>
          <w:lang w:val="en-US" w:eastAsia="es-ES_tradnl"/>
        </w:rPr>
        <w:t xml:space="preserve">Overall, four of the five hypothesized relationships were supported. H1a, H1b, H2, and H3 were confirmed, whereas H1c was not supported. Taken together, the results suggest that in digitally mediated festival environments, perceived usefulness and trust enhance perceived personalization, which in turn strengthens immersive experience and, ultimately, loyalty toward the event. Privacy concerns, however, do not </w:t>
      </w:r>
      <w:r w:rsidRPr="00707C92">
        <w:rPr>
          <w:lang w:val="en-US" w:eastAsia="es-ES_tradnl"/>
        </w:rPr>
        <w:lastRenderedPageBreak/>
        <w:t>appear to significantly undermine personalization in this sample of technology-exposed festival attendees. </w:t>
      </w:r>
    </w:p>
    <w:p w:rsidR="00707C92" w:rsidRPr="00707C92" w:rsidRDefault="00707C92" w:rsidP="00B927D2">
      <w:pPr>
        <w:pStyle w:val="Ttulo2"/>
        <w:rPr>
          <w:lang w:val="en-US" w:eastAsia="es-ES_tradnl"/>
        </w:rPr>
      </w:pPr>
      <w:r w:rsidRPr="00707C92">
        <w:rPr>
          <w:lang w:val="en-US" w:eastAsia="es-ES_tradnl"/>
        </w:rPr>
        <w:t>Indirect effects</w:t>
      </w:r>
    </w:p>
    <w:p w:rsidR="00707C92" w:rsidRPr="00707C92" w:rsidRDefault="00707C92" w:rsidP="00B927D2">
      <w:pPr>
        <w:pStyle w:val="Paragraph"/>
        <w:rPr>
          <w:lang w:val="en-US" w:eastAsia="es-ES_tradnl"/>
        </w:rPr>
      </w:pPr>
      <w:r w:rsidRPr="00707C92">
        <w:rPr>
          <w:lang w:val="en-US" w:eastAsia="es-ES_tradnl"/>
        </w:rPr>
        <w:t>To examine the mediated relationships in the model, bootstrap analyses with 5,000 resamples were conducted. As shown in Table 5, perceived usefulness had a positive and significant indirect effect on loyalty through personalization and immersive experience (</w:t>
      </w:r>
      <w:r w:rsidRPr="00707C92">
        <w:rPr>
          <w:lang w:val="es-ES" w:eastAsia="es-ES_tradnl"/>
        </w:rPr>
        <w:t>β</w:t>
      </w:r>
      <w:r w:rsidRPr="00707C92">
        <w:rPr>
          <w:lang w:val="en-US" w:eastAsia="es-ES_tradnl"/>
        </w:rPr>
        <w:t xml:space="preserve"> = 0.221, p &lt; 0.001, 95% CI [0.116, 0.353]). Trust also exerted a positive and significant indirect effect on loyalty through the same sequential pathway (</w:t>
      </w:r>
      <w:r w:rsidRPr="00707C92">
        <w:rPr>
          <w:lang w:val="es-ES" w:eastAsia="es-ES_tradnl"/>
        </w:rPr>
        <w:t>β</w:t>
      </w:r>
      <w:r w:rsidRPr="00707C92">
        <w:rPr>
          <w:lang w:val="en-US" w:eastAsia="es-ES_tradnl"/>
        </w:rPr>
        <w:t xml:space="preserve"> = 0.151, p = 0.001, 95% CI [0.056, 0.262]). In contrast, the indirect effect of privacy concerns on loyalty was not statistically significant (</w:t>
      </w:r>
      <w:r w:rsidRPr="00707C92">
        <w:rPr>
          <w:lang w:val="es-ES" w:eastAsia="es-ES_tradnl"/>
        </w:rPr>
        <w:t>β</w:t>
      </w:r>
      <w:r w:rsidRPr="00707C92">
        <w:rPr>
          <w:lang w:val="en-US" w:eastAsia="es-ES_tradnl"/>
        </w:rPr>
        <w:t xml:space="preserve"> = 0.044, p = 0.136, 95% CI [-0.013, 0.102]). These results reinforce the view that usefulness and trust shape loyalty indirectly by fostering personalization and immersive experience, whereas privacy concerns do not appear to play a meaningful role in this mechanism. </w:t>
      </w:r>
    </w:p>
    <w:p w:rsidR="00170F22" w:rsidRDefault="00707C92" w:rsidP="003D3C59">
      <w:pPr>
        <w:pStyle w:val="Tabletitle"/>
        <w:rPr>
          <w:lang w:val="en-US" w:eastAsia="es-ES_tradnl"/>
        </w:rPr>
      </w:pPr>
      <w:r w:rsidRPr="00707C92">
        <w:rPr>
          <w:lang w:val="en-US" w:eastAsia="es-ES_tradnl"/>
        </w:rPr>
        <w:t>Table 5. Indirect effects</w:t>
      </w:r>
    </w:p>
    <w:tbl>
      <w:tblPr>
        <w:tblW w:w="10212" w:type="dxa"/>
        <w:jc w:val="center"/>
        <w:tblLayout w:type="fixed"/>
        <w:tblLook w:val="0420" w:firstRow="1" w:lastRow="0" w:firstColumn="0" w:lastColumn="0" w:noHBand="0" w:noVBand="1"/>
      </w:tblPr>
      <w:tblGrid>
        <w:gridCol w:w="4721"/>
        <w:gridCol w:w="858"/>
        <w:gridCol w:w="858"/>
        <w:gridCol w:w="1201"/>
        <w:gridCol w:w="1373"/>
        <w:gridCol w:w="1201"/>
      </w:tblGrid>
      <w:tr w:rsidR="003D3C59" w:rsidRPr="003D3C59" w:rsidTr="00F56688">
        <w:trPr>
          <w:trHeight w:val="450"/>
          <w:tblHeader/>
          <w:jc w:val="center"/>
        </w:trPr>
        <w:tc>
          <w:tcPr>
            <w:tcW w:w="4721" w:type="dxa"/>
            <w:tcBorders>
              <w:bottom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rPr>
                <w:rFonts w:eastAsia="Helvetica"/>
                <w:color w:val="000000"/>
                <w:lang w:val="es-ES" w:eastAsia="es-ES_tradnl"/>
              </w:rPr>
            </w:pPr>
            <w:proofErr w:type="spellStart"/>
            <w:r w:rsidRPr="003D3C59">
              <w:rPr>
                <w:rFonts w:eastAsia="Helvetica"/>
                <w:color w:val="000000"/>
                <w:lang w:val="es-ES" w:eastAsia="es-ES_tradnl"/>
              </w:rPr>
              <w:t>Path</w:t>
            </w:r>
            <w:proofErr w:type="spellEnd"/>
          </w:p>
        </w:tc>
        <w:tc>
          <w:tcPr>
            <w:tcW w:w="858" w:type="dxa"/>
            <w:tcBorders>
              <w:bottom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Beta</w:t>
            </w:r>
          </w:p>
        </w:tc>
        <w:tc>
          <w:tcPr>
            <w:tcW w:w="858" w:type="dxa"/>
            <w:tcBorders>
              <w:bottom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SE</w:t>
            </w:r>
          </w:p>
        </w:tc>
        <w:tc>
          <w:tcPr>
            <w:tcW w:w="1201" w:type="dxa"/>
            <w:tcBorders>
              <w:bottom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roofErr w:type="spellStart"/>
            <w:r w:rsidRPr="003D3C59">
              <w:rPr>
                <w:rFonts w:eastAsia="Helvetica"/>
                <w:color w:val="000000"/>
                <w:lang w:val="es-ES" w:eastAsia="es-ES_tradnl"/>
              </w:rPr>
              <w:t>CI_low</w:t>
            </w:r>
            <w:proofErr w:type="spellEnd"/>
          </w:p>
        </w:tc>
        <w:tc>
          <w:tcPr>
            <w:tcW w:w="1373" w:type="dxa"/>
            <w:tcBorders>
              <w:bottom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proofErr w:type="spellStart"/>
            <w:r w:rsidRPr="003D3C59">
              <w:rPr>
                <w:rFonts w:eastAsia="Helvetica"/>
                <w:color w:val="000000"/>
                <w:lang w:val="es-ES" w:eastAsia="es-ES_tradnl"/>
              </w:rPr>
              <w:t>CI_high</w:t>
            </w:r>
            <w:proofErr w:type="spellEnd"/>
          </w:p>
        </w:tc>
        <w:tc>
          <w:tcPr>
            <w:tcW w:w="1201" w:type="dxa"/>
            <w:tcBorders>
              <w:bottom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p</w:t>
            </w:r>
          </w:p>
        </w:tc>
      </w:tr>
      <w:tr w:rsidR="003D3C59" w:rsidRPr="003D3C59" w:rsidTr="00F56688">
        <w:trPr>
          <w:trHeight w:val="1139"/>
          <w:jc w:val="center"/>
        </w:trPr>
        <w:tc>
          <w:tcPr>
            <w:tcW w:w="4721" w:type="dxa"/>
            <w:tcBorders>
              <w:top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spacing w:line="240" w:lineRule="auto"/>
              <w:rPr>
                <w:lang w:val="en-US" w:eastAsia="es-ES_tradnl"/>
              </w:rPr>
            </w:pPr>
            <w:r w:rsidRPr="003D3C59">
              <w:rPr>
                <w:lang w:val="en-US" w:eastAsia="es-ES_tradnl"/>
              </w:rPr>
              <w:t>Perceived Usefulness → Perceived Personalization → Immersive Experience → Behavioral Loyalty Intention</w:t>
            </w:r>
          </w:p>
        </w:tc>
        <w:tc>
          <w:tcPr>
            <w:tcW w:w="858" w:type="dxa"/>
            <w:tcBorders>
              <w:top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0.221</w:t>
            </w:r>
          </w:p>
        </w:tc>
        <w:tc>
          <w:tcPr>
            <w:tcW w:w="858" w:type="dxa"/>
            <w:tcBorders>
              <w:top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0.060</w:t>
            </w:r>
          </w:p>
        </w:tc>
        <w:tc>
          <w:tcPr>
            <w:tcW w:w="1201" w:type="dxa"/>
            <w:tcBorders>
              <w:top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0.116</w:t>
            </w:r>
          </w:p>
        </w:tc>
        <w:tc>
          <w:tcPr>
            <w:tcW w:w="1373" w:type="dxa"/>
            <w:tcBorders>
              <w:top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0.353</w:t>
            </w:r>
          </w:p>
        </w:tc>
        <w:tc>
          <w:tcPr>
            <w:tcW w:w="1201" w:type="dxa"/>
            <w:tcBorders>
              <w:top w:val="single" w:sz="4" w:space="0" w:color="auto"/>
            </w:tcBorders>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&lt; .001</w:t>
            </w:r>
          </w:p>
        </w:tc>
      </w:tr>
      <w:tr w:rsidR="003D3C59" w:rsidRPr="003D3C59" w:rsidTr="00F56688">
        <w:trPr>
          <w:trHeight w:val="1139"/>
          <w:jc w:val="center"/>
        </w:trPr>
        <w:tc>
          <w:tcPr>
            <w:tcW w:w="4721" w:type="dxa"/>
            <w:shd w:val="clear" w:color="auto" w:fill="FFFFFF"/>
            <w:tcMar>
              <w:top w:w="0" w:type="dxa"/>
              <w:left w:w="0" w:type="dxa"/>
              <w:bottom w:w="0" w:type="dxa"/>
              <w:right w:w="0" w:type="dxa"/>
            </w:tcMar>
            <w:vAlign w:val="center"/>
          </w:tcPr>
          <w:p w:rsidR="003D3C59" w:rsidRPr="003D3C59" w:rsidRDefault="003D3C59" w:rsidP="003D3C59">
            <w:pPr>
              <w:spacing w:line="240" w:lineRule="auto"/>
              <w:rPr>
                <w:lang w:val="en-US" w:eastAsia="es-ES_tradnl"/>
              </w:rPr>
            </w:pPr>
            <w:r w:rsidRPr="003D3C59">
              <w:rPr>
                <w:lang w:val="en-US" w:eastAsia="es-ES_tradnl"/>
              </w:rPr>
              <w:t>Trust in Smart Technologies → Perceived Personalization → Immersive Experience → Behavioral Loyalty Intention</w:t>
            </w:r>
          </w:p>
        </w:tc>
        <w:tc>
          <w:tcPr>
            <w:tcW w:w="858"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0.151</w:t>
            </w:r>
          </w:p>
        </w:tc>
        <w:tc>
          <w:tcPr>
            <w:tcW w:w="858"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0.053</w:t>
            </w:r>
          </w:p>
        </w:tc>
        <w:tc>
          <w:tcPr>
            <w:tcW w:w="120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0.056</w:t>
            </w:r>
          </w:p>
        </w:tc>
        <w:tc>
          <w:tcPr>
            <w:tcW w:w="1373"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0.262</w:t>
            </w:r>
          </w:p>
        </w:tc>
        <w:tc>
          <w:tcPr>
            <w:tcW w:w="120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0.001</w:t>
            </w:r>
          </w:p>
        </w:tc>
      </w:tr>
      <w:tr w:rsidR="003D3C59" w:rsidRPr="003D3C59" w:rsidTr="00F56688">
        <w:trPr>
          <w:trHeight w:val="1154"/>
          <w:jc w:val="center"/>
        </w:trPr>
        <w:tc>
          <w:tcPr>
            <w:tcW w:w="4721" w:type="dxa"/>
            <w:shd w:val="clear" w:color="auto" w:fill="FFFFFF"/>
            <w:tcMar>
              <w:top w:w="0" w:type="dxa"/>
              <w:left w:w="0" w:type="dxa"/>
              <w:bottom w:w="0" w:type="dxa"/>
              <w:right w:w="0" w:type="dxa"/>
            </w:tcMar>
            <w:vAlign w:val="center"/>
          </w:tcPr>
          <w:p w:rsidR="003D3C59" w:rsidRPr="003D3C59" w:rsidRDefault="003D3C59" w:rsidP="003D3C59">
            <w:pPr>
              <w:spacing w:line="240" w:lineRule="auto"/>
              <w:rPr>
                <w:lang w:val="en-US" w:eastAsia="es-ES_tradnl"/>
              </w:rPr>
            </w:pPr>
            <w:r w:rsidRPr="003D3C59">
              <w:rPr>
                <w:lang w:val="en-US" w:eastAsia="es-ES_tradnl"/>
              </w:rPr>
              <w:t>Privacy and Data Concerns → Perceived Personalization → Immersive Experience → Behavioral Loyalty Intention</w:t>
            </w:r>
          </w:p>
        </w:tc>
        <w:tc>
          <w:tcPr>
            <w:tcW w:w="858"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0.044</w:t>
            </w:r>
          </w:p>
        </w:tc>
        <w:tc>
          <w:tcPr>
            <w:tcW w:w="858"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0.029</w:t>
            </w:r>
          </w:p>
        </w:tc>
        <w:tc>
          <w:tcPr>
            <w:tcW w:w="120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-0.013</w:t>
            </w:r>
          </w:p>
        </w:tc>
        <w:tc>
          <w:tcPr>
            <w:tcW w:w="1373"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0.102</w:t>
            </w:r>
          </w:p>
        </w:tc>
        <w:tc>
          <w:tcPr>
            <w:tcW w:w="1201" w:type="dxa"/>
            <w:shd w:val="clear" w:color="auto" w:fill="FFFFFF"/>
            <w:tcMar>
              <w:top w:w="0" w:type="dxa"/>
              <w:left w:w="0" w:type="dxa"/>
              <w:bottom w:w="0" w:type="dxa"/>
              <w:right w:w="0" w:type="dxa"/>
            </w:tcMar>
            <w:vAlign w:val="center"/>
          </w:tcPr>
          <w:p w:rsidR="003D3C59" w:rsidRPr="003D3C59" w:rsidRDefault="003D3C59" w:rsidP="003D3C59">
            <w:pPr>
              <w:pBdr>
                <w:top w:val="none" w:sz="0" w:space="0" w:color="000000"/>
                <w:left w:val="none" w:sz="0" w:space="0" w:color="000000"/>
                <w:bottom w:val="none" w:sz="0" w:space="0" w:color="000000"/>
                <w:right w:val="none" w:sz="0" w:space="0" w:color="000000"/>
              </w:pBdr>
              <w:spacing w:before="80" w:after="80" w:line="240" w:lineRule="auto"/>
              <w:ind w:left="80" w:right="80"/>
              <w:jc w:val="center"/>
              <w:rPr>
                <w:rFonts w:eastAsia="Helvetica"/>
                <w:color w:val="000000"/>
                <w:lang w:val="es-ES" w:eastAsia="es-ES_tradnl"/>
              </w:rPr>
            </w:pPr>
            <w:r w:rsidRPr="003D3C59">
              <w:rPr>
                <w:rFonts w:eastAsia="Helvetica"/>
                <w:color w:val="000000"/>
                <w:lang w:val="es-ES" w:eastAsia="es-ES_tradnl"/>
              </w:rPr>
              <w:t>0.136</w:t>
            </w:r>
          </w:p>
        </w:tc>
      </w:tr>
    </w:tbl>
    <w:p w:rsidR="003D3C59" w:rsidRPr="003D3C59" w:rsidRDefault="003D3C59" w:rsidP="003D3C59">
      <w:pPr>
        <w:rPr>
          <w:lang w:val="en-US" w:eastAsia="es-ES_tradnl"/>
        </w:rPr>
      </w:pPr>
    </w:p>
    <w:p w:rsidR="00170F22" w:rsidRDefault="00B927D2" w:rsidP="00B927D2">
      <w:pPr>
        <w:pStyle w:val="Ttulo1"/>
      </w:pPr>
      <w:r>
        <w:lastRenderedPageBreak/>
        <w:t>Discussion and implications</w:t>
      </w:r>
    </w:p>
    <w:p w:rsidR="00853765" w:rsidRPr="00853765" w:rsidRDefault="00853765" w:rsidP="00853765">
      <w:pPr>
        <w:pStyle w:val="Paragraph"/>
      </w:pPr>
      <w:r w:rsidRPr="00853765">
        <w:t xml:space="preserve">The findings suggest that smart festival technologies function less as ends in themselves than as enabling conditions for more personalised and immersive festival experiences. Perceived usefulness and trust both positively predicted perceived personalization, which in turn strongly enhanced immersive experience and </w:t>
      </w:r>
      <w:proofErr w:type="spellStart"/>
      <w:r w:rsidRPr="00853765">
        <w:t>behavioral</w:t>
      </w:r>
      <w:proofErr w:type="spellEnd"/>
      <w:r w:rsidRPr="00853765">
        <w:t xml:space="preserve"> loyalty intention. This pattern suggests that the smart layer becomes valuable when it helps attendees experience the festival as more personally relevant, experientially coherent, and emotionally engaging, rather than simply more technologically advanced. Smart festival technologies therefore appear to matter less because of novelty itself than because of their capacity to support meaningful experiential outcomes. This interpretation is consistent with prior work linking smart tourism technologies and festival experience to downstream behavioural responses, as well as with recent festival research showing that AI-related technology perceptions can shape memorable experiences and well-being (</w:t>
      </w:r>
      <w:proofErr w:type="spellStart"/>
      <w:r w:rsidRPr="00853765">
        <w:t>Jeong</w:t>
      </w:r>
      <w:proofErr w:type="spellEnd"/>
      <w:r w:rsidRPr="00853765">
        <w:t xml:space="preserve"> &amp; Shin, 2020; Sisson &amp; Alcorn, 2022; Lopes et al., 2026). </w:t>
      </w:r>
    </w:p>
    <w:p w:rsidR="00853765" w:rsidRDefault="00853765" w:rsidP="00853765">
      <w:pPr>
        <w:pStyle w:val="Newparagraph"/>
      </w:pPr>
      <w:r>
        <w:t>The strongest contribution of the model lies in the sequential pathway from personalization to immersion and then to loyalty. Both the explanatory power of the model and the effect-size estimates indicate that the central mechanism is not a direct technology–loyalty relationship, but an experiential sequence in which smart systems first make the event feel more individually meaningful and then deepen presence and involvement within the festival setting. The indirect-effect analysis reinforces this interpretation: perceived usefulness and trust influenced loyalty through personalization and immersion, whereas privacy concerns did not. Accordingly, loyalty should be understood less as a direct response to technological novelty and more as the downstream consequence of a festival experience that feels both tailored and immersive.</w:t>
      </w:r>
    </w:p>
    <w:p w:rsidR="00853765" w:rsidRDefault="00853765" w:rsidP="00853765">
      <w:pPr>
        <w:pStyle w:val="Newparagraph"/>
      </w:pPr>
      <w:r>
        <w:lastRenderedPageBreak/>
        <w:t>The non-significant role of privacy concerns is theoretically noteworthy. Prior smart tourism research has often framed privacy as a salient tension in data-driven environments (</w:t>
      </w:r>
      <w:proofErr w:type="spellStart"/>
      <w:r>
        <w:t>Femenia</w:t>
      </w:r>
      <w:proofErr w:type="spellEnd"/>
      <w:r>
        <w:t xml:space="preserve"> et al., 2022), yet more recent work suggests that privacy and personalization do not always operate as a simple zero-sum trade-off (</w:t>
      </w:r>
      <w:proofErr w:type="spellStart"/>
      <w:r>
        <w:t>Ciftci</w:t>
      </w:r>
      <w:proofErr w:type="spellEnd"/>
      <w:r>
        <w:t xml:space="preserve"> et al., 2024). The present findings are consistent with this more contingent view. Among technology-exposed festival attendees, privacy concerns may remain present without necessarily undermining the perceived value of personalization. One possible explanation is that, in temporally compressed and operationally intense festival environments, users may bracket privacy concerns when technologies are already familiar, useful, and embedded in the practical flow of participation. This interpretation also fits the technological profile of the sample, which was dominated by normalized and service-oriented systems rather than more intrusive or experimental technologies.</w:t>
      </w:r>
    </w:p>
    <w:p w:rsidR="00853765" w:rsidRDefault="00853765" w:rsidP="00853765">
      <w:pPr>
        <w:pStyle w:val="Newparagraph"/>
      </w:pPr>
      <w:r>
        <w:t xml:space="preserve">These conclusions should nevertheless be interpreted with caution. Although the measurement model showed satisfactory psychometric quality, the overall global fit of the structural model was less than ideal. For this reason, the findings are best interpreted in terms of the consistency of the estimated relationships, the explanatory power of the model, and the substantive plausibility of the proposed sequence rather than as evidence of a perfectly fitting structure. Even so, the results offer a coherent account of how smart festival technologies can support loyalty by intensifying personalised and immersive engagement within hybrid, digitally mediated festival environments, which is consistent with broader work on the </w:t>
      </w:r>
      <w:proofErr w:type="spellStart"/>
      <w:r>
        <w:t>phygital</w:t>
      </w:r>
      <w:proofErr w:type="spellEnd"/>
      <w:r>
        <w:t xml:space="preserve"> reconfiguration of tourist space and experience (</w:t>
      </w:r>
      <w:proofErr w:type="spellStart"/>
      <w:r>
        <w:t>Mieli</w:t>
      </w:r>
      <w:proofErr w:type="spellEnd"/>
      <w:r>
        <w:t xml:space="preserve"> et al., 2024).</w:t>
      </w:r>
    </w:p>
    <w:p w:rsidR="00853765" w:rsidRDefault="00853765" w:rsidP="003D3C59">
      <w:pPr>
        <w:pStyle w:val="Newparagraph"/>
      </w:pPr>
      <w:r>
        <w:t xml:space="preserve">This study contributes to the literature by shifting attention from technology adoption as an end in itself toward a more experiential and spatial understanding of smart festival technologies within the festival </w:t>
      </w:r>
      <w:proofErr w:type="spellStart"/>
      <w:r>
        <w:t>experiencescape</w:t>
      </w:r>
      <w:proofErr w:type="spellEnd"/>
      <w:r>
        <w:t xml:space="preserve">. </w:t>
      </w:r>
      <w:r w:rsidR="003D3C59">
        <w:t>T</w:t>
      </w:r>
      <w:r>
        <w:t xml:space="preserve">he findings indicate </w:t>
      </w:r>
      <w:r>
        <w:lastRenderedPageBreak/>
        <w:t xml:space="preserve">that the value of the smart layer emerges through a sequential pathway in which perceived usefulness and trust enhance perceived personalization, personalization strengthens immersive experience, and immersion ultimately drives </w:t>
      </w:r>
      <w:proofErr w:type="spellStart"/>
      <w:r>
        <w:t>behavioral</w:t>
      </w:r>
      <w:proofErr w:type="spellEnd"/>
      <w:r>
        <w:t xml:space="preserve"> loyalty intention. In doing so, the study bridges technology-oriented and </w:t>
      </w:r>
      <w:proofErr w:type="spellStart"/>
      <w:r>
        <w:t>experiencescape</w:t>
      </w:r>
      <w:proofErr w:type="spellEnd"/>
      <w:r>
        <w:t>-oriented research, repositions personalization as a spatial–experiential mechanism rather than a purely marketing feature, and suggests that privacy concerns may operate in a more contingent and context-dependent way than is often assumed in data-driven tourism settings.</w:t>
      </w:r>
    </w:p>
    <w:p w:rsidR="00853765" w:rsidRDefault="00853765" w:rsidP="00853765">
      <w:pPr>
        <w:pStyle w:val="Newparagraph"/>
      </w:pPr>
      <w:r>
        <w:t>For festival organizers, the results suggest that the strategic value of smart technologies lies less in novelty alone than in their ability to make the festival experience feel more relevant, navigable, and engaging for attendees. Technologies that improve wayfinding, planning, responsiveness, and experiential coherence are likely to generate stronger downstream benefits than technologies introduced mainly as symbolic innovation. The findings also highlight the importance of trust: smart systems need to be reliable, easy to rely on under peak demand, and visibly aligned with attendees’ interests. In practical terms, organizers may achieve greater loyalty-related outcomes by improving the integration of everyday smart touchpoints rather than focusing exclusively on more experimental technologies.</w:t>
      </w:r>
    </w:p>
    <w:p w:rsidR="00464CCE" w:rsidRDefault="00853765" w:rsidP="00464CCE">
      <w:pPr>
        <w:pStyle w:val="Newparagraph"/>
      </w:pPr>
      <w:r>
        <w:t xml:space="preserve">Despite these implications, some limitations should be acknowledged. First, the study relied on purposive non-probability sampling and a sample restricted to respondents with direct prior use of smart festival technologies, so the findings should be interpreted as applying primarily to technology-exposed festival attendees rather than </w:t>
      </w:r>
      <w:r w:rsidRPr="00853765">
        <w:t>to the wider festival-going population. Second, the sample was strongly centred on respondents reporting Spanish nationality and was dominated by music-festival participation, which may limit transferability to other national and event contexts.</w:t>
      </w:r>
      <w:r>
        <w:t xml:space="preserve"> </w:t>
      </w:r>
      <w:r w:rsidRPr="00853765">
        <w:lastRenderedPageBreak/>
        <w:t>Third, although respondents reported exposure to a variety of smart festival technologies, the technological profile was largely dominated by functional and service-oriented systems, meaning that the study captures aggregate smart-technology-enabled festival experiences rather than the effects of specific technological applications. Finally, given the cross-sectional design and the less-than-ideal global fit of the structural model, the findings should be interpreted with appropriate caution. Future research could compare different categories of smart festival technologies, examine variation across festival genres and national contexts, and use longitudinal or event-based designs to better capture how personalization, immersion, and loyalty evolve across the festival experience.</w:t>
      </w:r>
    </w:p>
    <w:p w:rsidR="00464CCE" w:rsidRDefault="00464CCE" w:rsidP="00464CCE">
      <w:pPr>
        <w:pStyle w:val="Ttulo1"/>
        <w:rPr>
          <w:lang w:val="en-US"/>
        </w:rPr>
      </w:pPr>
      <w:r>
        <w:rPr>
          <w:lang w:val="en-US"/>
        </w:rPr>
        <w:t>D</w:t>
      </w:r>
      <w:r w:rsidRPr="00464CCE">
        <w:rPr>
          <w:lang w:val="en-US"/>
        </w:rPr>
        <w:t>eclaration of funding</w:t>
      </w:r>
    </w:p>
    <w:p w:rsidR="00853794" w:rsidRDefault="00853794" w:rsidP="00853794">
      <w:pPr>
        <w:pStyle w:val="Paragraph"/>
        <w:rPr>
          <w:lang w:val="en-US"/>
        </w:rPr>
      </w:pPr>
      <w:r w:rsidRPr="00853794">
        <w:rPr>
          <w:lang w:val="en-US"/>
        </w:rPr>
        <w:t>Support from grant RYC2023-043553-I, funded by MICIU/AEI/10.13039/501100011033.</w:t>
      </w:r>
    </w:p>
    <w:p w:rsidR="00464CCE" w:rsidRPr="00464CCE" w:rsidRDefault="00464CCE" w:rsidP="00464CCE">
      <w:pPr>
        <w:pStyle w:val="Ttulo1"/>
        <w:rPr>
          <w:lang w:val="en-US"/>
        </w:rPr>
      </w:pPr>
      <w:r w:rsidRPr="00464CCE">
        <w:rPr>
          <w:lang w:val="en-US"/>
        </w:rPr>
        <w:t>Disclosure statement</w:t>
      </w:r>
    </w:p>
    <w:p w:rsidR="00464CCE" w:rsidRPr="00464CCE" w:rsidRDefault="00464CCE" w:rsidP="00464CCE">
      <w:pPr>
        <w:pStyle w:val="Paragraph"/>
      </w:pPr>
      <w:r w:rsidRPr="00464CCE">
        <w:t>No potential conflict of interest was reported by the authors.</w:t>
      </w:r>
    </w:p>
    <w:p w:rsidR="00464CCE" w:rsidRDefault="00464CCE" w:rsidP="00464CCE">
      <w:pPr>
        <w:pStyle w:val="Ttulo1"/>
      </w:pPr>
      <w:r>
        <w:t>Data availability</w:t>
      </w:r>
    </w:p>
    <w:p w:rsidR="00464CCE" w:rsidRPr="00464CCE" w:rsidRDefault="00464CCE" w:rsidP="00464CCE">
      <w:pPr>
        <w:pStyle w:val="Paragraph"/>
      </w:pPr>
      <w:r w:rsidRPr="00464CCE">
        <w:t>The data that support the findings of this study are available from the authors upon reasonable request.</w:t>
      </w:r>
    </w:p>
    <w:p w:rsidR="005B7A4F" w:rsidRDefault="005B7A4F" w:rsidP="005B7A4F">
      <w:pPr>
        <w:pStyle w:val="Ttulo1"/>
      </w:pPr>
      <w:r>
        <w:t>References</w:t>
      </w:r>
    </w:p>
    <w:p w:rsidR="00FE24F9" w:rsidRPr="00CA3C8E" w:rsidRDefault="00FE24F9" w:rsidP="00FE24F9">
      <w:pPr>
        <w:pStyle w:val="References"/>
        <w:rPr>
          <w:lang w:val="en-US" w:eastAsia="es-ES_tradnl"/>
        </w:rPr>
      </w:pPr>
      <w:proofErr w:type="spellStart"/>
      <w:r>
        <w:t>Azara</w:t>
      </w:r>
      <w:proofErr w:type="spellEnd"/>
      <w:r>
        <w:t xml:space="preserve">, I., Pappas, N., &amp; </w:t>
      </w:r>
      <w:proofErr w:type="spellStart"/>
      <w:r>
        <w:t>Michopoulou</w:t>
      </w:r>
      <w:proofErr w:type="spellEnd"/>
      <w:r>
        <w:t xml:space="preserve">, E. (2023). </w:t>
      </w:r>
      <w:r w:rsidRPr="00FE24F9">
        <w:rPr>
          <w:lang w:val="en-US"/>
        </w:rPr>
        <w:t xml:space="preserve">Revisiting value co-creation and co-destruction in events: An overview. </w:t>
      </w:r>
      <w:r w:rsidRPr="00FE24F9">
        <w:rPr>
          <w:i/>
          <w:iCs/>
        </w:rPr>
        <w:t>Event Management</w:t>
      </w:r>
      <w:r>
        <w:t xml:space="preserve">, 27(2), 157–162. https://doi.org/10.3727/152599521X16367300695672 </w:t>
      </w:r>
    </w:p>
    <w:p w:rsidR="005B7A4F" w:rsidRPr="00D1312B" w:rsidRDefault="005B7A4F" w:rsidP="00D1312B">
      <w:pPr>
        <w:pStyle w:val="References"/>
        <w:rPr>
          <w:lang w:val="en-US" w:eastAsia="es-ES_tradnl"/>
        </w:rPr>
      </w:pPr>
      <w:proofErr w:type="spellStart"/>
      <w:r w:rsidRPr="00D1312B">
        <w:rPr>
          <w:lang w:val="en-US" w:eastAsia="es-ES_tradnl"/>
        </w:rPr>
        <w:lastRenderedPageBreak/>
        <w:t>Bär</w:t>
      </w:r>
      <w:proofErr w:type="spellEnd"/>
      <w:r w:rsidRPr="00D1312B">
        <w:rPr>
          <w:lang w:val="en-US" w:eastAsia="es-ES_tradnl"/>
        </w:rPr>
        <w:t xml:space="preserve">, S., </w:t>
      </w:r>
      <w:proofErr w:type="spellStart"/>
      <w:r w:rsidRPr="00D1312B">
        <w:rPr>
          <w:lang w:val="en-US" w:eastAsia="es-ES_tradnl"/>
        </w:rPr>
        <w:t>Boyacıoğlu</w:t>
      </w:r>
      <w:proofErr w:type="spellEnd"/>
      <w:r w:rsidRPr="00D1312B">
        <w:rPr>
          <w:lang w:val="en-US" w:eastAsia="es-ES_tradnl"/>
        </w:rPr>
        <w:t xml:space="preserve">, S., &amp; </w:t>
      </w:r>
      <w:proofErr w:type="spellStart"/>
      <w:r w:rsidRPr="00D1312B">
        <w:rPr>
          <w:lang w:val="en-US" w:eastAsia="es-ES_tradnl"/>
        </w:rPr>
        <w:t>Kurscheidt</w:t>
      </w:r>
      <w:proofErr w:type="spellEnd"/>
      <w:r w:rsidRPr="00D1312B">
        <w:rPr>
          <w:lang w:val="en-US" w:eastAsia="es-ES_tradnl"/>
        </w:rPr>
        <w:t xml:space="preserve">, M. (2025). On the edge of a digital event era: Which innovative factors influence the willingness to pay for virtual concerts? </w:t>
      </w:r>
      <w:r w:rsidRPr="00D1312B">
        <w:rPr>
          <w:i/>
          <w:iCs/>
        </w:rPr>
        <w:t>Journal of Innovation &amp; Knowledge</w:t>
      </w:r>
      <w:r w:rsidRPr="00D1312B">
        <w:rPr>
          <w:lang w:val="en-US" w:eastAsia="es-ES_tradnl"/>
        </w:rPr>
        <w:t>, 10(5), Article 100776. https://doi.org/10.1016/j.jik.2025.100776</w:t>
      </w:r>
    </w:p>
    <w:p w:rsidR="005B7A4F" w:rsidRPr="00CA3C8E" w:rsidRDefault="005B7A4F" w:rsidP="00D1312B">
      <w:pPr>
        <w:pStyle w:val="References"/>
        <w:rPr>
          <w:lang w:val="en-US" w:eastAsia="es-ES_tradnl"/>
        </w:rPr>
      </w:pPr>
      <w:r w:rsidRPr="00D1312B">
        <w:rPr>
          <w:lang w:val="en-US" w:eastAsia="es-ES_tradnl"/>
        </w:rPr>
        <w:t xml:space="preserve">Bitner, M. J. (1992). </w:t>
      </w:r>
      <w:proofErr w:type="spellStart"/>
      <w:r w:rsidRPr="00D1312B">
        <w:rPr>
          <w:lang w:val="en-US" w:eastAsia="es-ES_tradnl"/>
        </w:rPr>
        <w:t>Servicescapes</w:t>
      </w:r>
      <w:proofErr w:type="spellEnd"/>
      <w:r w:rsidRPr="00D1312B">
        <w:rPr>
          <w:lang w:val="en-US" w:eastAsia="es-ES_tradnl"/>
        </w:rPr>
        <w:t xml:space="preserve">: The impact of physical surroundings on customers and employees. </w:t>
      </w:r>
      <w:r w:rsidRPr="00D1312B">
        <w:rPr>
          <w:i/>
          <w:iCs/>
          <w:lang w:val="en-US" w:eastAsia="es-ES_tradnl"/>
        </w:rPr>
        <w:t>Journal of Marketing</w:t>
      </w:r>
      <w:r w:rsidRPr="00D1312B">
        <w:rPr>
          <w:lang w:val="en-US" w:eastAsia="es-ES_tradnl"/>
        </w:rPr>
        <w:t>, 56(2), 57–71.</w:t>
      </w:r>
      <w:hyperlink r:id="rId9" w:history="1">
        <w:r w:rsidRPr="00D1312B">
          <w:rPr>
            <w:lang w:val="en-US" w:eastAsia="es-ES_tradnl"/>
          </w:rPr>
          <w:t xml:space="preserve"> https://doi.org/10.2307/1252042</w:t>
        </w:r>
      </w:hyperlink>
    </w:p>
    <w:p w:rsidR="004A4D5E" w:rsidRPr="00D1312B" w:rsidRDefault="004A4D5E" w:rsidP="00D1312B">
      <w:pPr>
        <w:pStyle w:val="References"/>
        <w:rPr>
          <w:lang w:val="en-US" w:eastAsia="es-ES_tradnl"/>
        </w:rPr>
      </w:pPr>
      <w:proofErr w:type="spellStart"/>
      <w:r w:rsidRPr="004A4D5E">
        <w:rPr>
          <w:lang w:val="en-US" w:eastAsia="es-ES_tradnl"/>
        </w:rPr>
        <w:t>Celuch</w:t>
      </w:r>
      <w:proofErr w:type="spellEnd"/>
      <w:r w:rsidRPr="004A4D5E">
        <w:rPr>
          <w:lang w:val="en-US" w:eastAsia="es-ES_tradnl"/>
        </w:rPr>
        <w:t xml:space="preserve">, K. (2021), Event technology for potential sustainable practices: a bibliometric review and research agenda, </w:t>
      </w:r>
      <w:r w:rsidRPr="004A4D5E">
        <w:rPr>
          <w:i/>
          <w:iCs/>
          <w:lang w:val="en-US" w:eastAsia="es-ES_tradnl"/>
        </w:rPr>
        <w:t>International Journal of Event and Festival Management</w:t>
      </w:r>
      <w:r w:rsidRPr="004A4D5E">
        <w:rPr>
          <w:lang w:val="en-US" w:eastAsia="es-ES_tradnl"/>
        </w:rPr>
        <w:t xml:space="preserve">, Vol. 12 No. 3, pp. 314-330, </w:t>
      </w:r>
      <w:proofErr w:type="spellStart"/>
      <w:r w:rsidRPr="004A4D5E">
        <w:rPr>
          <w:lang w:val="en-US" w:eastAsia="es-ES_tradnl"/>
        </w:rPr>
        <w:t>doi</w:t>
      </w:r>
      <w:proofErr w:type="spellEnd"/>
      <w:r w:rsidRPr="004A4D5E">
        <w:rPr>
          <w:lang w:val="en-US" w:eastAsia="es-ES_tradnl"/>
        </w:rPr>
        <w:t>: https://doi.org/10.1108/IJEFM-08-2020-0051.</w:t>
      </w:r>
    </w:p>
    <w:p w:rsidR="005B7A4F" w:rsidRPr="00D1312B" w:rsidRDefault="005B7A4F" w:rsidP="00D1312B">
      <w:pPr>
        <w:pStyle w:val="References"/>
        <w:rPr>
          <w:lang w:val="en-US" w:eastAsia="es-ES_tradnl"/>
        </w:rPr>
      </w:pPr>
      <w:r w:rsidRPr="00D1312B">
        <w:rPr>
          <w:lang w:val="en-US" w:eastAsia="es-ES_tradnl"/>
        </w:rPr>
        <w:t xml:space="preserve">Chen, J., Jung, S., &amp; Cai, L. A. (2025). A critical review of technology-facilitated event engagement: Current landscape and pathway forward. </w:t>
      </w:r>
      <w:r w:rsidRPr="00D1312B">
        <w:rPr>
          <w:i/>
          <w:iCs/>
          <w:lang w:val="en-US" w:eastAsia="es-ES_tradnl"/>
        </w:rPr>
        <w:t>International Journal of Contemporary Hospitality Management, 37</w:t>
      </w:r>
      <w:r w:rsidRPr="00D1312B">
        <w:rPr>
          <w:lang w:val="en-US" w:eastAsia="es-ES_tradnl"/>
        </w:rPr>
        <w:t>(13), 169–189.</w:t>
      </w:r>
      <w:hyperlink r:id="rId10" w:history="1">
        <w:r w:rsidRPr="00D1312B">
          <w:rPr>
            <w:lang w:val="en-US" w:eastAsia="es-ES_tradnl"/>
          </w:rPr>
          <w:t xml:space="preserve"> https://doi.org/10.1108/IJCHM-02-2025-0236</w:t>
        </w:r>
      </w:hyperlink>
    </w:p>
    <w:p w:rsidR="005B7A4F" w:rsidRPr="00D1312B" w:rsidRDefault="005B7A4F" w:rsidP="00D1312B">
      <w:pPr>
        <w:pStyle w:val="References"/>
        <w:rPr>
          <w:lang w:val="en-US" w:eastAsia="es-ES_tradnl"/>
        </w:rPr>
      </w:pPr>
      <w:r w:rsidRPr="00D1312B">
        <w:rPr>
          <w:lang w:val="en-US" w:eastAsia="es-ES_tradnl"/>
        </w:rPr>
        <w:t xml:space="preserve">Chen, S. X., Wu, H.-C., &amp; Cheng, D. (2025). The influences of immersive sensory cues on immersive experience recommendation intentions in a digital exhibition: A cognitive-affective-conative model. </w:t>
      </w:r>
      <w:r w:rsidRPr="00D1312B">
        <w:rPr>
          <w:i/>
          <w:iCs/>
          <w:lang w:val="en-US" w:eastAsia="es-ES_tradnl"/>
        </w:rPr>
        <w:t>Event Management,</w:t>
      </w:r>
      <w:r w:rsidRPr="00D1312B">
        <w:rPr>
          <w:lang w:val="en-US" w:eastAsia="es-ES_tradnl"/>
        </w:rPr>
        <w:t xml:space="preserve"> 29(2), 131–148. https://doi.org/10.3727/152599524X17229013810202</w:t>
      </w:r>
    </w:p>
    <w:p w:rsidR="005B7A4F" w:rsidRPr="00D1312B" w:rsidRDefault="005B7A4F" w:rsidP="00D1312B">
      <w:pPr>
        <w:pStyle w:val="References"/>
        <w:rPr>
          <w:lang w:val="en-US" w:eastAsia="es-ES_tradnl"/>
        </w:rPr>
      </w:pPr>
      <w:proofErr w:type="spellStart"/>
      <w:r w:rsidRPr="00D1312B">
        <w:rPr>
          <w:lang w:val="en-US" w:eastAsia="es-ES_tradnl"/>
        </w:rPr>
        <w:t>Ciftci</w:t>
      </w:r>
      <w:proofErr w:type="spellEnd"/>
      <w:r w:rsidRPr="00D1312B">
        <w:rPr>
          <w:lang w:val="en-US" w:eastAsia="es-ES_tradnl"/>
        </w:rPr>
        <w:t xml:space="preserve">, O., Berezina, K., &amp; </w:t>
      </w:r>
      <w:proofErr w:type="spellStart"/>
      <w:r w:rsidRPr="00D1312B">
        <w:rPr>
          <w:lang w:val="en-US" w:eastAsia="es-ES_tradnl"/>
        </w:rPr>
        <w:t>Soifer</w:t>
      </w:r>
      <w:proofErr w:type="spellEnd"/>
      <w:r w:rsidRPr="00D1312B">
        <w:rPr>
          <w:lang w:val="en-US" w:eastAsia="es-ES_tradnl"/>
        </w:rPr>
        <w:t xml:space="preserve">, I. (2024). Exploring privacy-personalization paradox: Facial recognition systems at business events. </w:t>
      </w:r>
      <w:r w:rsidRPr="00D1312B">
        <w:rPr>
          <w:i/>
          <w:iCs/>
          <w:lang w:val="en-US" w:eastAsia="es-ES_tradnl"/>
        </w:rPr>
        <w:t>Computers in Human Behavior</w:t>
      </w:r>
      <w:r w:rsidRPr="00D1312B">
        <w:rPr>
          <w:lang w:val="en-US" w:eastAsia="es-ES_tradnl"/>
        </w:rPr>
        <w:t>, 159, 108335.</w:t>
      </w:r>
      <w:hyperlink r:id="rId11" w:history="1">
        <w:r w:rsidRPr="00D1312B">
          <w:rPr>
            <w:lang w:val="en-US" w:eastAsia="es-ES_tradnl"/>
          </w:rPr>
          <w:t xml:space="preserve"> https://doi.org/10.1016/j.chb.2024.108335</w:t>
        </w:r>
      </w:hyperlink>
    </w:p>
    <w:p w:rsidR="005B7A4F" w:rsidRPr="00D1312B" w:rsidRDefault="005B7A4F" w:rsidP="00D1312B">
      <w:pPr>
        <w:pStyle w:val="References"/>
        <w:rPr>
          <w:lang w:val="en-US" w:eastAsia="es-ES_tradnl"/>
        </w:rPr>
      </w:pPr>
      <w:proofErr w:type="spellStart"/>
      <w:r w:rsidRPr="00D1312B">
        <w:rPr>
          <w:lang w:val="en-US" w:eastAsia="es-ES_tradnl"/>
        </w:rPr>
        <w:t>Cimbaljević</w:t>
      </w:r>
      <w:proofErr w:type="spellEnd"/>
      <w:r w:rsidRPr="00D1312B">
        <w:rPr>
          <w:lang w:val="en-US" w:eastAsia="es-ES_tradnl"/>
        </w:rPr>
        <w:t xml:space="preserve">, M., Stankov, U., </w:t>
      </w:r>
      <w:proofErr w:type="spellStart"/>
      <w:r w:rsidRPr="00D1312B">
        <w:rPr>
          <w:lang w:val="en-US" w:eastAsia="es-ES_tradnl"/>
        </w:rPr>
        <w:t>Bajrami</w:t>
      </w:r>
      <w:proofErr w:type="spellEnd"/>
      <w:r w:rsidRPr="00D1312B">
        <w:rPr>
          <w:lang w:val="en-US" w:eastAsia="es-ES_tradnl"/>
        </w:rPr>
        <w:t xml:space="preserve">, D. D., &amp; </w:t>
      </w:r>
      <w:proofErr w:type="spellStart"/>
      <w:r w:rsidRPr="00D1312B">
        <w:rPr>
          <w:lang w:val="en-US" w:eastAsia="es-ES_tradnl"/>
        </w:rPr>
        <w:t>Pavluković</w:t>
      </w:r>
      <w:proofErr w:type="spellEnd"/>
      <w:r w:rsidRPr="00D1312B">
        <w:rPr>
          <w:lang w:val="en-US" w:eastAsia="es-ES_tradnl"/>
        </w:rPr>
        <w:t xml:space="preserve">, V. (2021). Nice and smart: Creating a smarter festival – the study of EXIT (Novi Sad, Serbia). </w:t>
      </w:r>
      <w:r w:rsidRPr="00D1312B">
        <w:rPr>
          <w:i/>
          <w:iCs/>
          <w:lang w:val="en-US" w:eastAsia="es-ES_tradnl"/>
        </w:rPr>
        <w:t>Asia Pacific Journal of Tourism Research</w:t>
      </w:r>
      <w:r w:rsidRPr="00D1312B">
        <w:rPr>
          <w:lang w:val="en-US" w:eastAsia="es-ES_tradnl"/>
        </w:rPr>
        <w:t>, 26(4), 415–427.</w:t>
      </w:r>
      <w:hyperlink r:id="rId12" w:history="1">
        <w:r w:rsidRPr="00D1312B">
          <w:rPr>
            <w:lang w:val="en-US" w:eastAsia="es-ES_tradnl"/>
          </w:rPr>
          <w:t xml:space="preserve"> https://doi.org/10.1080/10941665.2019.1596139</w:t>
        </w:r>
      </w:hyperlink>
    </w:p>
    <w:p w:rsidR="005B7A4F" w:rsidRPr="00D1312B" w:rsidRDefault="005B7A4F" w:rsidP="00D1312B">
      <w:pPr>
        <w:pStyle w:val="References"/>
        <w:rPr>
          <w:lang w:val="en-US" w:eastAsia="es-ES_tradnl"/>
        </w:rPr>
      </w:pPr>
      <w:r w:rsidRPr="00D1312B">
        <w:rPr>
          <w:lang w:val="en-US" w:eastAsia="es-ES_tradnl"/>
        </w:rPr>
        <w:t xml:space="preserve">Cho, Y., Wang, Y., &amp; </w:t>
      </w:r>
      <w:proofErr w:type="spellStart"/>
      <w:r w:rsidRPr="00D1312B">
        <w:rPr>
          <w:lang w:val="en-US" w:eastAsia="es-ES_tradnl"/>
        </w:rPr>
        <w:t>Fesenmaier</w:t>
      </w:r>
      <w:proofErr w:type="spellEnd"/>
      <w:r w:rsidRPr="00D1312B">
        <w:rPr>
          <w:lang w:val="en-US" w:eastAsia="es-ES_tradnl"/>
        </w:rPr>
        <w:t xml:space="preserve">, D. R. (2002). Searching for Experiences. </w:t>
      </w:r>
      <w:r w:rsidRPr="00D1312B">
        <w:rPr>
          <w:i/>
          <w:iCs/>
          <w:lang w:val="en-US" w:eastAsia="es-ES_tradnl"/>
        </w:rPr>
        <w:t>Journal of Travel &amp; Tourism Marketing</w:t>
      </w:r>
      <w:r w:rsidRPr="00D1312B">
        <w:rPr>
          <w:lang w:val="en-US" w:eastAsia="es-ES_tradnl"/>
        </w:rPr>
        <w:t xml:space="preserve">, </w:t>
      </w:r>
      <w:r w:rsidRPr="00D1312B">
        <w:rPr>
          <w:i/>
          <w:iCs/>
          <w:lang w:val="en-US" w:eastAsia="es-ES_tradnl"/>
        </w:rPr>
        <w:t>12</w:t>
      </w:r>
      <w:r w:rsidRPr="00D1312B">
        <w:rPr>
          <w:lang w:val="en-US" w:eastAsia="es-ES_tradnl"/>
        </w:rPr>
        <w:t>(4), 1-17.</w:t>
      </w:r>
      <w:hyperlink r:id="rId13" w:history="1">
        <w:r w:rsidRPr="00D1312B">
          <w:rPr>
            <w:lang w:val="en-US" w:eastAsia="es-ES_tradnl"/>
          </w:rPr>
          <w:t xml:space="preserve"> https://doi.org/10.1300/j073v12n04_01</w:t>
        </w:r>
      </w:hyperlink>
    </w:p>
    <w:p w:rsidR="005B7A4F" w:rsidRPr="00D1312B" w:rsidRDefault="005B7A4F" w:rsidP="00D1312B">
      <w:pPr>
        <w:pStyle w:val="References"/>
        <w:rPr>
          <w:lang w:val="en-US" w:eastAsia="es-ES_tradnl"/>
        </w:rPr>
      </w:pPr>
      <w:r w:rsidRPr="00D1312B">
        <w:rPr>
          <w:lang w:val="en-US" w:eastAsia="es-ES_tradnl"/>
        </w:rPr>
        <w:t xml:space="preserve">Davis, F. D. (1989). Perceived usefulness, perceived ease of use, and user acceptance of information technology. </w:t>
      </w:r>
      <w:r w:rsidRPr="00D1312B">
        <w:rPr>
          <w:i/>
          <w:iCs/>
          <w:lang w:val="en-US" w:eastAsia="es-ES_tradnl"/>
        </w:rPr>
        <w:t>MIS Quarterly</w:t>
      </w:r>
      <w:r w:rsidRPr="00D1312B">
        <w:rPr>
          <w:lang w:val="en-US" w:eastAsia="es-ES_tradnl"/>
        </w:rPr>
        <w:t>, 13(3), 319–340. https://doi.org/10.2307/249008</w:t>
      </w:r>
    </w:p>
    <w:p w:rsidR="005B7A4F" w:rsidRPr="00CA3C8E" w:rsidRDefault="005B7A4F" w:rsidP="00D1312B">
      <w:pPr>
        <w:pStyle w:val="References"/>
        <w:rPr>
          <w:lang w:val="en-US" w:eastAsia="es-ES_tradnl"/>
        </w:rPr>
      </w:pPr>
      <w:proofErr w:type="spellStart"/>
      <w:r w:rsidRPr="00D1312B">
        <w:rPr>
          <w:lang w:val="en-US" w:eastAsia="es-ES_tradnl"/>
        </w:rPr>
        <w:lastRenderedPageBreak/>
        <w:t>Dalgiç</w:t>
      </w:r>
      <w:proofErr w:type="spellEnd"/>
      <w:r w:rsidRPr="00D1312B">
        <w:rPr>
          <w:lang w:val="en-US" w:eastAsia="es-ES_tradnl"/>
        </w:rPr>
        <w:t xml:space="preserve">, A., &amp; </w:t>
      </w:r>
      <w:proofErr w:type="spellStart"/>
      <w:r w:rsidRPr="00D1312B">
        <w:rPr>
          <w:lang w:val="en-US" w:eastAsia="es-ES_tradnl"/>
        </w:rPr>
        <w:t>Birdir</w:t>
      </w:r>
      <w:proofErr w:type="spellEnd"/>
      <w:r w:rsidRPr="00D1312B">
        <w:rPr>
          <w:lang w:val="en-US" w:eastAsia="es-ES_tradnl"/>
        </w:rPr>
        <w:t xml:space="preserve">, K. (2020). The effect of key success factors on loyalty of festival visitors: the mediating effect of festival experience and festival image. </w:t>
      </w:r>
      <w:r w:rsidRPr="00D1312B">
        <w:rPr>
          <w:i/>
          <w:iCs/>
          <w:lang w:val="en-US" w:eastAsia="es-ES_tradnl"/>
        </w:rPr>
        <w:t>Tourism &amp; Management Studies</w:t>
      </w:r>
      <w:r w:rsidRPr="00D1312B">
        <w:rPr>
          <w:lang w:val="en-US" w:eastAsia="es-ES_tradnl"/>
        </w:rPr>
        <w:t xml:space="preserve">, </w:t>
      </w:r>
      <w:r w:rsidRPr="00D1312B">
        <w:rPr>
          <w:i/>
          <w:iCs/>
          <w:lang w:val="en-US" w:eastAsia="es-ES_tradnl"/>
        </w:rPr>
        <w:t>16</w:t>
      </w:r>
      <w:r w:rsidRPr="00D1312B">
        <w:rPr>
          <w:lang w:val="en-US" w:eastAsia="es-ES_tradnl"/>
        </w:rPr>
        <w:t>(1), 28-38.</w:t>
      </w:r>
      <w:hyperlink r:id="rId14" w:history="1">
        <w:r w:rsidRPr="00D1312B">
          <w:rPr>
            <w:lang w:val="en-US" w:eastAsia="es-ES_tradnl"/>
          </w:rPr>
          <w:t xml:space="preserve"> https://doi.org/10.18089/tms.2020.160103</w:t>
        </w:r>
      </w:hyperlink>
    </w:p>
    <w:p w:rsidR="00057A16" w:rsidRPr="00D1312B" w:rsidRDefault="00057A16" w:rsidP="00D1312B">
      <w:pPr>
        <w:pStyle w:val="References"/>
        <w:rPr>
          <w:lang w:val="en-US" w:eastAsia="es-ES_tradnl"/>
        </w:rPr>
      </w:pPr>
      <w:proofErr w:type="spellStart"/>
      <w:r w:rsidRPr="00057A16">
        <w:rPr>
          <w:lang w:val="en-US" w:eastAsia="es-ES_tradnl"/>
        </w:rPr>
        <w:t>Dieck</w:t>
      </w:r>
      <w:proofErr w:type="spellEnd"/>
      <w:r w:rsidRPr="00057A16">
        <w:rPr>
          <w:lang w:val="en-US" w:eastAsia="es-ES_tradnl"/>
        </w:rPr>
        <w:t xml:space="preserve">, M.C.T., </w:t>
      </w:r>
      <w:proofErr w:type="spellStart"/>
      <w:r w:rsidRPr="00057A16">
        <w:rPr>
          <w:lang w:val="en-US" w:eastAsia="es-ES_tradnl"/>
        </w:rPr>
        <w:t>Dieck</w:t>
      </w:r>
      <w:proofErr w:type="spellEnd"/>
      <w:r w:rsidRPr="00057A16">
        <w:rPr>
          <w:lang w:val="en-US" w:eastAsia="es-ES_tradnl"/>
        </w:rPr>
        <w:t xml:space="preserve">, D.T. and Jung, T. (2021), Exploring usability and gratifications for virtual reality applications at festivals, </w:t>
      </w:r>
      <w:r w:rsidRPr="00057A16">
        <w:rPr>
          <w:i/>
          <w:iCs/>
          <w:lang w:val="en-US" w:eastAsia="es-ES_tradnl"/>
        </w:rPr>
        <w:t>Event Management</w:t>
      </w:r>
      <w:r w:rsidRPr="00057A16">
        <w:rPr>
          <w:lang w:val="en-US" w:eastAsia="es-ES_tradnl"/>
        </w:rPr>
        <w:t xml:space="preserve">, Vol. 25 No. 6, pp. 585-599, </w:t>
      </w:r>
      <w:proofErr w:type="spellStart"/>
      <w:r w:rsidRPr="00057A16">
        <w:rPr>
          <w:lang w:val="en-US" w:eastAsia="es-ES_tradnl"/>
        </w:rPr>
        <w:t>doi</w:t>
      </w:r>
      <w:proofErr w:type="spellEnd"/>
      <w:r w:rsidRPr="00057A16">
        <w:rPr>
          <w:lang w:val="en-US" w:eastAsia="es-ES_tradnl"/>
        </w:rPr>
        <w:t>: https://doi.org/10.3727/152599521X16106577965152.</w:t>
      </w:r>
    </w:p>
    <w:p w:rsidR="005B7A4F" w:rsidRPr="00D1312B" w:rsidRDefault="005B7A4F" w:rsidP="00D1312B">
      <w:pPr>
        <w:pStyle w:val="References"/>
        <w:rPr>
          <w:lang w:val="en-US" w:eastAsia="es-ES_tradnl"/>
        </w:rPr>
      </w:pPr>
      <w:r w:rsidRPr="00057A16">
        <w:rPr>
          <w:lang w:val="es-ES" w:eastAsia="es-ES_tradnl"/>
        </w:rPr>
        <w:t xml:space="preserve">Du, S., Zhang, H., </w:t>
      </w:r>
      <w:proofErr w:type="spellStart"/>
      <w:r w:rsidRPr="00057A16">
        <w:rPr>
          <w:lang w:val="es-ES" w:eastAsia="es-ES_tradnl"/>
        </w:rPr>
        <w:t>Xu</w:t>
      </w:r>
      <w:proofErr w:type="spellEnd"/>
      <w:r w:rsidRPr="00057A16">
        <w:rPr>
          <w:lang w:val="es-ES" w:eastAsia="es-ES_tradnl"/>
        </w:rPr>
        <w:t xml:space="preserve">, H., Yang, J., &amp; Tu, O. (2018). </w:t>
      </w:r>
      <w:r w:rsidRPr="00D1312B">
        <w:rPr>
          <w:lang w:val="en-US" w:eastAsia="es-ES_tradnl"/>
        </w:rPr>
        <w:t xml:space="preserve">To make the travel healthier: a new tourism personalized route recommendation algorithm. </w:t>
      </w:r>
      <w:r w:rsidRPr="00D1312B">
        <w:rPr>
          <w:i/>
          <w:iCs/>
          <w:lang w:val="en-US" w:eastAsia="es-ES_tradnl"/>
        </w:rPr>
        <w:t>Journal of Ambient Intelligence and Humanized Computing</w:t>
      </w:r>
      <w:r w:rsidRPr="00D1312B">
        <w:rPr>
          <w:lang w:val="en-US" w:eastAsia="es-ES_tradnl"/>
        </w:rPr>
        <w:t xml:space="preserve">, </w:t>
      </w:r>
      <w:r w:rsidRPr="00D1312B">
        <w:rPr>
          <w:i/>
          <w:iCs/>
          <w:lang w:val="en-US" w:eastAsia="es-ES_tradnl"/>
        </w:rPr>
        <w:t>10</w:t>
      </w:r>
      <w:r w:rsidRPr="00D1312B">
        <w:rPr>
          <w:lang w:val="en-US" w:eastAsia="es-ES_tradnl"/>
        </w:rPr>
        <w:t>(9), 3551-3562.</w:t>
      </w:r>
      <w:hyperlink r:id="rId15" w:history="1">
        <w:r w:rsidRPr="00D1312B">
          <w:rPr>
            <w:lang w:val="en-US" w:eastAsia="es-ES_tradnl"/>
          </w:rPr>
          <w:t xml:space="preserve"> https://doi.org/10.1007/s12652-018-1081-z</w:t>
        </w:r>
      </w:hyperlink>
    </w:p>
    <w:p w:rsidR="005B7A4F" w:rsidRPr="00D1312B" w:rsidRDefault="005B7A4F" w:rsidP="00D1312B">
      <w:pPr>
        <w:pStyle w:val="References"/>
        <w:rPr>
          <w:lang w:val="en-US" w:eastAsia="es-ES_tradnl"/>
        </w:rPr>
      </w:pPr>
      <w:r w:rsidRPr="00D1312B">
        <w:rPr>
          <w:color w:val="333333"/>
          <w:shd w:val="clear" w:color="auto" w:fill="FFFFFF"/>
          <w:lang w:val="en-US" w:eastAsia="es-ES_tradnl"/>
        </w:rPr>
        <w:t xml:space="preserve">Duignan, M., Everett, S., Walsh, L., &amp; Cade, N. (2018). Leveraging physical and digital </w:t>
      </w:r>
      <w:proofErr w:type="spellStart"/>
      <w:r w:rsidRPr="00D1312B">
        <w:rPr>
          <w:color w:val="333333"/>
          <w:shd w:val="clear" w:color="auto" w:fill="FFFFFF"/>
          <w:lang w:val="en-US" w:eastAsia="es-ES_tradnl"/>
        </w:rPr>
        <w:t>liminoidal</w:t>
      </w:r>
      <w:proofErr w:type="spellEnd"/>
      <w:r w:rsidRPr="00D1312B">
        <w:rPr>
          <w:color w:val="333333"/>
          <w:shd w:val="clear" w:color="auto" w:fill="FFFFFF"/>
          <w:lang w:val="en-US" w:eastAsia="es-ES_tradnl"/>
        </w:rPr>
        <w:t xml:space="preserve"> spaces: the case of the #EATCambridge festival. </w:t>
      </w:r>
      <w:r w:rsidRPr="00D1312B">
        <w:rPr>
          <w:i/>
          <w:iCs/>
          <w:color w:val="333333"/>
          <w:shd w:val="clear" w:color="auto" w:fill="FFFFFF"/>
          <w:lang w:val="en-US" w:eastAsia="es-ES_tradnl"/>
        </w:rPr>
        <w:t>Tourism Geographies</w:t>
      </w:r>
      <w:r w:rsidRPr="00D1312B">
        <w:rPr>
          <w:color w:val="333333"/>
          <w:shd w:val="clear" w:color="auto" w:fill="FFFFFF"/>
          <w:lang w:val="en-US" w:eastAsia="es-ES_tradnl"/>
        </w:rPr>
        <w:t xml:space="preserve">, </w:t>
      </w:r>
      <w:r w:rsidRPr="00D1312B">
        <w:rPr>
          <w:i/>
          <w:iCs/>
          <w:color w:val="333333"/>
          <w:shd w:val="clear" w:color="auto" w:fill="FFFFFF"/>
          <w:lang w:val="en-US" w:eastAsia="es-ES_tradnl"/>
        </w:rPr>
        <w:t>20</w:t>
      </w:r>
      <w:r w:rsidRPr="00D1312B">
        <w:rPr>
          <w:color w:val="333333"/>
          <w:shd w:val="clear" w:color="auto" w:fill="FFFFFF"/>
          <w:lang w:val="en-US" w:eastAsia="es-ES_tradnl"/>
        </w:rPr>
        <w:t>(5), 858–879. https://doi.org/10.1080/14616688.2017.1417472</w:t>
      </w:r>
    </w:p>
    <w:p w:rsidR="005B7A4F" w:rsidRPr="00D1312B" w:rsidRDefault="005B7A4F" w:rsidP="00D1312B">
      <w:pPr>
        <w:pStyle w:val="References"/>
        <w:rPr>
          <w:lang w:val="en-US" w:eastAsia="es-ES_tradnl"/>
        </w:rPr>
      </w:pPr>
      <w:proofErr w:type="spellStart"/>
      <w:r w:rsidRPr="00CA3C8E">
        <w:rPr>
          <w:lang w:val="en-US" w:eastAsia="es-ES_tradnl"/>
        </w:rPr>
        <w:t>Femenia</w:t>
      </w:r>
      <w:proofErr w:type="spellEnd"/>
      <w:r w:rsidRPr="00CA3C8E">
        <w:rPr>
          <w:lang w:val="en-US" w:eastAsia="es-ES_tradnl"/>
        </w:rPr>
        <w:t xml:space="preserve">-Serra, F., </w:t>
      </w:r>
      <w:proofErr w:type="spellStart"/>
      <w:r w:rsidRPr="00CA3C8E">
        <w:rPr>
          <w:lang w:val="en-US" w:eastAsia="es-ES_tradnl"/>
        </w:rPr>
        <w:t>Ioannou</w:t>
      </w:r>
      <w:proofErr w:type="spellEnd"/>
      <w:r w:rsidRPr="00CA3C8E">
        <w:rPr>
          <w:lang w:val="en-US" w:eastAsia="es-ES_tradnl"/>
        </w:rPr>
        <w:t xml:space="preserve">, A., &amp; </w:t>
      </w:r>
      <w:proofErr w:type="spellStart"/>
      <w:r w:rsidRPr="00CA3C8E">
        <w:rPr>
          <w:lang w:val="en-US" w:eastAsia="es-ES_tradnl"/>
        </w:rPr>
        <w:t>Tussyadiah</w:t>
      </w:r>
      <w:proofErr w:type="spellEnd"/>
      <w:r w:rsidRPr="00CA3C8E">
        <w:rPr>
          <w:lang w:val="en-US" w:eastAsia="es-ES_tradnl"/>
        </w:rPr>
        <w:t xml:space="preserve">, I. P. (2022). </w:t>
      </w:r>
      <w:r w:rsidRPr="00D1312B">
        <w:rPr>
          <w:lang w:val="en-US" w:eastAsia="es-ES_tradnl"/>
        </w:rPr>
        <w:t xml:space="preserve">Is smart scary? A mixed-methods study on privacy in smart tourism. </w:t>
      </w:r>
      <w:r w:rsidRPr="00D1312B">
        <w:rPr>
          <w:i/>
          <w:iCs/>
          <w:lang w:val="en-US" w:eastAsia="es-ES_tradnl"/>
        </w:rPr>
        <w:t>Current Issues in Tourism</w:t>
      </w:r>
      <w:r w:rsidRPr="00D1312B">
        <w:rPr>
          <w:lang w:val="en-US" w:eastAsia="es-ES_tradnl"/>
        </w:rPr>
        <w:t>, 25(14), 2212–2238.</w:t>
      </w:r>
      <w:hyperlink r:id="rId16" w:history="1">
        <w:r w:rsidRPr="00D1312B">
          <w:rPr>
            <w:lang w:val="en-US" w:eastAsia="es-ES_tradnl"/>
          </w:rPr>
          <w:t xml:space="preserve"> https://doi.org/10.1080/13683500.2021.1987399</w:t>
        </w:r>
      </w:hyperlink>
    </w:p>
    <w:p w:rsidR="005B7A4F" w:rsidRPr="00D1312B" w:rsidRDefault="005B7A4F" w:rsidP="00D1312B">
      <w:pPr>
        <w:pStyle w:val="References"/>
        <w:rPr>
          <w:lang w:val="en-US" w:eastAsia="es-ES_tradnl"/>
        </w:rPr>
      </w:pPr>
      <w:proofErr w:type="spellStart"/>
      <w:r w:rsidRPr="00D1312B">
        <w:rPr>
          <w:lang w:val="en-US" w:eastAsia="es-ES_tradnl"/>
        </w:rPr>
        <w:t>Fornell</w:t>
      </w:r>
      <w:proofErr w:type="spellEnd"/>
      <w:r w:rsidRPr="00D1312B">
        <w:rPr>
          <w:lang w:val="en-US" w:eastAsia="es-ES_tradnl"/>
        </w:rPr>
        <w:t xml:space="preserve">, C., &amp; </w:t>
      </w:r>
      <w:proofErr w:type="spellStart"/>
      <w:r w:rsidRPr="00D1312B">
        <w:rPr>
          <w:lang w:val="en-US" w:eastAsia="es-ES_tradnl"/>
        </w:rPr>
        <w:t>Larcker</w:t>
      </w:r>
      <w:proofErr w:type="spellEnd"/>
      <w:r w:rsidRPr="00D1312B">
        <w:rPr>
          <w:lang w:val="en-US" w:eastAsia="es-ES_tradnl"/>
        </w:rPr>
        <w:t>, D. F. (1981)</w:t>
      </w:r>
      <w:r w:rsidRPr="00D1312B">
        <w:rPr>
          <w:b/>
          <w:bCs/>
          <w:lang w:val="en-US" w:eastAsia="es-ES_tradnl"/>
        </w:rPr>
        <w:t>.</w:t>
      </w:r>
      <w:r w:rsidRPr="00D1312B">
        <w:rPr>
          <w:lang w:val="en-US" w:eastAsia="es-ES_tradnl"/>
        </w:rPr>
        <w:t xml:space="preserve"> Evaluating structural equation models with unobservable variables and measurement error. </w:t>
      </w:r>
      <w:r w:rsidRPr="00D1312B">
        <w:rPr>
          <w:i/>
          <w:iCs/>
          <w:lang w:val="en-US" w:eastAsia="es-ES_tradnl"/>
        </w:rPr>
        <w:t>Journal of Marketing Research, 18</w:t>
      </w:r>
      <w:r w:rsidRPr="00D1312B">
        <w:rPr>
          <w:lang w:val="en-US" w:eastAsia="es-ES_tradnl"/>
        </w:rPr>
        <w:t>(1), 39–50.</w:t>
      </w:r>
      <w:hyperlink r:id="rId17" w:history="1">
        <w:r w:rsidRPr="00D1312B">
          <w:rPr>
            <w:lang w:val="en-US" w:eastAsia="es-ES_tradnl"/>
          </w:rPr>
          <w:t xml:space="preserve"> https://doi.org/10.1177/002224378101800104</w:t>
        </w:r>
      </w:hyperlink>
    </w:p>
    <w:p w:rsidR="005B7A4F" w:rsidRPr="00D1312B" w:rsidRDefault="005B7A4F" w:rsidP="00D1312B">
      <w:pPr>
        <w:pStyle w:val="References"/>
        <w:rPr>
          <w:lang w:val="en-US" w:eastAsia="es-ES_tradnl"/>
        </w:rPr>
      </w:pPr>
      <w:r w:rsidRPr="00D1312B">
        <w:rPr>
          <w:lang w:val="en-US" w:eastAsia="es-ES_tradnl"/>
        </w:rPr>
        <w:t xml:space="preserve">García Revilla, R., Martínez Moure, O., &amp; </w:t>
      </w:r>
      <w:proofErr w:type="spellStart"/>
      <w:r w:rsidRPr="00D1312B">
        <w:rPr>
          <w:lang w:val="en-US" w:eastAsia="es-ES_tradnl"/>
        </w:rPr>
        <w:t>Einsle</w:t>
      </w:r>
      <w:proofErr w:type="spellEnd"/>
      <w:r w:rsidRPr="00D1312B">
        <w:rPr>
          <w:lang w:val="en-US" w:eastAsia="es-ES_tradnl"/>
        </w:rPr>
        <w:t xml:space="preserve">, C. S. (2023). Advances in event management using new technologies and mobile applications. </w:t>
      </w:r>
      <w:r w:rsidRPr="00D1312B">
        <w:rPr>
          <w:i/>
          <w:iCs/>
          <w:lang w:val="en-US" w:eastAsia="es-ES_tradnl"/>
        </w:rPr>
        <w:t>International Journal of Event and Festival Management</w:t>
      </w:r>
      <w:r w:rsidRPr="00D1312B">
        <w:rPr>
          <w:lang w:val="en-US" w:eastAsia="es-ES_tradnl"/>
        </w:rPr>
        <w:t>, 14(1), 56–72.</w:t>
      </w:r>
      <w:hyperlink r:id="rId18" w:history="1">
        <w:r w:rsidRPr="00D1312B">
          <w:rPr>
            <w:lang w:val="en-US" w:eastAsia="es-ES_tradnl"/>
          </w:rPr>
          <w:t xml:space="preserve"> https://doi.org/10.1108/IJEFM-05-2022-0039</w:t>
        </w:r>
      </w:hyperlink>
    </w:p>
    <w:p w:rsidR="005B7A4F" w:rsidRPr="00D1312B" w:rsidRDefault="005B7A4F" w:rsidP="00D1312B">
      <w:pPr>
        <w:pStyle w:val="References"/>
        <w:rPr>
          <w:lang w:val="en-US" w:eastAsia="es-ES_tradnl"/>
        </w:rPr>
      </w:pPr>
      <w:r w:rsidRPr="00D1312B">
        <w:rPr>
          <w:lang w:val="en-US" w:eastAsia="es-ES_tradnl"/>
        </w:rPr>
        <w:t xml:space="preserve">Gefen, D., </w:t>
      </w:r>
      <w:proofErr w:type="spellStart"/>
      <w:r w:rsidRPr="00D1312B">
        <w:rPr>
          <w:lang w:val="en-US" w:eastAsia="es-ES_tradnl"/>
        </w:rPr>
        <w:t>Karahanna</w:t>
      </w:r>
      <w:proofErr w:type="spellEnd"/>
      <w:r w:rsidRPr="00D1312B">
        <w:rPr>
          <w:lang w:val="en-US" w:eastAsia="es-ES_tradnl"/>
        </w:rPr>
        <w:t xml:space="preserve">, E., &amp; Straub, D. W. (2003). Trust and TAM in online shopping: An integrated model. </w:t>
      </w:r>
      <w:r w:rsidRPr="00D1312B">
        <w:rPr>
          <w:i/>
          <w:iCs/>
          <w:lang w:val="en-US" w:eastAsia="es-ES_tradnl"/>
        </w:rPr>
        <w:t>MIS Quarterly</w:t>
      </w:r>
      <w:r w:rsidRPr="00D1312B">
        <w:rPr>
          <w:lang w:val="en-US" w:eastAsia="es-ES_tradnl"/>
        </w:rPr>
        <w:t>, 27(1), 51–90. https://doi.org/10.2307/30036519</w:t>
      </w:r>
    </w:p>
    <w:p w:rsidR="005B7A4F" w:rsidRPr="00CA3C8E" w:rsidRDefault="005B7A4F" w:rsidP="00D1312B">
      <w:pPr>
        <w:pStyle w:val="References"/>
        <w:rPr>
          <w:lang w:val="en-US" w:eastAsia="es-ES_tradnl"/>
        </w:rPr>
      </w:pPr>
      <w:proofErr w:type="spellStart"/>
      <w:r w:rsidRPr="00D1312B">
        <w:rPr>
          <w:lang w:val="en-US" w:eastAsia="es-ES_tradnl"/>
        </w:rPr>
        <w:t>Georgoula</w:t>
      </w:r>
      <w:proofErr w:type="spellEnd"/>
      <w:r w:rsidRPr="00D1312B">
        <w:rPr>
          <w:lang w:val="en-US" w:eastAsia="es-ES_tradnl"/>
        </w:rPr>
        <w:t xml:space="preserve">, V., </w:t>
      </w:r>
      <w:proofErr w:type="spellStart"/>
      <w:r w:rsidRPr="00D1312B">
        <w:rPr>
          <w:lang w:val="en-US" w:eastAsia="es-ES_tradnl"/>
        </w:rPr>
        <w:t>Skoultsos</w:t>
      </w:r>
      <w:proofErr w:type="spellEnd"/>
      <w:r w:rsidRPr="00D1312B">
        <w:rPr>
          <w:lang w:val="en-US" w:eastAsia="es-ES_tradnl"/>
        </w:rPr>
        <w:t xml:space="preserve">, S., </w:t>
      </w:r>
      <w:proofErr w:type="spellStart"/>
      <w:r w:rsidRPr="00D1312B">
        <w:rPr>
          <w:lang w:val="en-US" w:eastAsia="es-ES_tradnl"/>
        </w:rPr>
        <w:t>Kompotiati</w:t>
      </w:r>
      <w:proofErr w:type="spellEnd"/>
      <w:r w:rsidRPr="00D1312B">
        <w:rPr>
          <w:lang w:val="en-US" w:eastAsia="es-ES_tradnl"/>
        </w:rPr>
        <w:t xml:space="preserve">, S., &amp; </w:t>
      </w:r>
      <w:proofErr w:type="spellStart"/>
      <w:r w:rsidRPr="00D1312B">
        <w:rPr>
          <w:lang w:val="en-US" w:eastAsia="es-ES_tradnl"/>
        </w:rPr>
        <w:t>Psarrou</w:t>
      </w:r>
      <w:proofErr w:type="spellEnd"/>
      <w:r w:rsidRPr="00D1312B">
        <w:rPr>
          <w:lang w:val="en-US" w:eastAsia="es-ES_tradnl"/>
        </w:rPr>
        <w:t xml:space="preserve">, M. (2025). Exploring Digital and Physical Audience Experience and Engagement: Attendees’ Perspectives of Greek Cultural Festivals. </w:t>
      </w:r>
      <w:r w:rsidRPr="00D1312B">
        <w:rPr>
          <w:i/>
          <w:iCs/>
          <w:lang w:val="en-US" w:eastAsia="es-ES_tradnl"/>
        </w:rPr>
        <w:t>Event Management</w:t>
      </w:r>
      <w:r w:rsidRPr="00D1312B">
        <w:rPr>
          <w:lang w:val="en-US" w:eastAsia="es-ES_tradnl"/>
        </w:rPr>
        <w:t xml:space="preserve">, </w:t>
      </w:r>
      <w:r w:rsidRPr="00D1312B">
        <w:rPr>
          <w:i/>
          <w:iCs/>
          <w:lang w:val="en-US" w:eastAsia="es-ES_tradnl"/>
        </w:rPr>
        <w:t>29</w:t>
      </w:r>
      <w:r w:rsidRPr="00D1312B">
        <w:rPr>
          <w:lang w:val="en-US" w:eastAsia="es-ES_tradnl"/>
        </w:rPr>
        <w:t>(6), 837-853.</w:t>
      </w:r>
      <w:hyperlink r:id="rId19" w:history="1">
        <w:r w:rsidRPr="00D1312B">
          <w:rPr>
            <w:lang w:val="en-US" w:eastAsia="es-ES_tradnl"/>
          </w:rPr>
          <w:t xml:space="preserve"> https://doi.org/10.3727/152599524x17265263360403</w:t>
        </w:r>
      </w:hyperlink>
    </w:p>
    <w:p w:rsidR="00B86585" w:rsidRPr="00B86585" w:rsidRDefault="00B86585" w:rsidP="00D1312B">
      <w:pPr>
        <w:pStyle w:val="References"/>
        <w:rPr>
          <w:lang w:val="en-US" w:eastAsia="es-ES_tradnl"/>
        </w:rPr>
      </w:pPr>
      <w:r w:rsidRPr="00B86585">
        <w:rPr>
          <w:lang w:val="en-US" w:eastAsia="es-ES_tradnl"/>
        </w:rPr>
        <w:t xml:space="preserve">Hardy, A., </w:t>
      </w:r>
      <w:proofErr w:type="spellStart"/>
      <w:r w:rsidRPr="00B86585">
        <w:rPr>
          <w:lang w:val="en-US" w:eastAsia="es-ES_tradnl"/>
        </w:rPr>
        <w:t>Hyslop</w:t>
      </w:r>
      <w:proofErr w:type="spellEnd"/>
      <w:r w:rsidRPr="00B86585">
        <w:rPr>
          <w:lang w:val="en-US" w:eastAsia="es-ES_tradnl"/>
        </w:rPr>
        <w:t xml:space="preserve">, S., Booth, K., Robards, B., </w:t>
      </w:r>
      <w:proofErr w:type="spellStart"/>
      <w:r w:rsidRPr="00B86585">
        <w:rPr>
          <w:lang w:val="en-US" w:eastAsia="es-ES_tradnl"/>
        </w:rPr>
        <w:t>Aryal</w:t>
      </w:r>
      <w:proofErr w:type="spellEnd"/>
      <w:r w:rsidRPr="00B86585">
        <w:rPr>
          <w:lang w:val="en-US" w:eastAsia="es-ES_tradnl"/>
        </w:rPr>
        <w:t xml:space="preserve">, J., </w:t>
      </w:r>
      <w:proofErr w:type="spellStart"/>
      <w:r w:rsidRPr="00B86585">
        <w:rPr>
          <w:lang w:val="en-US" w:eastAsia="es-ES_tradnl"/>
        </w:rPr>
        <w:t>Gretzel</w:t>
      </w:r>
      <w:proofErr w:type="spellEnd"/>
      <w:r w:rsidRPr="00B86585">
        <w:rPr>
          <w:lang w:val="en-US" w:eastAsia="es-ES_tradnl"/>
        </w:rPr>
        <w:t xml:space="preserve">, U., &amp; Eccleston, R. (2017). Tracking tourists’ travel with smartphone-based GPS technology: A methodological discussion. </w:t>
      </w:r>
      <w:r w:rsidRPr="00B86585">
        <w:rPr>
          <w:i/>
          <w:iCs/>
          <w:lang w:val="en-US" w:eastAsia="es-ES_tradnl"/>
        </w:rPr>
        <w:t>Information Technology &amp; Tourism</w:t>
      </w:r>
      <w:r w:rsidRPr="00B86585">
        <w:rPr>
          <w:lang w:val="en-US" w:eastAsia="es-ES_tradnl"/>
        </w:rPr>
        <w:t>, 17, 255–274. https://doi.org/10.1007/s40558-017-0086-3</w:t>
      </w:r>
    </w:p>
    <w:p w:rsidR="005B7A4F" w:rsidRPr="00D1312B" w:rsidRDefault="005B7A4F" w:rsidP="00D1312B">
      <w:pPr>
        <w:pStyle w:val="References"/>
        <w:rPr>
          <w:lang w:val="en-US" w:eastAsia="es-ES_tradnl"/>
        </w:rPr>
      </w:pPr>
      <w:proofErr w:type="spellStart"/>
      <w:r w:rsidRPr="00D1312B">
        <w:rPr>
          <w:lang w:val="en-US" w:eastAsia="es-ES_tradnl"/>
        </w:rPr>
        <w:lastRenderedPageBreak/>
        <w:t>Henseler</w:t>
      </w:r>
      <w:proofErr w:type="spellEnd"/>
      <w:r w:rsidRPr="00D1312B">
        <w:rPr>
          <w:lang w:val="en-US" w:eastAsia="es-ES_tradnl"/>
        </w:rPr>
        <w:t xml:space="preserve">, J., </w:t>
      </w:r>
      <w:proofErr w:type="spellStart"/>
      <w:r w:rsidRPr="00D1312B">
        <w:rPr>
          <w:lang w:val="en-US" w:eastAsia="es-ES_tradnl"/>
        </w:rPr>
        <w:t>Ringle</w:t>
      </w:r>
      <w:proofErr w:type="spellEnd"/>
      <w:r w:rsidRPr="00D1312B">
        <w:rPr>
          <w:lang w:val="en-US" w:eastAsia="es-ES_tradnl"/>
        </w:rPr>
        <w:t xml:space="preserve">, C. M., &amp; </w:t>
      </w:r>
      <w:proofErr w:type="spellStart"/>
      <w:r w:rsidRPr="00D1312B">
        <w:rPr>
          <w:lang w:val="en-US" w:eastAsia="es-ES_tradnl"/>
        </w:rPr>
        <w:t>Sarstedt</w:t>
      </w:r>
      <w:proofErr w:type="spellEnd"/>
      <w:r w:rsidRPr="00D1312B">
        <w:rPr>
          <w:lang w:val="en-US" w:eastAsia="es-ES_tradnl"/>
        </w:rPr>
        <w:t xml:space="preserve">, M. (2015). A new criterion for assessing discriminant validity in variance-based structural equation modeling. </w:t>
      </w:r>
      <w:r w:rsidRPr="00D1312B">
        <w:rPr>
          <w:i/>
          <w:iCs/>
          <w:lang w:val="en-US" w:eastAsia="es-ES_tradnl"/>
        </w:rPr>
        <w:t>Journal of the Academy of Marketing Science, 43</w:t>
      </w:r>
      <w:r w:rsidRPr="00D1312B">
        <w:rPr>
          <w:lang w:val="en-US" w:eastAsia="es-ES_tradnl"/>
        </w:rPr>
        <w:t>(1), 115–135.</w:t>
      </w:r>
      <w:hyperlink r:id="rId20" w:history="1">
        <w:r w:rsidRPr="00D1312B">
          <w:rPr>
            <w:lang w:val="en-US" w:eastAsia="es-ES_tradnl"/>
          </w:rPr>
          <w:t xml:space="preserve"> https://doi.org/10.1007/s11747-014-0403-8</w:t>
        </w:r>
      </w:hyperlink>
    </w:p>
    <w:p w:rsidR="005B7A4F" w:rsidRPr="00D1312B" w:rsidRDefault="005B7A4F" w:rsidP="00D1312B">
      <w:pPr>
        <w:pStyle w:val="References"/>
        <w:rPr>
          <w:lang w:val="en-US" w:eastAsia="es-ES_tradnl"/>
        </w:rPr>
      </w:pPr>
      <w:proofErr w:type="spellStart"/>
      <w:r w:rsidRPr="00D1312B">
        <w:rPr>
          <w:lang w:val="en-US" w:eastAsia="es-ES_tradnl"/>
        </w:rPr>
        <w:t>Higham</w:t>
      </w:r>
      <w:proofErr w:type="spellEnd"/>
      <w:r w:rsidRPr="00D1312B">
        <w:rPr>
          <w:lang w:val="en-US" w:eastAsia="es-ES_tradnl"/>
        </w:rPr>
        <w:t xml:space="preserve">, J., &amp; Vada, S. (2025). The state-of-the-art in sport tourism geographies. </w:t>
      </w:r>
      <w:r w:rsidRPr="00D1312B">
        <w:rPr>
          <w:i/>
          <w:iCs/>
          <w:lang w:val="en-US" w:eastAsia="es-ES_tradnl"/>
        </w:rPr>
        <w:t>Tourism Geographies</w:t>
      </w:r>
      <w:r w:rsidRPr="00D1312B">
        <w:rPr>
          <w:lang w:val="en-US" w:eastAsia="es-ES_tradnl"/>
        </w:rPr>
        <w:t>, 27(3–4), 677–690. https://doi.org/10.1080/14616688.2024.2373875</w:t>
      </w:r>
    </w:p>
    <w:p w:rsidR="005B7A4F" w:rsidRPr="00D1312B" w:rsidRDefault="005B7A4F" w:rsidP="00D1312B">
      <w:pPr>
        <w:pStyle w:val="References"/>
        <w:rPr>
          <w:lang w:val="en-US" w:eastAsia="es-ES_tradnl"/>
        </w:rPr>
      </w:pPr>
      <w:r w:rsidRPr="00D1312B">
        <w:rPr>
          <w:lang w:val="en-US" w:eastAsia="es-ES_tradnl"/>
        </w:rPr>
        <w:t xml:space="preserve">Hua, C., Cole, S., &amp; Xu, N. (2021). Rethinking trust in tourism apps: The moderating effect of age. </w:t>
      </w:r>
      <w:r w:rsidRPr="00D1312B">
        <w:rPr>
          <w:i/>
          <w:iCs/>
          <w:lang w:val="en-US" w:eastAsia="es-ES_tradnl"/>
        </w:rPr>
        <w:t>Journal of Hospitality and Tourism Technology</w:t>
      </w:r>
      <w:r w:rsidRPr="00D1312B">
        <w:rPr>
          <w:lang w:val="en-US" w:eastAsia="es-ES_tradnl"/>
        </w:rPr>
        <w:t>, 12(3), 548–562.</w:t>
      </w:r>
      <w:hyperlink r:id="rId21" w:history="1">
        <w:r w:rsidRPr="00D1312B">
          <w:rPr>
            <w:lang w:val="en-US" w:eastAsia="es-ES_tradnl"/>
          </w:rPr>
          <w:t xml:space="preserve"> https://doi.org/10.1108/JHTT-01-2020-0013</w:t>
        </w:r>
      </w:hyperlink>
    </w:p>
    <w:p w:rsidR="005B7A4F" w:rsidRPr="00CA3C8E" w:rsidRDefault="005B7A4F" w:rsidP="00D1312B">
      <w:pPr>
        <w:pStyle w:val="References"/>
        <w:rPr>
          <w:lang w:val="en-US" w:eastAsia="es-ES_tradnl"/>
        </w:rPr>
      </w:pPr>
      <w:r w:rsidRPr="00D1312B">
        <w:rPr>
          <w:lang w:val="en-US" w:eastAsia="es-ES_tradnl"/>
        </w:rPr>
        <w:t xml:space="preserve">Hu, L. T., &amp; </w:t>
      </w:r>
      <w:proofErr w:type="spellStart"/>
      <w:r w:rsidRPr="00D1312B">
        <w:rPr>
          <w:lang w:val="en-US" w:eastAsia="es-ES_tradnl"/>
        </w:rPr>
        <w:t>Bentler</w:t>
      </w:r>
      <w:proofErr w:type="spellEnd"/>
      <w:r w:rsidRPr="00D1312B">
        <w:rPr>
          <w:lang w:val="en-US" w:eastAsia="es-ES_tradnl"/>
        </w:rPr>
        <w:t xml:space="preserve">, P. M. (1999). Cutoff criteria for fit indexes in covariance structure analysis: Conventional criteria versus new alternatives. </w:t>
      </w:r>
      <w:r w:rsidRPr="00D1312B">
        <w:rPr>
          <w:i/>
          <w:iCs/>
          <w:lang w:val="en-US" w:eastAsia="es-ES_tradnl"/>
        </w:rPr>
        <w:t>Structural Equation Modeling: A Multidisciplinary Journal, 6</w:t>
      </w:r>
      <w:r w:rsidRPr="00D1312B">
        <w:rPr>
          <w:lang w:val="en-US" w:eastAsia="es-ES_tradnl"/>
        </w:rPr>
        <w:t>(1), 1–55.</w:t>
      </w:r>
      <w:hyperlink r:id="rId22" w:history="1">
        <w:r w:rsidRPr="00D1312B">
          <w:rPr>
            <w:lang w:val="en-US" w:eastAsia="es-ES_tradnl"/>
          </w:rPr>
          <w:t xml:space="preserve"> https://doi.org/10.1080/10705519909540118</w:t>
        </w:r>
      </w:hyperlink>
    </w:p>
    <w:p w:rsidR="00057A16" w:rsidRDefault="00057A16" w:rsidP="00057A16">
      <w:pPr>
        <w:pStyle w:val="References"/>
        <w:rPr>
          <w:lang w:val="en-US" w:eastAsia="es-ES_tradnl"/>
        </w:rPr>
      </w:pPr>
      <w:r w:rsidRPr="00057A16">
        <w:rPr>
          <w:lang w:val="en-US" w:eastAsia="es-ES_tradnl"/>
        </w:rPr>
        <w:t xml:space="preserve">Hudson, S. and Hudson, R. (2013), Engaging with consumers using social media: a case study of music festivals, </w:t>
      </w:r>
      <w:r w:rsidRPr="00057A16">
        <w:rPr>
          <w:i/>
          <w:iCs/>
          <w:lang w:val="en-US" w:eastAsia="es-ES_tradnl"/>
        </w:rPr>
        <w:t>International Journal of Event and Festival Management</w:t>
      </w:r>
      <w:r w:rsidRPr="00057A16">
        <w:rPr>
          <w:lang w:val="en-US" w:eastAsia="es-ES_tradnl"/>
        </w:rPr>
        <w:t>, V</w:t>
      </w:r>
      <w:r w:rsidRPr="00057A16">
        <w:rPr>
          <w:color w:val="000000" w:themeColor="text1"/>
          <w:lang w:val="en-US" w:eastAsia="es-ES_tradnl"/>
        </w:rPr>
        <w:t xml:space="preserve">ol. 4 No. 3, pp. 206-223, </w:t>
      </w:r>
      <w:hyperlink r:id="rId23" w:history="1">
        <w:r w:rsidRPr="00057A16">
          <w:rPr>
            <w:rStyle w:val="Hipervnculo"/>
            <w:color w:val="000000" w:themeColor="text1"/>
            <w:u w:val="none"/>
            <w:lang w:val="en-US" w:eastAsia="es-ES_tradnl"/>
          </w:rPr>
          <w:t>https://doi.org/10.1108/IJEFM-06-2013-0012</w:t>
        </w:r>
      </w:hyperlink>
      <w:r w:rsidRPr="00057A16">
        <w:rPr>
          <w:color w:val="000000" w:themeColor="text1"/>
          <w:lang w:val="en-US" w:eastAsia="es-ES_tradnl"/>
        </w:rPr>
        <w:t>.</w:t>
      </w:r>
    </w:p>
    <w:p w:rsidR="00057A16" w:rsidRPr="00D1312B" w:rsidRDefault="00057A16" w:rsidP="00057A16">
      <w:pPr>
        <w:pStyle w:val="References"/>
        <w:rPr>
          <w:lang w:val="en-US" w:eastAsia="es-ES_tradnl"/>
        </w:rPr>
      </w:pPr>
      <w:proofErr w:type="spellStart"/>
      <w:r w:rsidRPr="00057A16">
        <w:rPr>
          <w:lang w:val="en-US" w:eastAsia="es-ES_tradnl"/>
        </w:rPr>
        <w:t>Hur</w:t>
      </w:r>
      <w:proofErr w:type="spellEnd"/>
      <w:r w:rsidRPr="00057A16">
        <w:rPr>
          <w:lang w:val="en-US" w:eastAsia="es-ES_tradnl"/>
        </w:rPr>
        <w:t xml:space="preserve">, D., Lee, S. and Kim, H. (2022), </w:t>
      </w:r>
      <w:r>
        <w:rPr>
          <w:lang w:val="en-US" w:eastAsia="es-ES_tradnl"/>
        </w:rPr>
        <w:t>A</w:t>
      </w:r>
      <w:r w:rsidRPr="00057A16">
        <w:rPr>
          <w:lang w:val="en-US" w:eastAsia="es-ES_tradnl"/>
        </w:rPr>
        <w:t xml:space="preserve">re we ready for MICE 5.0? An investigation of technology use in the MICE industry using social media big data, </w:t>
      </w:r>
      <w:r w:rsidRPr="00057A16">
        <w:rPr>
          <w:i/>
          <w:iCs/>
          <w:lang w:val="en-US" w:eastAsia="es-ES_tradnl"/>
        </w:rPr>
        <w:t>Tourism Management Perspectives</w:t>
      </w:r>
      <w:r w:rsidRPr="00057A16">
        <w:rPr>
          <w:lang w:val="en-US" w:eastAsia="es-ES_tradnl"/>
        </w:rPr>
        <w:t>, Vol. 43, https://doi.org/10.1016/j.tmp.2022.100991.</w:t>
      </w:r>
    </w:p>
    <w:p w:rsidR="005B7A4F" w:rsidRPr="00D1312B" w:rsidRDefault="005B7A4F" w:rsidP="00D1312B">
      <w:pPr>
        <w:pStyle w:val="References"/>
        <w:rPr>
          <w:lang w:val="en-US" w:eastAsia="es-ES_tradnl"/>
        </w:rPr>
      </w:pPr>
      <w:proofErr w:type="spellStart"/>
      <w:r w:rsidRPr="00CA3C8E">
        <w:rPr>
          <w:lang w:val="es-ES" w:eastAsia="es-ES_tradnl"/>
        </w:rPr>
        <w:t>Hyun</w:t>
      </w:r>
      <w:proofErr w:type="spellEnd"/>
      <w:r w:rsidRPr="00CA3C8E">
        <w:rPr>
          <w:lang w:val="es-ES" w:eastAsia="es-ES_tradnl"/>
        </w:rPr>
        <w:t xml:space="preserve">, M. Y., &amp; </w:t>
      </w:r>
      <w:proofErr w:type="spellStart"/>
      <w:r w:rsidRPr="00CA3C8E">
        <w:rPr>
          <w:lang w:val="es-ES" w:eastAsia="es-ES_tradnl"/>
        </w:rPr>
        <w:t>O’Keefe</w:t>
      </w:r>
      <w:proofErr w:type="spellEnd"/>
      <w:r w:rsidRPr="00CA3C8E">
        <w:rPr>
          <w:lang w:val="es-ES" w:eastAsia="es-ES_tradnl"/>
        </w:rPr>
        <w:t xml:space="preserve">, R. M. (2012). </w:t>
      </w:r>
      <w:r w:rsidRPr="00D1312B">
        <w:rPr>
          <w:lang w:val="en-US" w:eastAsia="es-ES_tradnl"/>
        </w:rPr>
        <w:t xml:space="preserve">Virtual destination image: Testing a telepresence model. </w:t>
      </w:r>
      <w:r w:rsidRPr="00D1312B">
        <w:rPr>
          <w:i/>
          <w:iCs/>
          <w:lang w:val="en-US" w:eastAsia="es-ES_tradnl"/>
        </w:rPr>
        <w:t>Journal of Business Research</w:t>
      </w:r>
      <w:r w:rsidRPr="00D1312B">
        <w:rPr>
          <w:lang w:val="en-US" w:eastAsia="es-ES_tradnl"/>
        </w:rPr>
        <w:t xml:space="preserve">, </w:t>
      </w:r>
      <w:r w:rsidRPr="00D1312B">
        <w:rPr>
          <w:i/>
          <w:iCs/>
          <w:lang w:val="en-US" w:eastAsia="es-ES_tradnl"/>
        </w:rPr>
        <w:t>65</w:t>
      </w:r>
      <w:r w:rsidRPr="00D1312B">
        <w:rPr>
          <w:lang w:val="en-US" w:eastAsia="es-ES_tradnl"/>
        </w:rPr>
        <w:t>(1), 29-35.</w:t>
      </w:r>
      <w:hyperlink r:id="rId24" w:history="1">
        <w:r w:rsidRPr="00D1312B">
          <w:rPr>
            <w:lang w:val="en-US" w:eastAsia="es-ES_tradnl"/>
          </w:rPr>
          <w:t xml:space="preserve"> https://doi.org/10.1016/j.jbusres.2011.07.011</w:t>
        </w:r>
      </w:hyperlink>
    </w:p>
    <w:p w:rsidR="005B7A4F" w:rsidRPr="00D1312B" w:rsidRDefault="005B7A4F" w:rsidP="00D1312B">
      <w:pPr>
        <w:pStyle w:val="References"/>
        <w:rPr>
          <w:lang w:val="en-US" w:eastAsia="es-ES_tradnl"/>
        </w:rPr>
      </w:pPr>
      <w:proofErr w:type="spellStart"/>
      <w:r w:rsidRPr="00D1312B">
        <w:rPr>
          <w:lang w:val="en-US" w:eastAsia="es-ES_tradnl"/>
        </w:rPr>
        <w:t>Ioannou</w:t>
      </w:r>
      <w:proofErr w:type="spellEnd"/>
      <w:r w:rsidRPr="00D1312B">
        <w:rPr>
          <w:lang w:val="en-US" w:eastAsia="es-ES_tradnl"/>
        </w:rPr>
        <w:t xml:space="preserve">, A., </w:t>
      </w:r>
      <w:proofErr w:type="spellStart"/>
      <w:r w:rsidRPr="00D1312B">
        <w:rPr>
          <w:lang w:val="en-US" w:eastAsia="es-ES_tradnl"/>
        </w:rPr>
        <w:t>Tussyadiah</w:t>
      </w:r>
      <w:proofErr w:type="spellEnd"/>
      <w:r w:rsidRPr="00D1312B">
        <w:rPr>
          <w:lang w:val="en-US" w:eastAsia="es-ES_tradnl"/>
        </w:rPr>
        <w:t xml:space="preserve">, I., &amp; Lu, Y. (2020). Privacy concerns and disclosure of biometric and behavioral data for travel. </w:t>
      </w:r>
      <w:r w:rsidRPr="00D1312B">
        <w:rPr>
          <w:i/>
          <w:iCs/>
          <w:lang w:val="en-US" w:eastAsia="es-ES_tradnl"/>
        </w:rPr>
        <w:t>International Journal of Information Management</w:t>
      </w:r>
      <w:r w:rsidRPr="00D1312B">
        <w:rPr>
          <w:lang w:val="en-US" w:eastAsia="es-ES_tradnl"/>
        </w:rPr>
        <w:t xml:space="preserve">, </w:t>
      </w:r>
      <w:r w:rsidRPr="00D1312B">
        <w:rPr>
          <w:i/>
          <w:iCs/>
          <w:lang w:val="en-US" w:eastAsia="es-ES_tradnl"/>
        </w:rPr>
        <w:t>54</w:t>
      </w:r>
      <w:r w:rsidRPr="00D1312B">
        <w:rPr>
          <w:lang w:val="en-US" w:eastAsia="es-ES_tradnl"/>
        </w:rPr>
        <w:t>, 102122.</w:t>
      </w:r>
      <w:hyperlink r:id="rId25" w:history="1">
        <w:r w:rsidRPr="00D1312B">
          <w:rPr>
            <w:lang w:val="en-US" w:eastAsia="es-ES_tradnl"/>
          </w:rPr>
          <w:t xml:space="preserve"> https://doi.org/10.1016/j.ijinfomgt.2020.102122</w:t>
        </w:r>
      </w:hyperlink>
    </w:p>
    <w:p w:rsidR="005B7A4F" w:rsidRPr="00D1312B" w:rsidRDefault="005B7A4F" w:rsidP="00D1312B">
      <w:pPr>
        <w:pStyle w:val="References"/>
        <w:rPr>
          <w:lang w:val="en-US" w:eastAsia="es-ES_tradnl"/>
        </w:rPr>
      </w:pPr>
      <w:proofErr w:type="spellStart"/>
      <w:r w:rsidRPr="00D1312B">
        <w:rPr>
          <w:lang w:val="en-US" w:eastAsia="es-ES_tradnl"/>
        </w:rPr>
        <w:t>Jaimangal</w:t>
      </w:r>
      <w:proofErr w:type="spellEnd"/>
      <w:r w:rsidRPr="00D1312B">
        <w:rPr>
          <w:lang w:val="en-US" w:eastAsia="es-ES_tradnl"/>
        </w:rPr>
        <w:t xml:space="preserve">‐Jones, D., Pritchard, A., &amp; Morgan, N. (2010). Going the distance: locating journey, liminality and rites of passage in dance music experiences. </w:t>
      </w:r>
      <w:r w:rsidRPr="00D1312B">
        <w:rPr>
          <w:i/>
          <w:iCs/>
          <w:lang w:val="en-US" w:eastAsia="es-ES_tradnl"/>
        </w:rPr>
        <w:t>Leisure Studies</w:t>
      </w:r>
      <w:r w:rsidRPr="00D1312B">
        <w:rPr>
          <w:lang w:val="en-US" w:eastAsia="es-ES_tradnl"/>
        </w:rPr>
        <w:t xml:space="preserve">, </w:t>
      </w:r>
      <w:r w:rsidRPr="00D1312B">
        <w:rPr>
          <w:i/>
          <w:iCs/>
          <w:lang w:val="en-US" w:eastAsia="es-ES_tradnl"/>
        </w:rPr>
        <w:t>29</w:t>
      </w:r>
      <w:r w:rsidRPr="00D1312B">
        <w:rPr>
          <w:lang w:val="en-US" w:eastAsia="es-ES_tradnl"/>
        </w:rPr>
        <w:t>(3), 253-268.</w:t>
      </w:r>
      <w:hyperlink r:id="rId26" w:history="1">
        <w:r w:rsidRPr="00D1312B">
          <w:rPr>
            <w:lang w:val="en-US" w:eastAsia="es-ES_tradnl"/>
          </w:rPr>
          <w:t xml:space="preserve"> https://doi.org/10.1080/02614361003749793</w:t>
        </w:r>
      </w:hyperlink>
    </w:p>
    <w:p w:rsidR="005B7A4F" w:rsidRPr="00D1312B" w:rsidRDefault="005B7A4F" w:rsidP="00D1312B">
      <w:pPr>
        <w:pStyle w:val="References"/>
        <w:rPr>
          <w:lang w:val="en-US" w:eastAsia="es-ES_tradnl"/>
        </w:rPr>
      </w:pPr>
      <w:proofErr w:type="spellStart"/>
      <w:r w:rsidRPr="00D1312B">
        <w:rPr>
          <w:lang w:val="en-US" w:eastAsia="es-ES_tradnl"/>
        </w:rPr>
        <w:t>Jeong</w:t>
      </w:r>
      <w:proofErr w:type="spellEnd"/>
      <w:r w:rsidRPr="00D1312B">
        <w:rPr>
          <w:lang w:val="en-US" w:eastAsia="es-ES_tradnl"/>
        </w:rPr>
        <w:t xml:space="preserve">, M., &amp; Shin, H. H. (2020). Tourists’ Experiences with Smart Tourism Technology at Smart Destinations and Their Behavior Intentions. </w:t>
      </w:r>
      <w:r w:rsidRPr="00D1312B">
        <w:rPr>
          <w:i/>
          <w:iCs/>
          <w:lang w:val="en-US" w:eastAsia="es-ES_tradnl"/>
        </w:rPr>
        <w:t>Journal of Travel Research</w:t>
      </w:r>
      <w:r w:rsidRPr="00D1312B">
        <w:rPr>
          <w:lang w:val="en-US" w:eastAsia="es-ES_tradnl"/>
        </w:rPr>
        <w:t xml:space="preserve">, </w:t>
      </w:r>
      <w:r w:rsidRPr="00D1312B">
        <w:rPr>
          <w:i/>
          <w:iCs/>
          <w:lang w:val="en-US" w:eastAsia="es-ES_tradnl"/>
        </w:rPr>
        <w:t>59</w:t>
      </w:r>
      <w:r w:rsidRPr="00D1312B">
        <w:rPr>
          <w:lang w:val="en-US" w:eastAsia="es-ES_tradnl"/>
        </w:rPr>
        <w:t>(8), 1464-1477.</w:t>
      </w:r>
      <w:hyperlink r:id="rId27" w:history="1">
        <w:r w:rsidRPr="00D1312B">
          <w:rPr>
            <w:lang w:val="en-US" w:eastAsia="es-ES_tradnl"/>
          </w:rPr>
          <w:t xml:space="preserve"> https://doi.org/10.1177/0047287519883034</w:t>
        </w:r>
      </w:hyperlink>
    </w:p>
    <w:p w:rsidR="005B7A4F" w:rsidRPr="00D1312B" w:rsidRDefault="005B7A4F" w:rsidP="00D1312B">
      <w:pPr>
        <w:pStyle w:val="References"/>
        <w:rPr>
          <w:lang w:val="en-US" w:eastAsia="es-ES_tradnl"/>
        </w:rPr>
      </w:pPr>
      <w:r w:rsidRPr="00D1312B">
        <w:rPr>
          <w:lang w:val="en-US" w:eastAsia="es-ES_tradnl"/>
        </w:rPr>
        <w:lastRenderedPageBreak/>
        <w:t xml:space="preserve">Kim, J., </w:t>
      </w:r>
      <w:proofErr w:type="spellStart"/>
      <w:r w:rsidRPr="00D1312B">
        <w:rPr>
          <w:lang w:val="en-US" w:eastAsia="es-ES_tradnl"/>
        </w:rPr>
        <w:t>Shinaprayoon</w:t>
      </w:r>
      <w:proofErr w:type="spellEnd"/>
      <w:r w:rsidRPr="00D1312B">
        <w:rPr>
          <w:lang w:val="en-US" w:eastAsia="es-ES_tradnl"/>
        </w:rPr>
        <w:t xml:space="preserve">, T., &amp; </w:t>
      </w:r>
      <w:proofErr w:type="spellStart"/>
      <w:r w:rsidRPr="00D1312B">
        <w:rPr>
          <w:lang w:val="en-US" w:eastAsia="es-ES_tradnl"/>
        </w:rPr>
        <w:t>Ahn</w:t>
      </w:r>
      <w:proofErr w:type="spellEnd"/>
      <w:r w:rsidRPr="00D1312B">
        <w:rPr>
          <w:lang w:val="en-US" w:eastAsia="es-ES_tradnl"/>
        </w:rPr>
        <w:t xml:space="preserve">, S. J. (2021). Virtual Tours Encourage Intentions to Travel and Willingness to Pay via Spatial Presence, Enjoyment, and Destination Image. </w:t>
      </w:r>
      <w:r w:rsidRPr="00D1312B">
        <w:rPr>
          <w:i/>
          <w:iCs/>
          <w:lang w:val="en-US" w:eastAsia="es-ES_tradnl"/>
        </w:rPr>
        <w:t>Journal of Current Issues &amp; Research in Advertising</w:t>
      </w:r>
      <w:r w:rsidRPr="00D1312B">
        <w:rPr>
          <w:lang w:val="en-US" w:eastAsia="es-ES_tradnl"/>
        </w:rPr>
        <w:t xml:space="preserve">, </w:t>
      </w:r>
      <w:r w:rsidRPr="00D1312B">
        <w:rPr>
          <w:i/>
          <w:iCs/>
          <w:lang w:val="en-US" w:eastAsia="es-ES_tradnl"/>
        </w:rPr>
        <w:t>43</w:t>
      </w:r>
      <w:r w:rsidRPr="00D1312B">
        <w:rPr>
          <w:lang w:val="en-US" w:eastAsia="es-ES_tradnl"/>
        </w:rPr>
        <w:t>(1), 90-105.</w:t>
      </w:r>
      <w:hyperlink r:id="rId28" w:history="1">
        <w:r w:rsidRPr="00D1312B">
          <w:rPr>
            <w:lang w:val="en-US" w:eastAsia="es-ES_tradnl"/>
          </w:rPr>
          <w:t xml:space="preserve"> https://doi.org/10.1080/10641734.2021.1962441</w:t>
        </w:r>
      </w:hyperlink>
    </w:p>
    <w:p w:rsidR="005B7A4F" w:rsidRPr="00D1312B" w:rsidRDefault="005B7A4F" w:rsidP="00D1312B">
      <w:pPr>
        <w:pStyle w:val="References"/>
        <w:rPr>
          <w:lang w:val="en-US" w:eastAsia="es-ES_tradnl"/>
        </w:rPr>
      </w:pPr>
      <w:proofErr w:type="spellStart"/>
      <w:r w:rsidRPr="00D1312B">
        <w:rPr>
          <w:lang w:val="es-ES" w:eastAsia="es-ES_tradnl"/>
        </w:rPr>
        <w:t>Koo</w:t>
      </w:r>
      <w:proofErr w:type="spellEnd"/>
      <w:r w:rsidRPr="00D1312B">
        <w:rPr>
          <w:lang w:val="es-ES" w:eastAsia="es-ES_tradnl"/>
        </w:rPr>
        <w:t xml:space="preserve">, I., </w:t>
      </w:r>
      <w:proofErr w:type="spellStart"/>
      <w:r w:rsidRPr="00D1312B">
        <w:rPr>
          <w:lang w:val="es-ES" w:eastAsia="es-ES_tradnl"/>
        </w:rPr>
        <w:t>Zaman</w:t>
      </w:r>
      <w:proofErr w:type="spellEnd"/>
      <w:r w:rsidRPr="00D1312B">
        <w:rPr>
          <w:lang w:val="es-ES" w:eastAsia="es-ES_tradnl"/>
        </w:rPr>
        <w:t xml:space="preserve">, U., Ha, H., &amp; </w:t>
      </w:r>
      <w:proofErr w:type="spellStart"/>
      <w:r w:rsidRPr="00D1312B">
        <w:rPr>
          <w:lang w:val="es-ES" w:eastAsia="es-ES_tradnl"/>
        </w:rPr>
        <w:t>Nawaz</w:t>
      </w:r>
      <w:proofErr w:type="spellEnd"/>
      <w:r w:rsidRPr="00D1312B">
        <w:rPr>
          <w:lang w:val="es-ES" w:eastAsia="es-ES_tradnl"/>
        </w:rPr>
        <w:t xml:space="preserve">, S. (2025). </w:t>
      </w:r>
      <w:r w:rsidRPr="00D1312B">
        <w:rPr>
          <w:lang w:val="en-US" w:eastAsia="es-ES_tradnl"/>
        </w:rPr>
        <w:t xml:space="preserve">Assessing the interplay of trust dynamics, personalization, ethical AI practices, and tourist behavior in the adoption of AI-driven smart tourism technologies. </w:t>
      </w:r>
      <w:r w:rsidRPr="00D1312B">
        <w:rPr>
          <w:i/>
          <w:iCs/>
          <w:lang w:val="en-US" w:eastAsia="es-ES_tradnl"/>
        </w:rPr>
        <w:t>Journal of Open Innovation: Technology, Market, and Complexity</w:t>
      </w:r>
      <w:r w:rsidRPr="00D1312B">
        <w:rPr>
          <w:lang w:val="en-US" w:eastAsia="es-ES_tradnl"/>
        </w:rPr>
        <w:t>, 11(1), 100455. https://doi.org/10.1016/j.joitmc.2024.100455</w:t>
      </w:r>
    </w:p>
    <w:p w:rsidR="005B7A4F" w:rsidRPr="00D1312B" w:rsidRDefault="005B7A4F" w:rsidP="00D1312B">
      <w:pPr>
        <w:pStyle w:val="References"/>
        <w:rPr>
          <w:lang w:val="en-US" w:eastAsia="es-ES_tradnl"/>
        </w:rPr>
      </w:pPr>
      <w:r w:rsidRPr="00D1312B">
        <w:rPr>
          <w:lang w:val="en-US" w:eastAsia="es-ES_tradnl"/>
        </w:rPr>
        <w:t xml:space="preserve">Lopes, J. M., Silva, F., &amp; </w:t>
      </w:r>
      <w:proofErr w:type="spellStart"/>
      <w:r w:rsidRPr="00D1312B">
        <w:rPr>
          <w:lang w:val="en-US" w:eastAsia="es-ES_tradnl"/>
        </w:rPr>
        <w:t>Massano</w:t>
      </w:r>
      <w:proofErr w:type="spellEnd"/>
      <w:r w:rsidRPr="00D1312B">
        <w:rPr>
          <w:lang w:val="en-US" w:eastAsia="es-ES_tradnl"/>
        </w:rPr>
        <w:t xml:space="preserve">-Cardoso, I. (2026). When AI meets festivals: How </w:t>
      </w:r>
      <w:proofErr w:type="spellStart"/>
      <w:r w:rsidRPr="00D1312B">
        <w:rPr>
          <w:lang w:val="en-US" w:eastAsia="es-ES_tradnl"/>
        </w:rPr>
        <w:t>eWOM</w:t>
      </w:r>
      <w:proofErr w:type="spellEnd"/>
      <w:r w:rsidRPr="00D1312B">
        <w:rPr>
          <w:lang w:val="en-US" w:eastAsia="es-ES_tradnl"/>
        </w:rPr>
        <w:t xml:space="preserve"> mediates the route to memorable experiences and well-being. </w:t>
      </w:r>
      <w:r w:rsidRPr="00D1312B">
        <w:rPr>
          <w:i/>
          <w:iCs/>
          <w:lang w:val="en-US" w:eastAsia="es-ES_tradnl"/>
        </w:rPr>
        <w:t>International Journal of Tourism Research</w:t>
      </w:r>
      <w:r w:rsidRPr="00D1312B">
        <w:rPr>
          <w:lang w:val="en-US" w:eastAsia="es-ES_tradnl"/>
        </w:rPr>
        <w:t>, 28, e70262.</w:t>
      </w:r>
      <w:hyperlink r:id="rId29" w:history="1">
        <w:r w:rsidRPr="00D1312B">
          <w:rPr>
            <w:lang w:val="en-US" w:eastAsia="es-ES_tradnl"/>
          </w:rPr>
          <w:t xml:space="preserve"> https://doi.org/10.1002/jtr.70262</w:t>
        </w:r>
      </w:hyperlink>
    </w:p>
    <w:p w:rsidR="005B7A4F" w:rsidRPr="00D1312B" w:rsidRDefault="005B7A4F" w:rsidP="00D1312B">
      <w:pPr>
        <w:pStyle w:val="References"/>
        <w:rPr>
          <w:lang w:val="en-US" w:eastAsia="es-ES_tradnl"/>
        </w:rPr>
      </w:pPr>
      <w:r w:rsidRPr="00D1312B">
        <w:rPr>
          <w:lang w:val="en-US" w:eastAsia="es-ES_tradnl"/>
        </w:rPr>
        <w:t xml:space="preserve">​​Lee, J., Kyle, G. T., &amp; Scott, D. (2012). The Mediating Effect of Place Attachment on the Relationship between Festival Satisfaction and Loyalty to the Festival Hosting Destination. </w:t>
      </w:r>
      <w:r w:rsidRPr="00D1312B">
        <w:rPr>
          <w:i/>
          <w:iCs/>
          <w:lang w:val="en-US" w:eastAsia="es-ES_tradnl"/>
        </w:rPr>
        <w:t>Journal of Travel Research</w:t>
      </w:r>
      <w:r w:rsidRPr="00D1312B">
        <w:rPr>
          <w:lang w:val="en-US" w:eastAsia="es-ES_tradnl"/>
        </w:rPr>
        <w:t>, 51(6), 754. https://doi.org/10.1177/0047287512437859</w:t>
      </w:r>
    </w:p>
    <w:p w:rsidR="005B7A4F" w:rsidRPr="00D1312B" w:rsidRDefault="005B7A4F" w:rsidP="00D1312B">
      <w:pPr>
        <w:pStyle w:val="References"/>
        <w:rPr>
          <w:lang w:val="en-US" w:eastAsia="es-ES_tradnl"/>
        </w:rPr>
      </w:pPr>
      <w:r w:rsidRPr="00D1312B">
        <w:rPr>
          <w:lang w:val="en-US" w:eastAsia="es-ES_tradnl"/>
        </w:rPr>
        <w:t>Malhotra, N. K., Kim, S. S., &amp; Agarwal, J. (2004). Internet users’ information privacy concerns (IUIPC): The construct, the scale, and a causal model</w:t>
      </w:r>
      <w:r w:rsidRPr="00D1312B">
        <w:rPr>
          <w:i/>
          <w:iCs/>
          <w:lang w:val="en-US" w:eastAsia="es-ES_tradnl"/>
        </w:rPr>
        <w:t>. Information Systems Research</w:t>
      </w:r>
      <w:r w:rsidRPr="00D1312B">
        <w:rPr>
          <w:lang w:val="en-US" w:eastAsia="es-ES_tradnl"/>
        </w:rPr>
        <w:t>, 15(4), 336–355. https://doi.org/10.1287/isre.1040.0032</w:t>
      </w:r>
    </w:p>
    <w:p w:rsidR="005B7A4F" w:rsidRPr="00D1312B" w:rsidRDefault="005B7A4F" w:rsidP="00D1312B">
      <w:pPr>
        <w:pStyle w:val="References"/>
        <w:rPr>
          <w:lang w:val="en-US" w:eastAsia="es-ES_tradnl"/>
        </w:rPr>
      </w:pPr>
      <w:proofErr w:type="spellStart"/>
      <w:r w:rsidRPr="00D1312B">
        <w:rPr>
          <w:lang w:val="en-US" w:eastAsia="es-ES_tradnl"/>
        </w:rPr>
        <w:t>Mieli</w:t>
      </w:r>
      <w:proofErr w:type="spellEnd"/>
      <w:r w:rsidRPr="00D1312B">
        <w:rPr>
          <w:lang w:val="en-US" w:eastAsia="es-ES_tradnl"/>
        </w:rPr>
        <w:t xml:space="preserve">, M., </w:t>
      </w:r>
      <w:proofErr w:type="spellStart"/>
      <w:r w:rsidRPr="00D1312B">
        <w:rPr>
          <w:lang w:val="en-US" w:eastAsia="es-ES_tradnl"/>
        </w:rPr>
        <w:t>Zillinger</w:t>
      </w:r>
      <w:proofErr w:type="spellEnd"/>
      <w:r w:rsidRPr="00D1312B">
        <w:rPr>
          <w:lang w:val="en-US" w:eastAsia="es-ES_tradnl"/>
        </w:rPr>
        <w:t xml:space="preserve">, M., &amp; Nilsson, J.-H. (2024). </w:t>
      </w:r>
      <w:proofErr w:type="spellStart"/>
      <w:r w:rsidRPr="00D1312B">
        <w:rPr>
          <w:lang w:val="en-US" w:eastAsia="es-ES_tradnl"/>
        </w:rPr>
        <w:t>Phygital</w:t>
      </w:r>
      <w:proofErr w:type="spellEnd"/>
      <w:r w:rsidRPr="00D1312B">
        <w:rPr>
          <w:lang w:val="en-US" w:eastAsia="es-ES_tradnl"/>
        </w:rPr>
        <w:t xml:space="preserve"> time geography, or: What about technology in tourists’ space-time </w:t>
      </w:r>
      <w:proofErr w:type="spellStart"/>
      <w:r w:rsidRPr="00D1312B">
        <w:rPr>
          <w:lang w:val="en-US" w:eastAsia="es-ES_tradnl"/>
        </w:rPr>
        <w:t>behaviour</w:t>
      </w:r>
      <w:proofErr w:type="spellEnd"/>
      <w:r w:rsidRPr="00D1312B">
        <w:rPr>
          <w:lang w:val="en-US" w:eastAsia="es-ES_tradnl"/>
        </w:rPr>
        <w:t xml:space="preserve">? </w:t>
      </w:r>
      <w:r w:rsidRPr="00D1312B">
        <w:rPr>
          <w:i/>
          <w:iCs/>
          <w:lang w:val="en-US" w:eastAsia="es-ES_tradnl"/>
        </w:rPr>
        <w:t>Tourism Geographies</w:t>
      </w:r>
      <w:r w:rsidRPr="00D1312B">
        <w:rPr>
          <w:lang w:val="en-US" w:eastAsia="es-ES_tradnl"/>
        </w:rPr>
        <w:t>, 26(3), 389–406. https://doi.org/10.1080/14616688.2024.2318722</w:t>
      </w:r>
    </w:p>
    <w:p w:rsidR="005B7A4F" w:rsidRPr="00D1312B" w:rsidRDefault="005B7A4F" w:rsidP="00D1312B">
      <w:pPr>
        <w:pStyle w:val="References"/>
        <w:rPr>
          <w:lang w:val="en-US" w:eastAsia="es-ES_tradnl"/>
        </w:rPr>
      </w:pPr>
      <w:r w:rsidRPr="00D1312B">
        <w:rPr>
          <w:lang w:val="en-US" w:eastAsia="es-ES_tradnl"/>
        </w:rPr>
        <w:t xml:space="preserve">Mo, L., Aris, A. B., &amp; Yan, X. (2024). Digital display and storytelling: creating an immersive experience of Lingnan costume cultural heritage tourism project. </w:t>
      </w:r>
      <w:r w:rsidRPr="00D1312B">
        <w:rPr>
          <w:i/>
          <w:iCs/>
          <w:lang w:val="en-US" w:eastAsia="es-ES_tradnl"/>
        </w:rPr>
        <w:t>IOP Conference Series Earth and Environmental Science</w:t>
      </w:r>
      <w:r w:rsidRPr="00D1312B">
        <w:rPr>
          <w:lang w:val="en-US" w:eastAsia="es-ES_tradnl"/>
        </w:rPr>
        <w:t xml:space="preserve">, </w:t>
      </w:r>
      <w:r w:rsidRPr="00D1312B">
        <w:rPr>
          <w:i/>
          <w:iCs/>
          <w:lang w:val="en-US" w:eastAsia="es-ES_tradnl"/>
        </w:rPr>
        <w:t>1366</w:t>
      </w:r>
      <w:r w:rsidRPr="00D1312B">
        <w:rPr>
          <w:lang w:val="en-US" w:eastAsia="es-ES_tradnl"/>
        </w:rPr>
        <w:t>(1), 012047.</w:t>
      </w:r>
      <w:hyperlink r:id="rId30" w:history="1">
        <w:r w:rsidRPr="00D1312B">
          <w:rPr>
            <w:lang w:val="en-US" w:eastAsia="es-ES_tradnl"/>
          </w:rPr>
          <w:t xml:space="preserve"> https://doi.org/10.1088/1755-1315/1366/1/012047</w:t>
        </w:r>
      </w:hyperlink>
    </w:p>
    <w:p w:rsidR="005B7A4F" w:rsidRPr="00D1312B" w:rsidRDefault="005B7A4F" w:rsidP="00D1312B">
      <w:pPr>
        <w:pStyle w:val="References"/>
        <w:rPr>
          <w:lang w:val="en-US" w:eastAsia="es-ES_tradnl"/>
        </w:rPr>
      </w:pPr>
      <w:r w:rsidRPr="00D1312B">
        <w:rPr>
          <w:lang w:val="es-ES" w:eastAsia="es-ES_tradnl"/>
        </w:rPr>
        <w:t xml:space="preserve">Molina-Gómez, J., </w:t>
      </w:r>
      <w:proofErr w:type="spellStart"/>
      <w:r w:rsidRPr="00D1312B">
        <w:rPr>
          <w:lang w:val="es-ES" w:eastAsia="es-ES_tradnl"/>
        </w:rPr>
        <w:t>Mercadé</w:t>
      </w:r>
      <w:proofErr w:type="spellEnd"/>
      <w:r w:rsidRPr="00D1312B">
        <w:rPr>
          <w:lang w:val="es-ES" w:eastAsia="es-ES_tradnl"/>
        </w:rPr>
        <w:t>-Melé, P., Almeida-García, F., &amp; Ruiz-</w:t>
      </w:r>
      <w:proofErr w:type="spellStart"/>
      <w:r w:rsidRPr="00D1312B">
        <w:rPr>
          <w:lang w:val="es-ES" w:eastAsia="es-ES_tradnl"/>
        </w:rPr>
        <w:t>Berrón</w:t>
      </w:r>
      <w:proofErr w:type="spellEnd"/>
      <w:r w:rsidRPr="00D1312B">
        <w:rPr>
          <w:lang w:val="es-ES" w:eastAsia="es-ES_tradnl"/>
        </w:rPr>
        <w:t xml:space="preserve">, R. (2021). </w:t>
      </w:r>
      <w:r w:rsidRPr="00D1312B">
        <w:rPr>
          <w:lang w:val="en-US" w:eastAsia="es-ES_tradnl"/>
        </w:rPr>
        <w:t xml:space="preserve">New perspectives on satisfaction and loyalty in festival tourism: The function of tangible and intangible attributes. </w:t>
      </w:r>
      <w:proofErr w:type="spellStart"/>
      <w:r w:rsidRPr="00D1312B">
        <w:rPr>
          <w:i/>
          <w:iCs/>
          <w:lang w:val="en-US" w:eastAsia="es-ES_tradnl"/>
        </w:rPr>
        <w:t>PLoS</w:t>
      </w:r>
      <w:proofErr w:type="spellEnd"/>
      <w:r w:rsidRPr="00D1312B">
        <w:rPr>
          <w:i/>
          <w:iCs/>
          <w:lang w:val="en-US" w:eastAsia="es-ES_tradnl"/>
        </w:rPr>
        <w:t xml:space="preserve"> ONE</w:t>
      </w:r>
      <w:r w:rsidRPr="00D1312B">
        <w:rPr>
          <w:lang w:val="en-US" w:eastAsia="es-ES_tradnl"/>
        </w:rPr>
        <w:t xml:space="preserve">, </w:t>
      </w:r>
      <w:r w:rsidRPr="00D1312B">
        <w:rPr>
          <w:i/>
          <w:iCs/>
          <w:lang w:val="en-US" w:eastAsia="es-ES_tradnl"/>
        </w:rPr>
        <w:t>16</w:t>
      </w:r>
      <w:r w:rsidRPr="00D1312B">
        <w:rPr>
          <w:lang w:val="en-US" w:eastAsia="es-ES_tradnl"/>
        </w:rPr>
        <w:t>(2), e0246562.</w:t>
      </w:r>
      <w:hyperlink r:id="rId31" w:history="1">
        <w:r w:rsidRPr="00D1312B">
          <w:rPr>
            <w:lang w:val="en-US" w:eastAsia="es-ES_tradnl"/>
          </w:rPr>
          <w:t xml:space="preserve"> https://doi.org/10.1371/journal.pone.0246562</w:t>
        </w:r>
      </w:hyperlink>
    </w:p>
    <w:p w:rsidR="005B7A4F" w:rsidRPr="00D1312B" w:rsidRDefault="005B7A4F" w:rsidP="00D1312B">
      <w:pPr>
        <w:pStyle w:val="References"/>
        <w:rPr>
          <w:lang w:val="en-US" w:eastAsia="es-ES_tradnl"/>
        </w:rPr>
      </w:pPr>
      <w:proofErr w:type="spellStart"/>
      <w:r w:rsidRPr="00D1312B">
        <w:rPr>
          <w:lang w:val="en-US" w:eastAsia="es-ES_tradnl"/>
        </w:rPr>
        <w:t>Neuhofer</w:t>
      </w:r>
      <w:proofErr w:type="spellEnd"/>
      <w:r w:rsidRPr="00D1312B">
        <w:rPr>
          <w:lang w:val="en-US" w:eastAsia="es-ES_tradnl"/>
        </w:rPr>
        <w:t xml:space="preserve">, B., Magnus, B., &amp; </w:t>
      </w:r>
      <w:proofErr w:type="spellStart"/>
      <w:r w:rsidRPr="00D1312B">
        <w:rPr>
          <w:lang w:val="en-US" w:eastAsia="es-ES_tradnl"/>
        </w:rPr>
        <w:t>Celuch</w:t>
      </w:r>
      <w:proofErr w:type="spellEnd"/>
      <w:r w:rsidRPr="00D1312B">
        <w:rPr>
          <w:lang w:val="en-US" w:eastAsia="es-ES_tradnl"/>
        </w:rPr>
        <w:t xml:space="preserve">, K. (2021). The impact of artificial intelligence on event experiences: a scenario technique approach. </w:t>
      </w:r>
      <w:r w:rsidRPr="00D1312B">
        <w:rPr>
          <w:i/>
          <w:iCs/>
          <w:lang w:val="en-US" w:eastAsia="es-ES_tradnl"/>
        </w:rPr>
        <w:t>Electronic Markets</w:t>
      </w:r>
      <w:r w:rsidRPr="00D1312B">
        <w:rPr>
          <w:lang w:val="en-US" w:eastAsia="es-ES_tradnl"/>
        </w:rPr>
        <w:t xml:space="preserve">, </w:t>
      </w:r>
      <w:r w:rsidRPr="00D1312B">
        <w:rPr>
          <w:i/>
          <w:iCs/>
          <w:lang w:val="en-US" w:eastAsia="es-ES_tradnl"/>
        </w:rPr>
        <w:t>31</w:t>
      </w:r>
      <w:r w:rsidRPr="00D1312B">
        <w:rPr>
          <w:lang w:val="en-US" w:eastAsia="es-ES_tradnl"/>
        </w:rPr>
        <w:t>(3), 601-617.</w:t>
      </w:r>
      <w:hyperlink r:id="rId32" w:history="1">
        <w:r w:rsidRPr="00D1312B">
          <w:rPr>
            <w:lang w:val="en-US" w:eastAsia="es-ES_tradnl"/>
          </w:rPr>
          <w:t xml:space="preserve"> https://doi.org/10.1007/s12525-020-00433-4</w:t>
        </w:r>
      </w:hyperlink>
    </w:p>
    <w:p w:rsidR="005B7A4F" w:rsidRPr="00D1312B" w:rsidRDefault="005B7A4F" w:rsidP="00D1312B">
      <w:pPr>
        <w:pStyle w:val="References"/>
        <w:rPr>
          <w:lang w:val="en-US" w:eastAsia="es-ES_tradnl"/>
        </w:rPr>
      </w:pPr>
      <w:r w:rsidRPr="00D1312B">
        <w:rPr>
          <w:lang w:val="en-US" w:eastAsia="es-ES_tradnl"/>
        </w:rPr>
        <w:lastRenderedPageBreak/>
        <w:t xml:space="preserve">O’Dell, T. (2005). </w:t>
      </w:r>
      <w:proofErr w:type="spellStart"/>
      <w:r w:rsidRPr="00D1312B">
        <w:rPr>
          <w:lang w:val="en-US" w:eastAsia="es-ES_tradnl"/>
        </w:rPr>
        <w:t>Experiencescapes</w:t>
      </w:r>
      <w:proofErr w:type="spellEnd"/>
      <w:r w:rsidRPr="00D1312B">
        <w:rPr>
          <w:lang w:val="en-US" w:eastAsia="es-ES_tradnl"/>
        </w:rPr>
        <w:t xml:space="preserve">: Blurring borders and testing connections. In T. O’Dell &amp; P. Billing (Eds.), </w:t>
      </w:r>
      <w:proofErr w:type="spellStart"/>
      <w:r w:rsidRPr="00D1312B">
        <w:rPr>
          <w:i/>
          <w:iCs/>
          <w:lang w:val="en-US" w:eastAsia="es-ES_tradnl"/>
        </w:rPr>
        <w:t>Experiencescapes</w:t>
      </w:r>
      <w:proofErr w:type="spellEnd"/>
      <w:r w:rsidRPr="00D1312B">
        <w:rPr>
          <w:i/>
          <w:iCs/>
          <w:lang w:val="en-US" w:eastAsia="es-ES_tradnl"/>
        </w:rPr>
        <w:t>: Tourism, culture, and economy</w:t>
      </w:r>
      <w:r w:rsidRPr="00D1312B">
        <w:rPr>
          <w:lang w:val="en-US" w:eastAsia="es-ES_tradnl"/>
        </w:rPr>
        <w:t xml:space="preserve"> (pp. 11–34). Copenhagen Business School Press.</w:t>
      </w:r>
    </w:p>
    <w:p w:rsidR="005B7A4F" w:rsidRPr="00D1312B" w:rsidRDefault="005B7A4F" w:rsidP="00D1312B">
      <w:pPr>
        <w:pStyle w:val="References"/>
        <w:rPr>
          <w:lang w:val="en-US" w:eastAsia="es-ES_tradnl"/>
        </w:rPr>
      </w:pPr>
      <w:r w:rsidRPr="00D1312B">
        <w:rPr>
          <w:lang w:val="en-US" w:eastAsia="es-ES_tradnl"/>
        </w:rPr>
        <w:t xml:space="preserve">Ong, F., &amp; Coetzee, W. (2025). Growing the significance of events in changing tourism geographies. </w:t>
      </w:r>
      <w:r w:rsidRPr="00D1312B">
        <w:rPr>
          <w:i/>
          <w:iCs/>
          <w:lang w:val="en-US" w:eastAsia="es-ES_tradnl"/>
        </w:rPr>
        <w:t>Tourism Geographies</w:t>
      </w:r>
      <w:r w:rsidRPr="00D1312B">
        <w:rPr>
          <w:lang w:val="en-US" w:eastAsia="es-ES_tradnl"/>
        </w:rPr>
        <w:t>, 27(3–4), 493–502.</w:t>
      </w:r>
      <w:hyperlink r:id="rId33" w:history="1">
        <w:r w:rsidRPr="00D1312B">
          <w:rPr>
            <w:lang w:val="en-US" w:eastAsia="es-ES_tradnl"/>
          </w:rPr>
          <w:t xml:space="preserve"> https://doi.org/10.1080/14616688.2023.2270958</w:t>
        </w:r>
      </w:hyperlink>
      <w:r w:rsidRPr="00D1312B">
        <w:rPr>
          <w:lang w:val="en-US" w:eastAsia="es-ES_tradnl"/>
        </w:rPr>
        <w:t> </w:t>
      </w:r>
    </w:p>
    <w:p w:rsidR="005B7A4F" w:rsidRPr="00D1312B" w:rsidRDefault="005B7A4F" w:rsidP="00D1312B">
      <w:pPr>
        <w:pStyle w:val="References"/>
        <w:rPr>
          <w:lang w:val="en-US" w:eastAsia="es-ES_tradnl"/>
        </w:rPr>
      </w:pPr>
      <w:r w:rsidRPr="00D1312B">
        <w:rPr>
          <w:lang w:val="en-US" w:eastAsia="es-ES_tradnl"/>
        </w:rPr>
        <w:t xml:space="preserve">Oliver, R. L. (1999). Whence consumer loyalty? </w:t>
      </w:r>
      <w:r w:rsidRPr="00D1312B">
        <w:rPr>
          <w:i/>
          <w:iCs/>
          <w:lang w:val="en-US" w:eastAsia="es-ES_tradnl"/>
        </w:rPr>
        <w:t>Journal of Marketing</w:t>
      </w:r>
      <w:r w:rsidRPr="00D1312B">
        <w:rPr>
          <w:lang w:val="en-US" w:eastAsia="es-ES_tradnl"/>
        </w:rPr>
        <w:t xml:space="preserve">, </w:t>
      </w:r>
      <w:r w:rsidRPr="00D1312B">
        <w:rPr>
          <w:i/>
          <w:iCs/>
          <w:lang w:val="en-US" w:eastAsia="es-ES_tradnl"/>
        </w:rPr>
        <w:t>63</w:t>
      </w:r>
      <w:r w:rsidRPr="00D1312B">
        <w:rPr>
          <w:lang w:val="en-US" w:eastAsia="es-ES_tradnl"/>
        </w:rPr>
        <w:t>(4_suppl1), 33-44.</w:t>
      </w:r>
      <w:hyperlink r:id="rId34" w:history="1">
        <w:r w:rsidRPr="00D1312B">
          <w:rPr>
            <w:lang w:val="en-US" w:eastAsia="es-ES_tradnl"/>
          </w:rPr>
          <w:t xml:space="preserve"> https://doi.org/10.1177/00222429990634s105</w:t>
        </w:r>
      </w:hyperlink>
    </w:p>
    <w:p w:rsidR="005B7A4F" w:rsidRPr="00D1312B" w:rsidRDefault="005B7A4F" w:rsidP="00D1312B">
      <w:pPr>
        <w:pStyle w:val="References"/>
        <w:rPr>
          <w:lang w:val="en-US" w:eastAsia="es-ES_tradnl"/>
        </w:rPr>
      </w:pPr>
      <w:r w:rsidRPr="00D1312B">
        <w:rPr>
          <w:lang w:val="en-US" w:eastAsia="es-ES_tradnl"/>
        </w:rPr>
        <w:t xml:space="preserve">Ozturk, A. B., Wei, W., Hua, N., &amp; Qi, R. (2020). Factors affecting attendees continued use of mobile event applications. </w:t>
      </w:r>
      <w:r w:rsidRPr="00D1312B">
        <w:rPr>
          <w:i/>
          <w:iCs/>
          <w:lang w:val="en-US" w:eastAsia="es-ES_tradnl"/>
        </w:rPr>
        <w:t>Journal of Hospitality and Tourism Technology</w:t>
      </w:r>
      <w:r w:rsidRPr="00D1312B">
        <w:rPr>
          <w:lang w:val="en-US" w:eastAsia="es-ES_tradnl"/>
        </w:rPr>
        <w:t xml:space="preserve">, </w:t>
      </w:r>
      <w:r w:rsidRPr="00D1312B">
        <w:rPr>
          <w:i/>
          <w:iCs/>
          <w:lang w:val="en-US" w:eastAsia="es-ES_tradnl"/>
        </w:rPr>
        <w:t>12</w:t>
      </w:r>
      <w:r w:rsidRPr="00D1312B">
        <w:rPr>
          <w:lang w:val="en-US" w:eastAsia="es-ES_tradnl"/>
        </w:rPr>
        <w:t>(2), 307-323.</w:t>
      </w:r>
      <w:hyperlink r:id="rId35" w:history="1">
        <w:r w:rsidRPr="00D1312B">
          <w:rPr>
            <w:lang w:val="en-US" w:eastAsia="es-ES_tradnl"/>
          </w:rPr>
          <w:t xml:space="preserve"> https://doi.org/10.1108/jhtt-03-2020-0058</w:t>
        </w:r>
      </w:hyperlink>
    </w:p>
    <w:p w:rsidR="005B7A4F" w:rsidRPr="00D1312B" w:rsidRDefault="005B7A4F" w:rsidP="00D1312B">
      <w:pPr>
        <w:pStyle w:val="References"/>
        <w:rPr>
          <w:lang w:val="en-US" w:eastAsia="es-ES_tradnl"/>
        </w:rPr>
      </w:pPr>
      <w:proofErr w:type="spellStart"/>
      <w:r w:rsidRPr="00D1312B">
        <w:rPr>
          <w:lang w:val="en-US" w:eastAsia="es-ES_tradnl"/>
        </w:rPr>
        <w:t>Pizam</w:t>
      </w:r>
      <w:proofErr w:type="spellEnd"/>
      <w:r w:rsidRPr="00D1312B">
        <w:rPr>
          <w:lang w:val="en-US" w:eastAsia="es-ES_tradnl"/>
        </w:rPr>
        <w:t xml:space="preserve">, A., &amp; </w:t>
      </w:r>
      <w:proofErr w:type="spellStart"/>
      <w:r w:rsidRPr="00D1312B">
        <w:rPr>
          <w:lang w:val="en-US" w:eastAsia="es-ES_tradnl"/>
        </w:rPr>
        <w:t>Tasci</w:t>
      </w:r>
      <w:proofErr w:type="spellEnd"/>
      <w:r w:rsidRPr="00D1312B">
        <w:rPr>
          <w:lang w:val="en-US" w:eastAsia="es-ES_tradnl"/>
        </w:rPr>
        <w:t xml:space="preserve">, A. D. A. (2019). </w:t>
      </w:r>
      <w:proofErr w:type="spellStart"/>
      <w:r w:rsidRPr="00D1312B">
        <w:rPr>
          <w:lang w:val="en-US" w:eastAsia="es-ES_tradnl"/>
        </w:rPr>
        <w:t>Experienscape</w:t>
      </w:r>
      <w:proofErr w:type="spellEnd"/>
      <w:r w:rsidRPr="00D1312B">
        <w:rPr>
          <w:lang w:val="en-US" w:eastAsia="es-ES_tradnl"/>
        </w:rPr>
        <w:t xml:space="preserve">: Expanding the concept of </w:t>
      </w:r>
      <w:proofErr w:type="spellStart"/>
      <w:r w:rsidRPr="00D1312B">
        <w:rPr>
          <w:lang w:val="en-US" w:eastAsia="es-ES_tradnl"/>
        </w:rPr>
        <w:t>servicescape</w:t>
      </w:r>
      <w:proofErr w:type="spellEnd"/>
      <w:r w:rsidRPr="00D1312B">
        <w:rPr>
          <w:lang w:val="en-US" w:eastAsia="es-ES_tradnl"/>
        </w:rPr>
        <w:t xml:space="preserve"> with a multi-stakeholder and multi-disciplinary approach. </w:t>
      </w:r>
      <w:r w:rsidRPr="00D1312B">
        <w:rPr>
          <w:i/>
          <w:iCs/>
          <w:lang w:val="en-US" w:eastAsia="es-ES_tradnl"/>
        </w:rPr>
        <w:t>International Journal of Hospitality Management</w:t>
      </w:r>
      <w:r w:rsidRPr="00D1312B">
        <w:rPr>
          <w:lang w:val="en-US" w:eastAsia="es-ES_tradnl"/>
        </w:rPr>
        <w:t>, 76, 25–37.</w:t>
      </w:r>
      <w:hyperlink r:id="rId36" w:history="1">
        <w:r w:rsidRPr="00D1312B">
          <w:rPr>
            <w:lang w:val="en-US" w:eastAsia="es-ES_tradnl"/>
          </w:rPr>
          <w:t xml:space="preserve"> https://doi.org/10.1016/j.ijhm.2018.06.010</w:t>
        </w:r>
      </w:hyperlink>
    </w:p>
    <w:p w:rsidR="005B7A4F" w:rsidRPr="00CA3C8E" w:rsidRDefault="005B7A4F" w:rsidP="00D1312B">
      <w:pPr>
        <w:pStyle w:val="References"/>
        <w:rPr>
          <w:lang w:val="en-US" w:eastAsia="es-ES_tradnl"/>
        </w:rPr>
      </w:pPr>
      <w:r w:rsidRPr="00D1312B">
        <w:rPr>
          <w:lang w:val="en-US" w:eastAsia="es-ES_tradnl"/>
        </w:rPr>
        <w:t xml:space="preserve">Qassimi, S., &amp; </w:t>
      </w:r>
      <w:proofErr w:type="spellStart"/>
      <w:r w:rsidRPr="00D1312B">
        <w:rPr>
          <w:lang w:val="en-US" w:eastAsia="es-ES_tradnl"/>
        </w:rPr>
        <w:t>Rakrak</w:t>
      </w:r>
      <w:proofErr w:type="spellEnd"/>
      <w:r w:rsidRPr="00D1312B">
        <w:rPr>
          <w:lang w:val="en-US" w:eastAsia="es-ES_tradnl"/>
        </w:rPr>
        <w:t xml:space="preserve">, S. (2025). Multi-objective contextual bandits in recommendation systems for smart tourism. </w:t>
      </w:r>
      <w:r w:rsidRPr="00D1312B">
        <w:rPr>
          <w:i/>
          <w:iCs/>
          <w:lang w:val="en-US" w:eastAsia="es-ES_tradnl"/>
        </w:rPr>
        <w:t>Scientific Reports</w:t>
      </w:r>
      <w:r w:rsidRPr="00D1312B">
        <w:rPr>
          <w:lang w:val="en-US" w:eastAsia="es-ES_tradnl"/>
        </w:rPr>
        <w:t xml:space="preserve">, </w:t>
      </w:r>
      <w:r w:rsidRPr="00D1312B">
        <w:rPr>
          <w:i/>
          <w:iCs/>
          <w:lang w:val="en-US" w:eastAsia="es-ES_tradnl"/>
        </w:rPr>
        <w:t>15</w:t>
      </w:r>
      <w:r w:rsidRPr="00D1312B">
        <w:rPr>
          <w:lang w:val="en-US" w:eastAsia="es-ES_tradnl"/>
        </w:rPr>
        <w:t>(1), 13669.</w:t>
      </w:r>
      <w:hyperlink r:id="rId37" w:history="1">
        <w:r w:rsidRPr="00D1312B">
          <w:rPr>
            <w:lang w:val="en-US" w:eastAsia="es-ES_tradnl"/>
          </w:rPr>
          <w:t xml:space="preserve"> https://doi.org/10.1038/s41598-025-89920-2</w:t>
        </w:r>
      </w:hyperlink>
    </w:p>
    <w:p w:rsidR="003D3C59" w:rsidRPr="00D1312B" w:rsidRDefault="003D3C59" w:rsidP="00D1312B">
      <w:pPr>
        <w:pStyle w:val="References"/>
        <w:rPr>
          <w:lang w:val="en-US" w:eastAsia="es-ES_tradnl"/>
        </w:rPr>
      </w:pPr>
      <w:r w:rsidRPr="003D3C59">
        <w:rPr>
          <w:lang w:val="en-US" w:eastAsia="es-ES_tradnl"/>
        </w:rPr>
        <w:t xml:space="preserve">Ryan, G., Fenton, A., Ahmed, W., &amp; Scarf, P. (2020). Recognizing events 4.0: The digital maturity of events. </w:t>
      </w:r>
      <w:r w:rsidRPr="003D3C59">
        <w:rPr>
          <w:i/>
          <w:iCs/>
          <w:lang w:val="en-US" w:eastAsia="es-ES_tradnl"/>
        </w:rPr>
        <w:t>International Journal of Event and Festival Management</w:t>
      </w:r>
      <w:r w:rsidRPr="003D3C59">
        <w:rPr>
          <w:lang w:val="en-US" w:eastAsia="es-ES_tradnl"/>
        </w:rPr>
        <w:t>, 11(1), 47–68. https://doi.org/10.1108/IJEFM-12-2019-0060</w:t>
      </w:r>
    </w:p>
    <w:p w:rsidR="005B7A4F" w:rsidRPr="00D1312B" w:rsidRDefault="005B7A4F" w:rsidP="00D1312B">
      <w:pPr>
        <w:pStyle w:val="References"/>
        <w:rPr>
          <w:lang w:val="en-US" w:eastAsia="es-ES_tradnl"/>
        </w:rPr>
      </w:pPr>
      <w:r w:rsidRPr="00D1312B">
        <w:rPr>
          <w:lang w:val="en-US" w:eastAsia="es-ES_tradnl"/>
        </w:rPr>
        <w:t xml:space="preserve">Sheridan, T. B. (1992). Musings on Telepresence and Virtual Presence. </w:t>
      </w:r>
      <w:r w:rsidRPr="00D1312B">
        <w:rPr>
          <w:i/>
          <w:iCs/>
          <w:lang w:val="en-US" w:eastAsia="es-ES_tradnl"/>
        </w:rPr>
        <w:t>PRESENCE Virtual and Augmented Reality</w:t>
      </w:r>
      <w:r w:rsidRPr="00D1312B">
        <w:rPr>
          <w:lang w:val="en-US" w:eastAsia="es-ES_tradnl"/>
        </w:rPr>
        <w:t xml:space="preserve">, </w:t>
      </w:r>
      <w:r w:rsidRPr="00D1312B">
        <w:rPr>
          <w:i/>
          <w:iCs/>
          <w:lang w:val="en-US" w:eastAsia="es-ES_tradnl"/>
        </w:rPr>
        <w:t>1</w:t>
      </w:r>
      <w:r w:rsidRPr="00D1312B">
        <w:rPr>
          <w:lang w:val="en-US" w:eastAsia="es-ES_tradnl"/>
        </w:rPr>
        <w:t>(1), 120-126.</w:t>
      </w:r>
      <w:hyperlink r:id="rId38" w:history="1">
        <w:r w:rsidRPr="00D1312B">
          <w:rPr>
            <w:lang w:val="en-US" w:eastAsia="es-ES_tradnl"/>
          </w:rPr>
          <w:t xml:space="preserve"> https://doi.org/10.1162/pres.1992.1.1.120</w:t>
        </w:r>
      </w:hyperlink>
    </w:p>
    <w:p w:rsidR="005B7A4F" w:rsidRPr="00D1312B" w:rsidRDefault="005B7A4F" w:rsidP="00D1312B">
      <w:pPr>
        <w:pStyle w:val="References"/>
        <w:rPr>
          <w:lang w:val="en-US" w:eastAsia="es-ES_tradnl"/>
        </w:rPr>
      </w:pPr>
      <w:r w:rsidRPr="00D1312B">
        <w:rPr>
          <w:lang w:val="en-US" w:eastAsia="es-ES_tradnl"/>
        </w:rPr>
        <w:t xml:space="preserve">Sisson, A. D., &amp; Alcorn, M. R. (2022). How Was Your Music Festival Experience? Impacts on Loyalty, Word-of-mouth, and Sustainability Behaviors. </w:t>
      </w:r>
      <w:r w:rsidRPr="00D1312B">
        <w:rPr>
          <w:i/>
          <w:iCs/>
          <w:lang w:val="en-US" w:eastAsia="es-ES_tradnl"/>
        </w:rPr>
        <w:t>Event Management</w:t>
      </w:r>
      <w:r w:rsidRPr="00D1312B">
        <w:rPr>
          <w:lang w:val="en-US" w:eastAsia="es-ES_tradnl"/>
        </w:rPr>
        <w:t xml:space="preserve">, </w:t>
      </w:r>
      <w:r w:rsidRPr="00D1312B">
        <w:rPr>
          <w:i/>
          <w:iCs/>
          <w:lang w:val="en-US" w:eastAsia="es-ES_tradnl"/>
        </w:rPr>
        <w:t>26</w:t>
      </w:r>
      <w:r w:rsidRPr="00D1312B">
        <w:rPr>
          <w:lang w:val="en-US" w:eastAsia="es-ES_tradnl"/>
        </w:rPr>
        <w:t>(3), 565-585.</w:t>
      </w:r>
      <w:hyperlink r:id="rId39" w:history="1">
        <w:r w:rsidRPr="00D1312B">
          <w:rPr>
            <w:lang w:val="en-US" w:eastAsia="es-ES_tradnl"/>
          </w:rPr>
          <w:t xml:space="preserve"> https://doi.org/10.3727/152599521x16288665119495</w:t>
        </w:r>
      </w:hyperlink>
    </w:p>
    <w:p w:rsidR="005B7A4F" w:rsidRPr="00CA3C8E" w:rsidRDefault="005B7A4F" w:rsidP="00D1312B">
      <w:pPr>
        <w:pStyle w:val="References"/>
        <w:rPr>
          <w:lang w:val="en-US" w:eastAsia="es-ES_tradnl"/>
        </w:rPr>
      </w:pPr>
      <w:r w:rsidRPr="00D1312B">
        <w:rPr>
          <w:lang w:val="en-US" w:eastAsia="es-ES_tradnl"/>
        </w:rPr>
        <w:t xml:space="preserve">Sinanan, J., &amp; Ritter, C. S. (2024). Emerging media technologies in the tourist encounter. </w:t>
      </w:r>
      <w:r w:rsidRPr="00D1312B">
        <w:rPr>
          <w:i/>
          <w:iCs/>
          <w:lang w:val="en-US" w:eastAsia="es-ES_tradnl"/>
        </w:rPr>
        <w:t>Tourism Geographies</w:t>
      </w:r>
      <w:r w:rsidRPr="00D1312B">
        <w:rPr>
          <w:lang w:val="en-US" w:eastAsia="es-ES_tradnl"/>
        </w:rPr>
        <w:t>, 26(4), 587–598.</w:t>
      </w:r>
      <w:hyperlink r:id="rId40" w:history="1">
        <w:r w:rsidRPr="00D1312B">
          <w:rPr>
            <w:lang w:val="en-US" w:eastAsia="es-ES_tradnl"/>
          </w:rPr>
          <w:t xml:space="preserve"> https://doi.org/10.1080/14616688.2024.2391339</w:t>
        </w:r>
      </w:hyperlink>
    </w:p>
    <w:p w:rsidR="004A4D5E" w:rsidRPr="00D1312B" w:rsidRDefault="004A4D5E" w:rsidP="00D1312B">
      <w:pPr>
        <w:pStyle w:val="References"/>
        <w:rPr>
          <w:lang w:val="en-US" w:eastAsia="es-ES_tradnl"/>
        </w:rPr>
      </w:pPr>
      <w:r w:rsidRPr="004A4D5E">
        <w:rPr>
          <w:lang w:val="en-US" w:eastAsia="es-ES_tradnl"/>
        </w:rPr>
        <w:t xml:space="preserve">Singh, S., Olson, E.D. and Tsai, C.-H. (2021), Use of service robots in an event setting: understanding the role of social presence, eeriness, and identity threat, </w:t>
      </w:r>
      <w:r w:rsidRPr="004A4D5E">
        <w:rPr>
          <w:i/>
          <w:iCs/>
          <w:lang w:val="en-US" w:eastAsia="es-ES_tradnl"/>
        </w:rPr>
        <w:t xml:space="preserve">Journal </w:t>
      </w:r>
      <w:r w:rsidRPr="004A4D5E">
        <w:rPr>
          <w:i/>
          <w:iCs/>
          <w:lang w:val="en-US" w:eastAsia="es-ES_tradnl"/>
        </w:rPr>
        <w:lastRenderedPageBreak/>
        <w:t>of Hospitality and Tourism Management</w:t>
      </w:r>
      <w:r w:rsidRPr="004A4D5E">
        <w:rPr>
          <w:lang w:val="en-US" w:eastAsia="es-ES_tradnl"/>
        </w:rPr>
        <w:t xml:space="preserve">, Vol. 49, pp. 528-537, </w:t>
      </w:r>
      <w:proofErr w:type="spellStart"/>
      <w:r w:rsidRPr="004A4D5E">
        <w:rPr>
          <w:lang w:val="en-US" w:eastAsia="es-ES_tradnl"/>
        </w:rPr>
        <w:t>doi</w:t>
      </w:r>
      <w:proofErr w:type="spellEnd"/>
      <w:r w:rsidRPr="004A4D5E">
        <w:rPr>
          <w:lang w:val="en-US" w:eastAsia="es-ES_tradnl"/>
        </w:rPr>
        <w:t>: https://doi.org/10.1016/j.jhtm.2021.10.014.</w:t>
      </w:r>
    </w:p>
    <w:p w:rsidR="005B7A4F" w:rsidRPr="00CA3C8E" w:rsidRDefault="005B7A4F" w:rsidP="00D1312B">
      <w:pPr>
        <w:pStyle w:val="References"/>
        <w:rPr>
          <w:lang w:val="en-US" w:eastAsia="es-ES_tradnl"/>
        </w:rPr>
      </w:pPr>
      <w:proofErr w:type="spellStart"/>
      <w:r w:rsidRPr="00D1312B">
        <w:rPr>
          <w:lang w:val="en-US" w:eastAsia="es-ES_tradnl"/>
        </w:rPr>
        <w:t>Sjukriana</w:t>
      </w:r>
      <w:proofErr w:type="spellEnd"/>
      <w:r w:rsidRPr="00D1312B">
        <w:rPr>
          <w:lang w:val="en-US" w:eastAsia="es-ES_tradnl"/>
        </w:rPr>
        <w:t xml:space="preserve"> J, </w:t>
      </w:r>
      <w:proofErr w:type="spellStart"/>
      <w:r w:rsidRPr="00D1312B">
        <w:rPr>
          <w:lang w:val="en-US" w:eastAsia="es-ES_tradnl"/>
        </w:rPr>
        <w:t>Hanafiah</w:t>
      </w:r>
      <w:proofErr w:type="spellEnd"/>
      <w:r w:rsidRPr="00D1312B">
        <w:rPr>
          <w:lang w:val="en-US" w:eastAsia="es-ES_tradnl"/>
        </w:rPr>
        <w:t xml:space="preserve"> MH, </w:t>
      </w:r>
      <w:proofErr w:type="spellStart"/>
      <w:r w:rsidRPr="00D1312B">
        <w:rPr>
          <w:lang w:val="en-US" w:eastAsia="es-ES_tradnl"/>
        </w:rPr>
        <w:t>Asyraff</w:t>
      </w:r>
      <w:proofErr w:type="spellEnd"/>
      <w:r w:rsidRPr="00D1312B">
        <w:rPr>
          <w:lang w:val="en-US" w:eastAsia="es-ES_tradnl"/>
        </w:rPr>
        <w:t xml:space="preserve"> MA, </w:t>
      </w:r>
      <w:proofErr w:type="spellStart"/>
      <w:r w:rsidRPr="00D1312B">
        <w:rPr>
          <w:lang w:val="en-US" w:eastAsia="es-ES_tradnl"/>
        </w:rPr>
        <w:t>Kusumah</w:t>
      </w:r>
      <w:proofErr w:type="spellEnd"/>
      <w:r w:rsidRPr="00D1312B">
        <w:rPr>
          <w:lang w:val="en-US" w:eastAsia="es-ES_tradnl"/>
        </w:rPr>
        <w:t xml:space="preserve"> G (2025), "Unveiling the landscape of event technology adoption in hospitality and tourism industry: insights from a systematic literature review". </w:t>
      </w:r>
      <w:r w:rsidRPr="00D1312B">
        <w:rPr>
          <w:i/>
          <w:iCs/>
          <w:lang w:val="en-US" w:eastAsia="es-ES_tradnl"/>
        </w:rPr>
        <w:t>International Journal of Event and Festival Management</w:t>
      </w:r>
      <w:r w:rsidRPr="00D1312B">
        <w:rPr>
          <w:lang w:val="en-US" w:eastAsia="es-ES_tradnl"/>
        </w:rPr>
        <w:t xml:space="preserve">, Vol. 16 No. 2 pp. 207–228, </w:t>
      </w:r>
      <w:proofErr w:type="spellStart"/>
      <w:r w:rsidRPr="00D1312B">
        <w:rPr>
          <w:lang w:val="en-US" w:eastAsia="es-ES_tradnl"/>
        </w:rPr>
        <w:t>doi</w:t>
      </w:r>
      <w:proofErr w:type="spellEnd"/>
      <w:r w:rsidRPr="00D1312B">
        <w:rPr>
          <w:lang w:val="en-US" w:eastAsia="es-ES_tradnl"/>
        </w:rPr>
        <w:t xml:space="preserve">: </w:t>
      </w:r>
      <w:hyperlink r:id="rId41" w:history="1">
        <w:r w:rsidRPr="00D1312B">
          <w:rPr>
            <w:lang w:val="en-US" w:eastAsia="es-ES_tradnl"/>
          </w:rPr>
          <w:t>https://doi.org/10.1108/IJEFM-06-2024-0077</w:t>
        </w:r>
      </w:hyperlink>
    </w:p>
    <w:p w:rsidR="00FE24F9" w:rsidRPr="00D1312B" w:rsidRDefault="00FE24F9" w:rsidP="00D1312B">
      <w:pPr>
        <w:pStyle w:val="References"/>
        <w:rPr>
          <w:lang w:val="en-US" w:eastAsia="es-ES_tradnl"/>
        </w:rPr>
      </w:pPr>
      <w:proofErr w:type="spellStart"/>
      <w:r w:rsidRPr="00FE24F9">
        <w:rPr>
          <w:lang w:val="es-ES" w:eastAsia="es-ES_tradnl"/>
        </w:rPr>
        <w:t>Stankov</w:t>
      </w:r>
      <w:proofErr w:type="spellEnd"/>
      <w:r w:rsidRPr="00FE24F9">
        <w:rPr>
          <w:lang w:val="es-ES" w:eastAsia="es-ES_tradnl"/>
        </w:rPr>
        <w:t xml:space="preserve">, U., </w:t>
      </w:r>
      <w:proofErr w:type="spellStart"/>
      <w:r w:rsidRPr="00FE24F9">
        <w:rPr>
          <w:lang w:val="es-ES" w:eastAsia="es-ES_tradnl"/>
        </w:rPr>
        <w:t>Pavluković</w:t>
      </w:r>
      <w:proofErr w:type="spellEnd"/>
      <w:r w:rsidRPr="00FE24F9">
        <w:rPr>
          <w:lang w:val="es-ES" w:eastAsia="es-ES_tradnl"/>
        </w:rPr>
        <w:t xml:space="preserve">, V., Alcántara-Pilar, J. M., </w:t>
      </w:r>
      <w:proofErr w:type="spellStart"/>
      <w:r w:rsidRPr="00FE24F9">
        <w:rPr>
          <w:lang w:val="es-ES" w:eastAsia="es-ES_tradnl"/>
        </w:rPr>
        <w:t>Cimbaljević</w:t>
      </w:r>
      <w:proofErr w:type="spellEnd"/>
      <w:r w:rsidRPr="00FE24F9">
        <w:rPr>
          <w:lang w:val="es-ES" w:eastAsia="es-ES_tradnl"/>
        </w:rPr>
        <w:t xml:space="preserve">, M., &amp; </w:t>
      </w:r>
      <w:proofErr w:type="spellStart"/>
      <w:r w:rsidRPr="00FE24F9">
        <w:rPr>
          <w:lang w:val="es-ES" w:eastAsia="es-ES_tradnl"/>
        </w:rPr>
        <w:t>Armenski</w:t>
      </w:r>
      <w:proofErr w:type="spellEnd"/>
      <w:r w:rsidRPr="00FE24F9">
        <w:rPr>
          <w:lang w:val="es-ES" w:eastAsia="es-ES_tradnl"/>
        </w:rPr>
        <w:t xml:space="preserve">, T. (2018). </w:t>
      </w:r>
      <w:r w:rsidRPr="00FE24F9">
        <w:rPr>
          <w:lang w:val="en-US" w:eastAsia="es-ES_tradnl"/>
        </w:rPr>
        <w:t xml:space="preserve">Should Festival Be Smarter?: ICT on Mass Events – The Case of the Exit Festival (Novi Sad, Serbia). In J. Rodrigues, C. Ramos, P. Cardoso, &amp; C. Henriques (Eds.), </w:t>
      </w:r>
      <w:r w:rsidRPr="00FE24F9">
        <w:rPr>
          <w:i/>
          <w:iCs/>
          <w:lang w:val="en-US" w:eastAsia="es-ES_tradnl"/>
        </w:rPr>
        <w:t xml:space="preserve">Handbook of Research on Technological Developments for Cultural Heritage and </w:t>
      </w:r>
      <w:proofErr w:type="spellStart"/>
      <w:r w:rsidRPr="00FE24F9">
        <w:rPr>
          <w:i/>
          <w:iCs/>
          <w:lang w:val="en-US" w:eastAsia="es-ES_tradnl"/>
        </w:rPr>
        <w:t>eTourism</w:t>
      </w:r>
      <w:proofErr w:type="spellEnd"/>
      <w:r w:rsidRPr="00FE24F9">
        <w:rPr>
          <w:i/>
          <w:iCs/>
          <w:lang w:val="en-US" w:eastAsia="es-ES_tradnl"/>
        </w:rPr>
        <w:t xml:space="preserve"> Applications</w:t>
      </w:r>
      <w:r w:rsidRPr="00FE24F9">
        <w:rPr>
          <w:lang w:val="en-US" w:eastAsia="es-ES_tradnl"/>
        </w:rPr>
        <w:t xml:space="preserve"> (pp. 245-263). IGI Global Scientific Publishing. https://doi.org/10.4018/978-1-5225-2927-9.ch012</w:t>
      </w:r>
    </w:p>
    <w:p w:rsidR="005B7A4F" w:rsidRPr="00D1312B" w:rsidRDefault="005B7A4F" w:rsidP="00D1312B">
      <w:pPr>
        <w:pStyle w:val="References"/>
        <w:rPr>
          <w:lang w:val="en-US" w:eastAsia="es-ES_tradnl"/>
        </w:rPr>
      </w:pPr>
      <w:proofErr w:type="spellStart"/>
      <w:r w:rsidRPr="00D1312B">
        <w:rPr>
          <w:lang w:val="en-US" w:eastAsia="es-ES_tradnl"/>
        </w:rPr>
        <w:t>Steuer</w:t>
      </w:r>
      <w:proofErr w:type="spellEnd"/>
      <w:r w:rsidRPr="00D1312B">
        <w:rPr>
          <w:lang w:val="en-US" w:eastAsia="es-ES_tradnl"/>
        </w:rPr>
        <w:t xml:space="preserve">, J. (1992). Defining virtual reality: dimensions determining telepresence. </w:t>
      </w:r>
      <w:r w:rsidRPr="00D1312B">
        <w:rPr>
          <w:i/>
          <w:iCs/>
          <w:lang w:val="en-US" w:eastAsia="es-ES_tradnl"/>
        </w:rPr>
        <w:t>Journal of Communication</w:t>
      </w:r>
      <w:r w:rsidRPr="00D1312B">
        <w:rPr>
          <w:lang w:val="en-US" w:eastAsia="es-ES_tradnl"/>
        </w:rPr>
        <w:t xml:space="preserve">, </w:t>
      </w:r>
      <w:r w:rsidRPr="00D1312B">
        <w:rPr>
          <w:i/>
          <w:iCs/>
          <w:lang w:val="en-US" w:eastAsia="es-ES_tradnl"/>
        </w:rPr>
        <w:t>42</w:t>
      </w:r>
      <w:r w:rsidRPr="00D1312B">
        <w:rPr>
          <w:lang w:val="en-US" w:eastAsia="es-ES_tradnl"/>
        </w:rPr>
        <w:t>(4), 73-93.</w:t>
      </w:r>
      <w:hyperlink r:id="rId42" w:history="1">
        <w:r w:rsidRPr="00D1312B">
          <w:rPr>
            <w:lang w:val="en-US" w:eastAsia="es-ES_tradnl"/>
          </w:rPr>
          <w:t xml:space="preserve"> https://doi.org/10.1111/j.1460-2466.1992.tb00812.x</w:t>
        </w:r>
      </w:hyperlink>
    </w:p>
    <w:p w:rsidR="005B7A4F" w:rsidRPr="00CA3C8E" w:rsidRDefault="005B7A4F" w:rsidP="00D1312B">
      <w:pPr>
        <w:pStyle w:val="References"/>
        <w:rPr>
          <w:lang w:val="en-US" w:eastAsia="es-ES_tradnl"/>
        </w:rPr>
      </w:pPr>
      <w:proofErr w:type="spellStart"/>
      <w:r w:rsidRPr="00D1312B">
        <w:rPr>
          <w:lang w:val="en-US" w:eastAsia="es-ES_tradnl"/>
        </w:rPr>
        <w:t>Talantis</w:t>
      </w:r>
      <w:proofErr w:type="spellEnd"/>
      <w:r w:rsidRPr="00D1312B">
        <w:rPr>
          <w:lang w:val="en-US" w:eastAsia="es-ES_tradnl"/>
        </w:rPr>
        <w:t xml:space="preserve">, S., Shin, Y. H., &amp; </w:t>
      </w:r>
      <w:proofErr w:type="spellStart"/>
      <w:r w:rsidRPr="00D1312B">
        <w:rPr>
          <w:lang w:val="en-US" w:eastAsia="es-ES_tradnl"/>
        </w:rPr>
        <w:t>Severt</w:t>
      </w:r>
      <w:proofErr w:type="spellEnd"/>
      <w:r w:rsidRPr="00D1312B">
        <w:rPr>
          <w:lang w:val="en-US" w:eastAsia="es-ES_tradnl"/>
        </w:rPr>
        <w:t xml:space="preserve">, K. (2020). Conference mobile application: Participant acceptance and the correlation with overall event satisfaction utilizing the technology acceptance model (TAM). </w:t>
      </w:r>
      <w:r w:rsidRPr="00D1312B">
        <w:rPr>
          <w:i/>
          <w:iCs/>
          <w:lang w:val="en-US" w:eastAsia="es-ES_tradnl"/>
        </w:rPr>
        <w:t>Journal of Convention &amp; Event Tourism</w:t>
      </w:r>
      <w:r w:rsidRPr="00D1312B">
        <w:rPr>
          <w:lang w:val="en-US" w:eastAsia="es-ES_tradnl"/>
        </w:rPr>
        <w:t xml:space="preserve">, </w:t>
      </w:r>
      <w:r w:rsidRPr="00D1312B">
        <w:rPr>
          <w:i/>
          <w:iCs/>
          <w:lang w:val="en-US" w:eastAsia="es-ES_tradnl"/>
        </w:rPr>
        <w:t>21</w:t>
      </w:r>
      <w:r w:rsidRPr="00D1312B">
        <w:rPr>
          <w:lang w:val="en-US" w:eastAsia="es-ES_tradnl"/>
        </w:rPr>
        <w:t>(2), 100-122.</w:t>
      </w:r>
      <w:hyperlink r:id="rId43" w:history="1">
        <w:r w:rsidRPr="00D1312B">
          <w:rPr>
            <w:lang w:val="en-US" w:eastAsia="es-ES_tradnl"/>
          </w:rPr>
          <w:t xml:space="preserve"> https://doi.org/10.1080/15470148.2020.1719949</w:t>
        </w:r>
      </w:hyperlink>
    </w:p>
    <w:p w:rsidR="00FE24F9" w:rsidRPr="00D1312B" w:rsidRDefault="00FE24F9" w:rsidP="00D1312B">
      <w:pPr>
        <w:pStyle w:val="References"/>
        <w:rPr>
          <w:lang w:val="en-US" w:eastAsia="es-ES_tradnl"/>
        </w:rPr>
      </w:pPr>
      <w:r w:rsidRPr="00FE24F9">
        <w:rPr>
          <w:lang w:val="en-US" w:eastAsia="es-ES_tradnl"/>
        </w:rPr>
        <w:t xml:space="preserve">Van Winkle, C. M., MacKay, K. J., &amp; </w:t>
      </w:r>
      <w:proofErr w:type="spellStart"/>
      <w:r w:rsidRPr="00FE24F9">
        <w:rPr>
          <w:lang w:val="en-US" w:eastAsia="es-ES_tradnl"/>
        </w:rPr>
        <w:t>Halpenny</w:t>
      </w:r>
      <w:proofErr w:type="spellEnd"/>
      <w:r w:rsidRPr="00FE24F9">
        <w:rPr>
          <w:lang w:val="en-US" w:eastAsia="es-ES_tradnl"/>
        </w:rPr>
        <w:t xml:space="preserve">, E. (2018). Information and communication technology and the festival experience. In J. Mair (Ed.), </w:t>
      </w:r>
      <w:r w:rsidRPr="00FE24F9">
        <w:rPr>
          <w:i/>
          <w:iCs/>
          <w:lang w:val="en-US" w:eastAsia="es-ES_tradnl"/>
        </w:rPr>
        <w:t>The Routledge handbook of festivals</w:t>
      </w:r>
      <w:r w:rsidRPr="00FE24F9">
        <w:rPr>
          <w:lang w:val="en-US" w:eastAsia="es-ES_tradnl"/>
        </w:rPr>
        <w:t xml:space="preserve"> (pp. 254–262). Routledge.</w:t>
      </w:r>
      <w:r>
        <w:rPr>
          <w:lang w:val="en-US" w:eastAsia="es-ES_tradnl"/>
        </w:rPr>
        <w:t xml:space="preserve"> </w:t>
      </w:r>
      <w:r w:rsidRPr="00FE24F9">
        <w:rPr>
          <w:lang w:val="en-US" w:eastAsia="es-ES_tradnl"/>
        </w:rPr>
        <w:t>https://doi.org/10.4324/9781315186320-26</w:t>
      </w:r>
    </w:p>
    <w:p w:rsidR="005B7A4F" w:rsidRPr="00D1312B" w:rsidRDefault="005B7A4F" w:rsidP="00FE24F9">
      <w:pPr>
        <w:pStyle w:val="References"/>
        <w:rPr>
          <w:lang w:val="en-US" w:eastAsia="es-ES_tradnl"/>
        </w:rPr>
      </w:pPr>
      <w:r w:rsidRPr="00D1312B">
        <w:rPr>
          <w:lang w:val="en-US" w:eastAsia="es-ES_tradnl"/>
        </w:rPr>
        <w:t xml:space="preserve">Wheeler, B., </w:t>
      </w:r>
      <w:proofErr w:type="spellStart"/>
      <w:r w:rsidRPr="00D1312B">
        <w:rPr>
          <w:lang w:val="en-US" w:eastAsia="es-ES_tradnl"/>
        </w:rPr>
        <w:t>Syzdykbayev</w:t>
      </w:r>
      <w:proofErr w:type="spellEnd"/>
      <w:r w:rsidRPr="00D1312B">
        <w:rPr>
          <w:lang w:val="en-US" w:eastAsia="es-ES_tradnl"/>
        </w:rPr>
        <w:t xml:space="preserve">, M., Karimi, H. A., </w:t>
      </w:r>
      <w:proofErr w:type="spellStart"/>
      <w:r w:rsidRPr="00D1312B">
        <w:rPr>
          <w:lang w:val="en-US" w:eastAsia="es-ES_tradnl"/>
        </w:rPr>
        <w:t>Gurewitsch</w:t>
      </w:r>
      <w:proofErr w:type="spellEnd"/>
      <w:r w:rsidRPr="00D1312B">
        <w:rPr>
          <w:lang w:val="en-US" w:eastAsia="es-ES_tradnl"/>
        </w:rPr>
        <w:t>, R., &amp; Wang, Y. (2020)</w:t>
      </w:r>
      <w:r w:rsidR="00FE24F9">
        <w:rPr>
          <w:lang w:val="en-US" w:eastAsia="es-ES_tradnl"/>
        </w:rPr>
        <w:t xml:space="preserve">. </w:t>
      </w:r>
      <w:r w:rsidRPr="00D1312B">
        <w:rPr>
          <w:lang w:val="en-US" w:eastAsia="es-ES_tradnl"/>
        </w:rPr>
        <w:t xml:space="preserve">Personalized accessible wayfinding for people with disabilities through standards and open geospatial platforms in smart cities. </w:t>
      </w:r>
      <w:r w:rsidRPr="00D1312B">
        <w:rPr>
          <w:i/>
          <w:iCs/>
          <w:lang w:val="en-US" w:eastAsia="es-ES_tradnl"/>
        </w:rPr>
        <w:t>Open Geospatial Data Software and Standards</w:t>
      </w:r>
      <w:r w:rsidRPr="00D1312B">
        <w:rPr>
          <w:lang w:val="en-US" w:eastAsia="es-ES_tradnl"/>
        </w:rPr>
        <w:t xml:space="preserve">, </w:t>
      </w:r>
      <w:r w:rsidRPr="00D1312B">
        <w:rPr>
          <w:i/>
          <w:iCs/>
          <w:lang w:val="en-US" w:eastAsia="es-ES_tradnl"/>
        </w:rPr>
        <w:t>5</w:t>
      </w:r>
      <w:r w:rsidRPr="00D1312B">
        <w:rPr>
          <w:lang w:val="en-US" w:eastAsia="es-ES_tradnl"/>
        </w:rPr>
        <w:t>(1).</w:t>
      </w:r>
      <w:hyperlink r:id="rId44" w:history="1">
        <w:r w:rsidRPr="00D1312B">
          <w:rPr>
            <w:lang w:val="en-US" w:eastAsia="es-ES_tradnl"/>
          </w:rPr>
          <w:t xml:space="preserve"> https://doi.org/10.1186/s40965-020-00075-5</w:t>
        </w:r>
      </w:hyperlink>
    </w:p>
    <w:p w:rsidR="005B7A4F" w:rsidRPr="00D1312B" w:rsidRDefault="005B7A4F" w:rsidP="00D1312B">
      <w:pPr>
        <w:pStyle w:val="References"/>
        <w:rPr>
          <w:lang w:val="en-US" w:eastAsia="es-ES_tradnl"/>
        </w:rPr>
      </w:pPr>
      <w:r w:rsidRPr="00D1312B">
        <w:rPr>
          <w:lang w:val="en-US" w:eastAsia="es-ES_tradnl"/>
        </w:rPr>
        <w:t xml:space="preserve">Wolf, E. J., Harrington, K. M., Clark, S. L., &amp; Miller, M. W. (2013). Sample size requirements for structural equation models: An evaluation of power, bias, and solution propriety. </w:t>
      </w:r>
      <w:r w:rsidRPr="00D1312B">
        <w:rPr>
          <w:i/>
          <w:iCs/>
          <w:lang w:val="en-US" w:eastAsia="es-ES_tradnl"/>
        </w:rPr>
        <w:t>Educational and Psychological Measurement, 73</w:t>
      </w:r>
      <w:r w:rsidRPr="00D1312B">
        <w:rPr>
          <w:lang w:val="en-US" w:eastAsia="es-ES_tradnl"/>
        </w:rPr>
        <w:t>(6), 913–934.</w:t>
      </w:r>
      <w:hyperlink r:id="rId45" w:history="1">
        <w:r w:rsidRPr="00D1312B">
          <w:rPr>
            <w:lang w:val="en-US" w:eastAsia="es-ES_tradnl"/>
          </w:rPr>
          <w:t xml:space="preserve"> https://doi.org/10.1177/0013164413495237</w:t>
        </w:r>
      </w:hyperlink>
    </w:p>
    <w:p w:rsidR="005B7A4F" w:rsidRPr="00D1312B" w:rsidRDefault="005B7A4F" w:rsidP="00D1312B">
      <w:pPr>
        <w:pStyle w:val="References"/>
        <w:rPr>
          <w:lang w:val="en-US" w:eastAsia="es-ES_tradnl"/>
        </w:rPr>
      </w:pPr>
      <w:r w:rsidRPr="00D1312B">
        <w:rPr>
          <w:lang w:val="en-US" w:eastAsia="es-ES_tradnl"/>
        </w:rPr>
        <w:lastRenderedPageBreak/>
        <w:t xml:space="preserve">Wood, E. H., &amp; </w:t>
      </w:r>
      <w:proofErr w:type="spellStart"/>
      <w:r w:rsidRPr="00D1312B">
        <w:rPr>
          <w:lang w:val="en-US" w:eastAsia="es-ES_tradnl"/>
        </w:rPr>
        <w:t>Kinnunen</w:t>
      </w:r>
      <w:proofErr w:type="spellEnd"/>
      <w:r w:rsidRPr="00D1312B">
        <w:rPr>
          <w:lang w:val="en-US" w:eastAsia="es-ES_tradnl"/>
        </w:rPr>
        <w:t xml:space="preserve">, M. (2020). Emotion, memory and re-collective value: shared festival experiences. </w:t>
      </w:r>
      <w:r w:rsidRPr="00D1312B">
        <w:rPr>
          <w:i/>
          <w:iCs/>
          <w:lang w:val="en-US" w:eastAsia="es-ES_tradnl"/>
        </w:rPr>
        <w:t>International Journal of Contemporary Hospitality Management</w:t>
      </w:r>
      <w:r w:rsidRPr="00D1312B">
        <w:rPr>
          <w:lang w:val="en-US" w:eastAsia="es-ES_tradnl"/>
        </w:rPr>
        <w:t xml:space="preserve">, </w:t>
      </w:r>
      <w:r w:rsidRPr="00D1312B">
        <w:rPr>
          <w:i/>
          <w:iCs/>
          <w:lang w:val="en-US" w:eastAsia="es-ES_tradnl"/>
        </w:rPr>
        <w:t>32</w:t>
      </w:r>
      <w:r w:rsidRPr="00D1312B">
        <w:rPr>
          <w:lang w:val="en-US" w:eastAsia="es-ES_tradnl"/>
        </w:rPr>
        <w:t>(3), 1275-1298.</w:t>
      </w:r>
      <w:hyperlink r:id="rId46" w:history="1">
        <w:r w:rsidRPr="00D1312B">
          <w:rPr>
            <w:lang w:val="en-US" w:eastAsia="es-ES_tradnl"/>
          </w:rPr>
          <w:t xml:space="preserve"> https://doi.org/10.1108/ijchm-05-2019-0488</w:t>
        </w:r>
      </w:hyperlink>
    </w:p>
    <w:p w:rsidR="005B7A4F" w:rsidRPr="00D1312B" w:rsidRDefault="005B7A4F" w:rsidP="00D1312B">
      <w:pPr>
        <w:pStyle w:val="References"/>
        <w:rPr>
          <w:lang w:val="en-US" w:eastAsia="es-ES_tradnl"/>
        </w:rPr>
      </w:pPr>
      <w:r w:rsidRPr="00D1312B">
        <w:rPr>
          <w:lang w:val="en-US" w:eastAsia="es-ES_tradnl"/>
        </w:rPr>
        <w:t xml:space="preserve">Wu, S., Li, Y., Wood, E. H., </w:t>
      </w:r>
      <w:proofErr w:type="spellStart"/>
      <w:r w:rsidRPr="00D1312B">
        <w:rPr>
          <w:lang w:val="en-US" w:eastAsia="es-ES_tradnl"/>
        </w:rPr>
        <w:t>Senaux</w:t>
      </w:r>
      <w:proofErr w:type="spellEnd"/>
      <w:r w:rsidRPr="00D1312B">
        <w:rPr>
          <w:lang w:val="en-US" w:eastAsia="es-ES_tradnl"/>
        </w:rPr>
        <w:t xml:space="preserve">, B., &amp; Dai, G. (2020). Liminality and festivals—Insights from the East. </w:t>
      </w:r>
      <w:r w:rsidRPr="00D1312B">
        <w:rPr>
          <w:i/>
          <w:iCs/>
          <w:lang w:val="en-US" w:eastAsia="es-ES_tradnl"/>
        </w:rPr>
        <w:t>Annals of Tourism Research</w:t>
      </w:r>
      <w:r w:rsidRPr="00D1312B">
        <w:rPr>
          <w:lang w:val="en-US" w:eastAsia="es-ES_tradnl"/>
        </w:rPr>
        <w:t xml:space="preserve">, </w:t>
      </w:r>
      <w:r w:rsidRPr="00D1312B">
        <w:rPr>
          <w:i/>
          <w:iCs/>
          <w:lang w:val="en-US" w:eastAsia="es-ES_tradnl"/>
        </w:rPr>
        <w:t>80</w:t>
      </w:r>
      <w:r w:rsidRPr="00D1312B">
        <w:rPr>
          <w:lang w:val="en-US" w:eastAsia="es-ES_tradnl"/>
        </w:rPr>
        <w:t>, 102810.</w:t>
      </w:r>
      <w:hyperlink r:id="rId47" w:history="1">
        <w:r w:rsidRPr="00D1312B">
          <w:rPr>
            <w:lang w:val="en-US" w:eastAsia="es-ES_tradnl"/>
          </w:rPr>
          <w:t xml:space="preserve"> https://doi.org/10.1016/j.annals.2019.102810</w:t>
        </w:r>
      </w:hyperlink>
    </w:p>
    <w:p w:rsidR="005B7A4F" w:rsidRPr="00D1312B" w:rsidRDefault="005B7A4F" w:rsidP="00D1312B">
      <w:pPr>
        <w:pStyle w:val="References"/>
        <w:rPr>
          <w:lang w:val="en-US" w:eastAsia="es-ES_tradnl"/>
        </w:rPr>
      </w:pPr>
      <w:r w:rsidRPr="00D1312B">
        <w:rPr>
          <w:lang w:val="en-US" w:eastAsia="es-ES_tradnl"/>
        </w:rPr>
        <w:t xml:space="preserve">Yang, X., Zhang, L., &amp; Feng, Z. (2023). Personalized Tourism Recommendations and the E-Tourism User Experience. </w:t>
      </w:r>
      <w:r w:rsidRPr="00D1312B">
        <w:rPr>
          <w:i/>
          <w:iCs/>
          <w:lang w:val="en-US" w:eastAsia="es-ES_tradnl"/>
        </w:rPr>
        <w:t>Journal of Travel Research</w:t>
      </w:r>
      <w:r w:rsidRPr="00D1312B">
        <w:rPr>
          <w:lang w:val="en-US" w:eastAsia="es-ES_tradnl"/>
        </w:rPr>
        <w:t xml:space="preserve">, </w:t>
      </w:r>
      <w:r w:rsidRPr="00D1312B">
        <w:rPr>
          <w:i/>
          <w:iCs/>
          <w:lang w:val="en-US" w:eastAsia="es-ES_tradnl"/>
        </w:rPr>
        <w:t>63</w:t>
      </w:r>
      <w:r w:rsidRPr="00D1312B">
        <w:rPr>
          <w:lang w:val="en-US" w:eastAsia="es-ES_tradnl"/>
        </w:rPr>
        <w:t>(5), 1183-1200.</w:t>
      </w:r>
      <w:hyperlink r:id="rId48" w:history="1">
        <w:r w:rsidRPr="00D1312B">
          <w:rPr>
            <w:lang w:val="en-US" w:eastAsia="es-ES_tradnl"/>
          </w:rPr>
          <w:t xml:space="preserve"> https://doi.org/10.1177/00472875231187332</w:t>
        </w:r>
      </w:hyperlink>
    </w:p>
    <w:p w:rsidR="005B7A4F" w:rsidRPr="00D1312B" w:rsidRDefault="005B7A4F" w:rsidP="00D1312B">
      <w:pPr>
        <w:pStyle w:val="References"/>
        <w:rPr>
          <w:lang w:val="en-US" w:eastAsia="es-ES_tradnl"/>
        </w:rPr>
      </w:pPr>
      <w:r w:rsidRPr="00D1312B">
        <w:rPr>
          <w:lang w:val="en-US" w:eastAsia="es-ES_tradnl"/>
        </w:rPr>
        <w:t xml:space="preserve">Ye, C., Zheng, R., &amp; Li, L. (2022). The effect of visual and interactive features of tourism live streaming on tourism consumers’ willingness to participate. </w:t>
      </w:r>
      <w:r w:rsidRPr="00D1312B">
        <w:rPr>
          <w:i/>
          <w:iCs/>
          <w:lang w:val="en-US" w:eastAsia="es-ES_tradnl"/>
        </w:rPr>
        <w:t>Asia Pacific Journal of Tourism Research</w:t>
      </w:r>
      <w:r w:rsidRPr="00D1312B">
        <w:rPr>
          <w:lang w:val="en-US" w:eastAsia="es-ES_tradnl"/>
        </w:rPr>
        <w:t xml:space="preserve">, </w:t>
      </w:r>
      <w:r w:rsidRPr="00D1312B">
        <w:rPr>
          <w:i/>
          <w:iCs/>
          <w:lang w:val="en-US" w:eastAsia="es-ES_tradnl"/>
        </w:rPr>
        <w:t>27</w:t>
      </w:r>
      <w:r w:rsidRPr="00D1312B">
        <w:rPr>
          <w:lang w:val="en-US" w:eastAsia="es-ES_tradnl"/>
        </w:rPr>
        <w:t>(5), 506-525.</w:t>
      </w:r>
      <w:hyperlink r:id="rId49" w:history="1">
        <w:r w:rsidRPr="00D1312B">
          <w:rPr>
            <w:lang w:val="en-US" w:eastAsia="es-ES_tradnl"/>
          </w:rPr>
          <w:t xml:space="preserve"> https://doi.org/10.1080/10941665.2022.2091940</w:t>
        </w:r>
      </w:hyperlink>
    </w:p>
    <w:p w:rsidR="005B7A4F" w:rsidRPr="00A2595A" w:rsidRDefault="005B7A4F" w:rsidP="00D1312B">
      <w:pPr>
        <w:pStyle w:val="References"/>
        <w:rPr>
          <w:lang w:val="en-US" w:eastAsia="es-ES_tradnl"/>
        </w:rPr>
      </w:pPr>
      <w:r w:rsidRPr="00D1312B">
        <w:rPr>
          <w:lang w:val="en-US" w:eastAsia="es-ES_tradnl"/>
        </w:rPr>
        <w:t xml:space="preserve">Zhang, Y., &amp; Hara, T. (2024). Joint knowledge graph approach for event participant prediction with social media retweeting. </w:t>
      </w:r>
      <w:r w:rsidRPr="00A2595A">
        <w:rPr>
          <w:i/>
          <w:iCs/>
          <w:lang w:val="en-US" w:eastAsia="es-ES_tradnl"/>
        </w:rPr>
        <w:t>Knowledge and Information Systems</w:t>
      </w:r>
      <w:r w:rsidRPr="00A2595A">
        <w:rPr>
          <w:lang w:val="en-US" w:eastAsia="es-ES_tradnl"/>
        </w:rPr>
        <w:t xml:space="preserve">, </w:t>
      </w:r>
      <w:r w:rsidRPr="00A2595A">
        <w:rPr>
          <w:i/>
          <w:iCs/>
          <w:lang w:val="en-US" w:eastAsia="es-ES_tradnl"/>
        </w:rPr>
        <w:t>66</w:t>
      </w:r>
      <w:r w:rsidRPr="00A2595A">
        <w:rPr>
          <w:lang w:val="en-US" w:eastAsia="es-ES_tradnl"/>
        </w:rPr>
        <w:t>(3), 2115-2133.</w:t>
      </w:r>
      <w:hyperlink r:id="rId50" w:history="1">
        <w:r w:rsidRPr="00A2595A">
          <w:rPr>
            <w:lang w:val="en-US" w:eastAsia="es-ES_tradnl"/>
          </w:rPr>
          <w:t xml:space="preserve"> https://doi.org/10.1007/s10115-023-02015-0</w:t>
        </w:r>
      </w:hyperlink>
    </w:p>
    <w:p w:rsidR="005B7A4F" w:rsidRPr="00A2595A" w:rsidRDefault="005B7A4F" w:rsidP="005B7A4F">
      <w:pPr>
        <w:spacing w:line="240" w:lineRule="auto"/>
        <w:rPr>
          <w:lang w:val="en-US" w:eastAsia="es-ES_tradnl"/>
        </w:rPr>
      </w:pPr>
    </w:p>
    <w:p w:rsidR="00A2595A" w:rsidRDefault="00A2595A" w:rsidP="00A2595A">
      <w:pPr>
        <w:rPr>
          <w:b/>
          <w:bCs/>
          <w:lang w:val="en-US"/>
        </w:rPr>
      </w:pPr>
    </w:p>
    <w:p w:rsidR="00A2595A" w:rsidRPr="00A559FF" w:rsidRDefault="00A2595A" w:rsidP="00A2595A">
      <w:pPr>
        <w:pStyle w:val="Tabletitle"/>
        <w:rPr>
          <w:lang w:val="en-US"/>
        </w:rPr>
      </w:pPr>
      <w:r w:rsidRPr="00A559FF">
        <w:rPr>
          <w:lang w:val="en-US"/>
        </w:rPr>
        <w:t xml:space="preserve">Appendix Table A1. </w:t>
      </w:r>
      <w:r>
        <w:rPr>
          <w:lang w:val="en-US"/>
        </w:rPr>
        <w:t>M</w:t>
      </w:r>
      <w:r w:rsidRPr="00A559FF">
        <w:rPr>
          <w:lang w:val="en-US"/>
        </w:rPr>
        <w:t>easurement items</w:t>
      </w:r>
      <w:r>
        <w:rPr>
          <w:lang w:val="en-US"/>
        </w:rPr>
        <w:t xml:space="preserve"> </w:t>
      </w:r>
    </w:p>
    <w:p w:rsidR="00A2595A" w:rsidRPr="00A559FF" w:rsidRDefault="00A2595A" w:rsidP="00A2595A">
      <w:pPr>
        <w:rPr>
          <w:b/>
          <w:bCs/>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579"/>
        <w:gridCol w:w="1241"/>
        <w:gridCol w:w="1725"/>
      </w:tblGrid>
      <w:tr w:rsidR="00A2595A" w:rsidRPr="00FF7E14" w:rsidTr="00F56688">
        <w:trPr>
          <w:trHeight w:val="20"/>
          <w:jc w:val="center"/>
        </w:trPr>
        <w:tc>
          <w:tcPr>
            <w:tcW w:w="0" w:type="auto"/>
            <w:tcBorders>
              <w:bottom w:val="single" w:sz="4" w:space="0" w:color="auto"/>
            </w:tcBorders>
            <w:tcMar>
              <w:top w:w="40" w:type="dxa"/>
              <w:left w:w="40" w:type="dxa"/>
              <w:bottom w:w="40" w:type="dxa"/>
              <w:right w:w="40" w:type="dxa"/>
            </w:tcMar>
            <w:vAlign w:val="center"/>
            <w:hideMark/>
          </w:tcPr>
          <w:p w:rsidR="00A2595A" w:rsidRPr="00A36473" w:rsidRDefault="00A2595A" w:rsidP="00F56688">
            <w:pPr>
              <w:spacing w:line="360" w:lineRule="auto"/>
              <w:rPr>
                <w:lang w:val="es-ES" w:eastAsia="es-ES_tradnl"/>
              </w:rPr>
            </w:pPr>
            <w:proofErr w:type="spellStart"/>
            <w:r w:rsidRPr="00A36473">
              <w:rPr>
                <w:color w:val="000000"/>
                <w:lang w:val="es-ES" w:eastAsia="es-ES_tradnl"/>
              </w:rPr>
              <w:t>Construct</w:t>
            </w:r>
            <w:proofErr w:type="spellEnd"/>
          </w:p>
        </w:tc>
        <w:tc>
          <w:tcPr>
            <w:tcW w:w="1241" w:type="dxa"/>
            <w:tcBorders>
              <w:bottom w:val="single" w:sz="4" w:space="0" w:color="auto"/>
            </w:tcBorders>
            <w:tcMar>
              <w:top w:w="40" w:type="dxa"/>
              <w:left w:w="40" w:type="dxa"/>
              <w:bottom w:w="40" w:type="dxa"/>
              <w:right w:w="40" w:type="dxa"/>
            </w:tcMar>
            <w:vAlign w:val="center"/>
            <w:hideMark/>
          </w:tcPr>
          <w:p w:rsidR="00A2595A" w:rsidRPr="00A36473" w:rsidRDefault="00A2595A" w:rsidP="00F56688">
            <w:pPr>
              <w:spacing w:line="360" w:lineRule="auto"/>
              <w:rPr>
                <w:lang w:val="es-ES" w:eastAsia="es-ES_tradnl"/>
              </w:rPr>
            </w:pPr>
            <w:proofErr w:type="spellStart"/>
            <w:r w:rsidRPr="00A36473">
              <w:rPr>
                <w:color w:val="000000"/>
                <w:lang w:val="es-ES" w:eastAsia="es-ES_tradnl"/>
              </w:rPr>
              <w:t>Items</w:t>
            </w:r>
            <w:proofErr w:type="spellEnd"/>
          </w:p>
        </w:tc>
        <w:tc>
          <w:tcPr>
            <w:tcW w:w="1725" w:type="dxa"/>
            <w:tcBorders>
              <w:bottom w:val="single" w:sz="4" w:space="0" w:color="auto"/>
            </w:tcBorders>
            <w:tcMar>
              <w:top w:w="40" w:type="dxa"/>
              <w:left w:w="40" w:type="dxa"/>
              <w:bottom w:w="40" w:type="dxa"/>
              <w:right w:w="40" w:type="dxa"/>
            </w:tcMar>
            <w:vAlign w:val="center"/>
            <w:hideMark/>
          </w:tcPr>
          <w:p w:rsidR="00A2595A" w:rsidRPr="00A36473" w:rsidRDefault="00A2595A" w:rsidP="00F56688">
            <w:pPr>
              <w:spacing w:line="360" w:lineRule="auto"/>
              <w:rPr>
                <w:lang w:val="es-ES" w:eastAsia="es-ES_tradnl"/>
              </w:rPr>
            </w:pPr>
            <w:proofErr w:type="spellStart"/>
            <w:r w:rsidRPr="00FF7E14">
              <w:rPr>
                <w:lang w:val="es-ES" w:eastAsia="es-ES_tradnl"/>
              </w:rPr>
              <w:t>Source</w:t>
            </w:r>
            <w:proofErr w:type="spellEnd"/>
          </w:p>
        </w:tc>
      </w:tr>
      <w:tr w:rsidR="00A2595A" w:rsidRPr="00FF7E14" w:rsidTr="00F56688">
        <w:trPr>
          <w:trHeight w:val="20"/>
          <w:jc w:val="center"/>
        </w:trPr>
        <w:tc>
          <w:tcPr>
            <w:tcW w:w="0" w:type="auto"/>
            <w:tcBorders>
              <w:top w:val="single" w:sz="4" w:space="0" w:color="auto"/>
            </w:tcBorders>
            <w:tcMar>
              <w:top w:w="40" w:type="dxa"/>
              <w:left w:w="40" w:type="dxa"/>
              <w:bottom w:w="40" w:type="dxa"/>
              <w:right w:w="40" w:type="dxa"/>
            </w:tcMar>
            <w:vAlign w:val="center"/>
            <w:hideMark/>
          </w:tcPr>
          <w:p w:rsidR="00A2595A" w:rsidRPr="00A36473" w:rsidRDefault="00A2595A" w:rsidP="00F56688">
            <w:pPr>
              <w:spacing w:line="360" w:lineRule="auto"/>
              <w:rPr>
                <w:lang w:val="es-ES" w:eastAsia="es-ES_tradnl"/>
              </w:rPr>
            </w:pPr>
            <w:proofErr w:type="spellStart"/>
            <w:r w:rsidRPr="00A36473">
              <w:rPr>
                <w:color w:val="000000"/>
                <w:lang w:val="es-ES" w:eastAsia="es-ES_tradnl"/>
              </w:rPr>
              <w:t>Perceived</w:t>
            </w:r>
            <w:proofErr w:type="spellEnd"/>
            <w:r w:rsidRPr="00A36473">
              <w:rPr>
                <w:color w:val="000000"/>
                <w:lang w:val="es-ES" w:eastAsia="es-ES_tradnl"/>
              </w:rPr>
              <w:t xml:space="preserve"> </w:t>
            </w:r>
            <w:proofErr w:type="spellStart"/>
            <w:r w:rsidRPr="00A36473">
              <w:rPr>
                <w:color w:val="000000"/>
                <w:lang w:val="es-ES" w:eastAsia="es-ES_tradnl"/>
              </w:rPr>
              <w:t>Usefulness</w:t>
            </w:r>
            <w:proofErr w:type="spellEnd"/>
            <w:r w:rsidRPr="00A36473">
              <w:rPr>
                <w:color w:val="000000"/>
                <w:lang w:val="es-ES" w:eastAsia="es-ES_tradnl"/>
              </w:rPr>
              <w:t xml:space="preserve"> (PU)</w:t>
            </w:r>
          </w:p>
        </w:tc>
        <w:tc>
          <w:tcPr>
            <w:tcW w:w="1241" w:type="dxa"/>
            <w:tcBorders>
              <w:top w:val="single" w:sz="4" w:space="0" w:color="auto"/>
            </w:tcBorders>
            <w:tcMar>
              <w:top w:w="40" w:type="dxa"/>
              <w:left w:w="40" w:type="dxa"/>
              <w:bottom w:w="40" w:type="dxa"/>
              <w:right w:w="40" w:type="dxa"/>
            </w:tcMar>
            <w:vAlign w:val="center"/>
            <w:hideMark/>
          </w:tcPr>
          <w:p w:rsidR="00A2595A" w:rsidRPr="00A36473" w:rsidRDefault="00A2595A" w:rsidP="00F56688">
            <w:pPr>
              <w:spacing w:line="360" w:lineRule="auto"/>
              <w:rPr>
                <w:color w:val="000000"/>
                <w:lang w:val="es-ES" w:eastAsia="es-ES_tradnl"/>
              </w:rPr>
            </w:pPr>
            <w:r w:rsidRPr="00A36473">
              <w:rPr>
                <w:color w:val="000000"/>
                <w:lang w:val="es-ES" w:eastAsia="es-ES_tradnl"/>
              </w:rPr>
              <w:t xml:space="preserve">4 </w:t>
            </w:r>
            <w:proofErr w:type="spellStart"/>
            <w:r w:rsidRPr="00A36473">
              <w:rPr>
                <w:color w:val="000000"/>
                <w:lang w:val="es-ES" w:eastAsia="es-ES_tradnl"/>
              </w:rPr>
              <w:t>items</w:t>
            </w:r>
            <w:proofErr w:type="spellEnd"/>
          </w:p>
        </w:tc>
        <w:tc>
          <w:tcPr>
            <w:tcW w:w="1725" w:type="dxa"/>
            <w:tcBorders>
              <w:top w:val="single" w:sz="4" w:space="0" w:color="auto"/>
            </w:tcBorders>
            <w:tcMar>
              <w:top w:w="40" w:type="dxa"/>
              <w:left w:w="40" w:type="dxa"/>
              <w:bottom w:w="40" w:type="dxa"/>
              <w:right w:w="40" w:type="dxa"/>
            </w:tcMar>
            <w:vAlign w:val="center"/>
            <w:hideMark/>
          </w:tcPr>
          <w:p w:rsidR="00A2595A" w:rsidRPr="00A2595A" w:rsidRDefault="00A2595A" w:rsidP="00F56688">
            <w:pPr>
              <w:spacing w:line="360" w:lineRule="auto"/>
              <w:rPr>
                <w:color w:val="000000"/>
                <w:lang w:val="en-US" w:eastAsia="es-ES_tradnl"/>
              </w:rPr>
            </w:pPr>
            <w:r w:rsidRPr="00A36473">
              <w:rPr>
                <w:color w:val="000000"/>
                <w:lang w:val="en-US" w:eastAsia="es-ES_tradnl"/>
              </w:rPr>
              <w:t>Adapted from:</w:t>
            </w:r>
          </w:p>
          <w:p w:rsidR="00A2595A" w:rsidRPr="00A2595A" w:rsidRDefault="00A2595A" w:rsidP="00F56688">
            <w:pPr>
              <w:spacing w:line="360" w:lineRule="auto"/>
              <w:rPr>
                <w:color w:val="000000"/>
                <w:lang w:val="en-US" w:eastAsia="es-ES_tradnl"/>
              </w:rPr>
            </w:pPr>
            <w:r w:rsidRPr="00A2595A">
              <w:rPr>
                <w:color w:val="000000"/>
                <w:lang w:val="en-US" w:eastAsia="es-ES_tradnl"/>
              </w:rPr>
              <w:t>Davis (1989)</w:t>
            </w:r>
          </w:p>
          <w:p w:rsidR="00A2595A" w:rsidRPr="00A36473" w:rsidRDefault="00A2595A" w:rsidP="00F56688">
            <w:pPr>
              <w:spacing w:line="360" w:lineRule="auto"/>
              <w:rPr>
                <w:color w:val="000000"/>
                <w:lang w:val="es-ES" w:eastAsia="es-ES_tradnl"/>
              </w:rPr>
            </w:pPr>
            <w:proofErr w:type="spellStart"/>
            <w:r w:rsidRPr="00A2595A">
              <w:rPr>
                <w:color w:val="000000"/>
                <w:lang w:val="en-US" w:eastAsia="es-ES_tradnl"/>
              </w:rPr>
              <w:t>Bär</w:t>
            </w:r>
            <w:proofErr w:type="spellEnd"/>
            <w:r w:rsidRPr="00A2595A">
              <w:rPr>
                <w:color w:val="000000"/>
                <w:lang w:val="en-US" w:eastAsia="es-ES_tradnl"/>
              </w:rPr>
              <w:t xml:space="preserve"> et al. </w:t>
            </w:r>
            <w:r w:rsidRPr="00FF7E14">
              <w:rPr>
                <w:color w:val="000000"/>
                <w:lang w:val="es-ES" w:eastAsia="es-ES_tradnl"/>
              </w:rPr>
              <w:t>(2025)</w:t>
            </w:r>
          </w:p>
          <w:p w:rsidR="00A2595A" w:rsidRPr="00A36473" w:rsidRDefault="00A2595A" w:rsidP="00F56688">
            <w:pPr>
              <w:spacing w:after="240" w:line="360" w:lineRule="auto"/>
              <w:rPr>
                <w:color w:val="000000"/>
                <w:lang w:val="es-ES" w:eastAsia="es-ES_tradnl"/>
              </w:rPr>
            </w:pPr>
          </w:p>
        </w:tc>
      </w:tr>
      <w:tr w:rsidR="00A2595A" w:rsidRPr="00FF7E14" w:rsidTr="00F56688">
        <w:trPr>
          <w:trHeight w:val="20"/>
          <w:jc w:val="center"/>
        </w:trPr>
        <w:tc>
          <w:tcPr>
            <w:tcW w:w="0" w:type="auto"/>
            <w:tcMar>
              <w:top w:w="40" w:type="dxa"/>
              <w:left w:w="40" w:type="dxa"/>
              <w:bottom w:w="40" w:type="dxa"/>
              <w:right w:w="40" w:type="dxa"/>
            </w:tcMar>
            <w:vAlign w:val="center"/>
            <w:hideMark/>
          </w:tcPr>
          <w:p w:rsidR="00A2595A" w:rsidRPr="00A36473" w:rsidRDefault="00A2595A" w:rsidP="00F56688">
            <w:pPr>
              <w:spacing w:line="360" w:lineRule="auto"/>
              <w:rPr>
                <w:lang w:val="es-ES" w:eastAsia="es-ES_tradnl"/>
              </w:rPr>
            </w:pPr>
            <w:proofErr w:type="spellStart"/>
            <w:r w:rsidRPr="00A36473">
              <w:rPr>
                <w:color w:val="000000"/>
                <w:lang w:val="es-ES" w:eastAsia="es-ES_tradnl"/>
              </w:rPr>
              <w:t>Personalization</w:t>
            </w:r>
            <w:proofErr w:type="spellEnd"/>
            <w:r w:rsidRPr="00A36473">
              <w:rPr>
                <w:color w:val="000000"/>
                <w:lang w:val="es-ES" w:eastAsia="es-ES_tradnl"/>
              </w:rPr>
              <w:t xml:space="preserve"> (PERS)</w:t>
            </w:r>
          </w:p>
        </w:tc>
        <w:tc>
          <w:tcPr>
            <w:tcW w:w="1241" w:type="dxa"/>
            <w:tcMar>
              <w:top w:w="40" w:type="dxa"/>
              <w:left w:w="40" w:type="dxa"/>
              <w:bottom w:w="40" w:type="dxa"/>
              <w:right w:w="40" w:type="dxa"/>
            </w:tcMar>
            <w:vAlign w:val="center"/>
            <w:hideMark/>
          </w:tcPr>
          <w:p w:rsidR="00A2595A" w:rsidRPr="00A36473" w:rsidRDefault="00A2595A" w:rsidP="00F56688">
            <w:pPr>
              <w:spacing w:line="360" w:lineRule="auto"/>
              <w:rPr>
                <w:lang w:val="es-ES" w:eastAsia="es-ES_tradnl"/>
              </w:rPr>
            </w:pPr>
            <w:r w:rsidRPr="00A36473">
              <w:rPr>
                <w:color w:val="000000"/>
                <w:lang w:val="es-ES" w:eastAsia="es-ES_tradnl"/>
              </w:rPr>
              <w:t xml:space="preserve">4 </w:t>
            </w:r>
            <w:proofErr w:type="spellStart"/>
            <w:r w:rsidRPr="00A36473">
              <w:rPr>
                <w:color w:val="000000"/>
                <w:lang w:val="es-ES" w:eastAsia="es-ES_tradnl"/>
              </w:rPr>
              <w:t>items</w:t>
            </w:r>
            <w:proofErr w:type="spellEnd"/>
          </w:p>
        </w:tc>
        <w:tc>
          <w:tcPr>
            <w:tcW w:w="1725" w:type="dxa"/>
            <w:tcMar>
              <w:top w:w="40" w:type="dxa"/>
              <w:left w:w="40" w:type="dxa"/>
              <w:bottom w:w="40" w:type="dxa"/>
              <w:right w:w="40" w:type="dxa"/>
            </w:tcMar>
            <w:vAlign w:val="center"/>
            <w:hideMark/>
          </w:tcPr>
          <w:p w:rsidR="00A2595A" w:rsidRPr="00A2595A" w:rsidRDefault="00A2595A" w:rsidP="00F56688">
            <w:pPr>
              <w:spacing w:line="360" w:lineRule="auto"/>
              <w:rPr>
                <w:color w:val="000000"/>
                <w:lang w:val="en-US" w:eastAsia="es-ES_tradnl"/>
              </w:rPr>
            </w:pPr>
            <w:r w:rsidRPr="00A36473">
              <w:rPr>
                <w:color w:val="000000"/>
                <w:lang w:val="en-US" w:eastAsia="es-ES_tradnl"/>
              </w:rPr>
              <w:t>Adapted from:</w:t>
            </w:r>
          </w:p>
          <w:p w:rsidR="00A2595A" w:rsidRPr="00FF7E14" w:rsidRDefault="00A2595A" w:rsidP="00F56688">
            <w:pPr>
              <w:spacing w:line="360" w:lineRule="auto"/>
              <w:rPr>
                <w:color w:val="000000"/>
                <w:lang w:val="es-ES" w:eastAsia="es-ES_tradnl"/>
              </w:rPr>
            </w:pPr>
            <w:r w:rsidRPr="00A2595A">
              <w:rPr>
                <w:color w:val="000000"/>
                <w:lang w:val="en-US" w:eastAsia="es-ES_tradnl"/>
              </w:rPr>
              <w:t xml:space="preserve">Koo et al. </w:t>
            </w:r>
            <w:r w:rsidRPr="00FF7E14">
              <w:rPr>
                <w:color w:val="000000"/>
                <w:lang w:val="es-ES" w:eastAsia="es-ES_tradnl"/>
              </w:rPr>
              <w:t>(2025)</w:t>
            </w:r>
          </w:p>
          <w:p w:rsidR="00A2595A" w:rsidRPr="00FF7E14" w:rsidRDefault="00A2595A" w:rsidP="00F56688">
            <w:pPr>
              <w:spacing w:line="360" w:lineRule="auto"/>
              <w:rPr>
                <w:color w:val="000000"/>
                <w:lang w:val="es-ES" w:eastAsia="es-ES_tradnl"/>
              </w:rPr>
            </w:pPr>
            <w:proofErr w:type="spellStart"/>
            <w:r w:rsidRPr="00FF7E14">
              <w:rPr>
                <w:color w:val="000000"/>
                <w:lang w:val="es-ES" w:eastAsia="es-ES_tradnl"/>
              </w:rPr>
              <w:t>Jeong</w:t>
            </w:r>
            <w:proofErr w:type="spellEnd"/>
            <w:r w:rsidRPr="00FF7E14">
              <w:rPr>
                <w:color w:val="000000"/>
                <w:lang w:val="es-ES" w:eastAsia="es-ES_tradnl"/>
              </w:rPr>
              <w:t xml:space="preserve"> &amp; </w:t>
            </w:r>
            <w:proofErr w:type="spellStart"/>
            <w:r w:rsidRPr="00FF7E14">
              <w:rPr>
                <w:color w:val="000000"/>
                <w:lang w:val="es-ES" w:eastAsia="es-ES_tradnl"/>
              </w:rPr>
              <w:t>Shin</w:t>
            </w:r>
            <w:proofErr w:type="spellEnd"/>
            <w:r w:rsidRPr="00FF7E14">
              <w:rPr>
                <w:color w:val="000000"/>
                <w:lang w:val="es-ES" w:eastAsia="es-ES_tradnl"/>
              </w:rPr>
              <w:t xml:space="preserve"> (2020)</w:t>
            </w:r>
          </w:p>
          <w:p w:rsidR="00A2595A" w:rsidRPr="00A36473" w:rsidRDefault="00A2595A" w:rsidP="00F56688">
            <w:pPr>
              <w:spacing w:line="360" w:lineRule="auto"/>
              <w:rPr>
                <w:color w:val="000000"/>
                <w:lang w:val="es-ES" w:eastAsia="es-ES_tradnl"/>
              </w:rPr>
            </w:pPr>
          </w:p>
        </w:tc>
      </w:tr>
      <w:tr w:rsidR="00A2595A" w:rsidRPr="00FF7E14" w:rsidTr="00F56688">
        <w:trPr>
          <w:trHeight w:val="20"/>
          <w:jc w:val="center"/>
        </w:trPr>
        <w:tc>
          <w:tcPr>
            <w:tcW w:w="0" w:type="auto"/>
            <w:tcMar>
              <w:top w:w="40" w:type="dxa"/>
              <w:left w:w="40" w:type="dxa"/>
              <w:bottom w:w="40" w:type="dxa"/>
              <w:right w:w="40" w:type="dxa"/>
            </w:tcMar>
            <w:vAlign w:val="center"/>
            <w:hideMark/>
          </w:tcPr>
          <w:p w:rsidR="00A2595A" w:rsidRPr="00A36473" w:rsidRDefault="00A2595A" w:rsidP="00F56688">
            <w:pPr>
              <w:spacing w:line="360" w:lineRule="auto"/>
              <w:rPr>
                <w:lang w:val="es-ES" w:eastAsia="es-ES_tradnl"/>
              </w:rPr>
            </w:pPr>
            <w:proofErr w:type="spellStart"/>
            <w:r w:rsidRPr="00A36473">
              <w:rPr>
                <w:color w:val="000000"/>
                <w:lang w:val="es-ES" w:eastAsia="es-ES_tradnl"/>
              </w:rPr>
              <w:t>Immersion</w:t>
            </w:r>
            <w:proofErr w:type="spellEnd"/>
            <w:r w:rsidRPr="00A36473">
              <w:rPr>
                <w:color w:val="000000"/>
                <w:lang w:val="es-ES" w:eastAsia="es-ES_tradnl"/>
              </w:rPr>
              <w:t xml:space="preserve"> (INM)</w:t>
            </w:r>
          </w:p>
        </w:tc>
        <w:tc>
          <w:tcPr>
            <w:tcW w:w="1241" w:type="dxa"/>
            <w:tcMar>
              <w:top w:w="40" w:type="dxa"/>
              <w:left w:w="40" w:type="dxa"/>
              <w:bottom w:w="40" w:type="dxa"/>
              <w:right w:w="40" w:type="dxa"/>
            </w:tcMar>
            <w:vAlign w:val="center"/>
            <w:hideMark/>
          </w:tcPr>
          <w:p w:rsidR="00A2595A" w:rsidRPr="00A36473" w:rsidRDefault="00A2595A" w:rsidP="00F56688">
            <w:pPr>
              <w:spacing w:line="360" w:lineRule="auto"/>
              <w:rPr>
                <w:lang w:val="es-ES" w:eastAsia="es-ES_tradnl"/>
              </w:rPr>
            </w:pPr>
            <w:r w:rsidRPr="00A36473">
              <w:rPr>
                <w:color w:val="000000"/>
                <w:lang w:val="es-ES" w:eastAsia="es-ES_tradnl"/>
              </w:rPr>
              <w:t xml:space="preserve">3 </w:t>
            </w:r>
            <w:proofErr w:type="spellStart"/>
            <w:r w:rsidRPr="00A36473">
              <w:rPr>
                <w:color w:val="000000"/>
                <w:lang w:val="es-ES" w:eastAsia="es-ES_tradnl"/>
              </w:rPr>
              <w:t>items</w:t>
            </w:r>
            <w:proofErr w:type="spellEnd"/>
          </w:p>
        </w:tc>
        <w:tc>
          <w:tcPr>
            <w:tcW w:w="1725" w:type="dxa"/>
            <w:tcMar>
              <w:top w:w="40" w:type="dxa"/>
              <w:left w:w="40" w:type="dxa"/>
              <w:bottom w:w="40" w:type="dxa"/>
              <w:right w:w="40" w:type="dxa"/>
            </w:tcMar>
            <w:vAlign w:val="center"/>
            <w:hideMark/>
          </w:tcPr>
          <w:p w:rsidR="00A2595A" w:rsidRPr="00FF7E14" w:rsidRDefault="00A2595A" w:rsidP="00F56688">
            <w:pPr>
              <w:spacing w:line="360" w:lineRule="auto"/>
              <w:rPr>
                <w:color w:val="000000"/>
                <w:lang w:eastAsia="es-ES_tradnl"/>
              </w:rPr>
            </w:pPr>
            <w:r w:rsidRPr="00A36473">
              <w:rPr>
                <w:color w:val="000000"/>
                <w:lang w:val="en-US" w:eastAsia="es-ES_tradnl"/>
              </w:rPr>
              <w:t>Adapted from:</w:t>
            </w:r>
            <w:r w:rsidRPr="00FF7E14">
              <w:rPr>
                <w:color w:val="000000"/>
                <w:lang w:val="en-US" w:eastAsia="es-ES_tradnl"/>
              </w:rPr>
              <w:t xml:space="preserve"> </w:t>
            </w:r>
          </w:p>
          <w:p w:rsidR="00A2595A" w:rsidRPr="00A36473" w:rsidRDefault="00A2595A" w:rsidP="00F56688">
            <w:pPr>
              <w:spacing w:line="360" w:lineRule="auto"/>
              <w:rPr>
                <w:color w:val="000000"/>
                <w:lang w:val="en-US" w:eastAsia="es-ES_tradnl"/>
              </w:rPr>
            </w:pPr>
            <w:r w:rsidRPr="00FF7E14">
              <w:rPr>
                <w:color w:val="000000"/>
                <w:lang w:eastAsia="es-ES_tradnl"/>
              </w:rPr>
              <w:t>Chen et al. (2025)</w:t>
            </w:r>
          </w:p>
          <w:p w:rsidR="00A2595A" w:rsidRPr="00A36473" w:rsidRDefault="00A2595A" w:rsidP="00F56688">
            <w:pPr>
              <w:spacing w:line="360" w:lineRule="auto"/>
              <w:rPr>
                <w:color w:val="000000"/>
                <w:lang w:val="en-US" w:eastAsia="es-ES_tradnl"/>
              </w:rPr>
            </w:pPr>
          </w:p>
        </w:tc>
      </w:tr>
      <w:tr w:rsidR="00A2595A" w:rsidRPr="00FF7E14" w:rsidTr="00F56688">
        <w:trPr>
          <w:trHeight w:val="20"/>
          <w:jc w:val="center"/>
        </w:trPr>
        <w:tc>
          <w:tcPr>
            <w:tcW w:w="0" w:type="auto"/>
            <w:tcMar>
              <w:top w:w="40" w:type="dxa"/>
              <w:left w:w="40" w:type="dxa"/>
              <w:bottom w:w="40" w:type="dxa"/>
              <w:right w:w="40" w:type="dxa"/>
            </w:tcMar>
            <w:vAlign w:val="center"/>
          </w:tcPr>
          <w:p w:rsidR="00A2595A" w:rsidRPr="00FF7E14" w:rsidRDefault="00A2595A" w:rsidP="00F56688">
            <w:pPr>
              <w:spacing w:line="360" w:lineRule="auto"/>
              <w:rPr>
                <w:color w:val="000000"/>
                <w:lang w:val="es-ES" w:eastAsia="es-ES_tradnl"/>
              </w:rPr>
            </w:pPr>
            <w:r w:rsidRPr="00FF7E14">
              <w:rPr>
                <w:color w:val="000000"/>
                <w:lang w:val="es-ES" w:eastAsia="es-ES_tradnl"/>
              </w:rPr>
              <w:lastRenderedPageBreak/>
              <w:t>Trust (CONF)</w:t>
            </w:r>
          </w:p>
        </w:tc>
        <w:tc>
          <w:tcPr>
            <w:tcW w:w="1241" w:type="dxa"/>
            <w:tcMar>
              <w:top w:w="40" w:type="dxa"/>
              <w:left w:w="40" w:type="dxa"/>
              <w:bottom w:w="40" w:type="dxa"/>
              <w:right w:w="40" w:type="dxa"/>
            </w:tcMar>
            <w:vAlign w:val="center"/>
          </w:tcPr>
          <w:p w:rsidR="00A2595A" w:rsidRPr="00FF7E14" w:rsidRDefault="00A2595A" w:rsidP="00F56688">
            <w:pPr>
              <w:spacing w:line="360" w:lineRule="auto"/>
              <w:rPr>
                <w:color w:val="000000"/>
                <w:lang w:val="es-ES" w:eastAsia="es-ES_tradnl"/>
              </w:rPr>
            </w:pPr>
            <w:r w:rsidRPr="00FF7E14">
              <w:rPr>
                <w:color w:val="000000"/>
                <w:lang w:val="es-ES" w:eastAsia="es-ES_tradnl"/>
              </w:rPr>
              <w:t xml:space="preserve">3 </w:t>
            </w:r>
            <w:proofErr w:type="spellStart"/>
            <w:r w:rsidRPr="00FF7E14">
              <w:rPr>
                <w:color w:val="000000"/>
                <w:lang w:val="es-ES" w:eastAsia="es-ES_tradnl"/>
              </w:rPr>
              <w:t>items</w:t>
            </w:r>
            <w:proofErr w:type="spellEnd"/>
          </w:p>
        </w:tc>
        <w:tc>
          <w:tcPr>
            <w:tcW w:w="1725" w:type="dxa"/>
            <w:tcMar>
              <w:top w:w="40" w:type="dxa"/>
              <w:left w:w="40" w:type="dxa"/>
              <w:bottom w:w="40" w:type="dxa"/>
              <w:right w:w="40" w:type="dxa"/>
            </w:tcMar>
            <w:vAlign w:val="center"/>
          </w:tcPr>
          <w:p w:rsidR="00A2595A" w:rsidRPr="00FF7E14" w:rsidRDefault="00A2595A" w:rsidP="00F56688">
            <w:pPr>
              <w:spacing w:line="360" w:lineRule="auto"/>
              <w:rPr>
                <w:color w:val="000000"/>
                <w:lang w:eastAsia="es-ES_tradnl"/>
              </w:rPr>
            </w:pPr>
            <w:r w:rsidRPr="00FF7E14">
              <w:rPr>
                <w:color w:val="000000"/>
                <w:lang w:eastAsia="es-ES_tradnl"/>
              </w:rPr>
              <w:t>Adapted from:</w:t>
            </w:r>
          </w:p>
          <w:p w:rsidR="00A2595A" w:rsidRPr="00FF7E14" w:rsidRDefault="00A2595A" w:rsidP="00F56688">
            <w:pPr>
              <w:spacing w:line="360" w:lineRule="auto"/>
              <w:rPr>
                <w:color w:val="000000"/>
                <w:lang w:eastAsia="es-ES_tradnl"/>
              </w:rPr>
            </w:pPr>
            <w:r w:rsidRPr="00FF7E14">
              <w:rPr>
                <w:color w:val="000000"/>
                <w:lang w:eastAsia="es-ES_tradnl"/>
              </w:rPr>
              <w:t>Gefen et al. (2003)</w:t>
            </w:r>
          </w:p>
        </w:tc>
      </w:tr>
      <w:tr w:rsidR="00A2595A" w:rsidRPr="00FF7E14" w:rsidTr="00F56688">
        <w:trPr>
          <w:trHeight w:val="20"/>
          <w:jc w:val="center"/>
        </w:trPr>
        <w:tc>
          <w:tcPr>
            <w:tcW w:w="0" w:type="auto"/>
            <w:tcMar>
              <w:top w:w="40" w:type="dxa"/>
              <w:left w:w="40" w:type="dxa"/>
              <w:bottom w:w="40" w:type="dxa"/>
              <w:right w:w="40" w:type="dxa"/>
            </w:tcMar>
            <w:vAlign w:val="center"/>
            <w:hideMark/>
          </w:tcPr>
          <w:p w:rsidR="00A2595A" w:rsidRPr="00A36473" w:rsidRDefault="00A2595A" w:rsidP="00F56688">
            <w:pPr>
              <w:spacing w:line="360" w:lineRule="auto"/>
              <w:rPr>
                <w:color w:val="000000"/>
                <w:lang w:val="en-US" w:eastAsia="es-ES_tradnl"/>
              </w:rPr>
            </w:pPr>
            <w:r w:rsidRPr="00A36473">
              <w:rPr>
                <w:color w:val="000000"/>
                <w:lang w:val="en-US" w:eastAsia="es-ES_tradnl"/>
              </w:rPr>
              <w:t>Privacy Concerns (PRIVC)</w:t>
            </w:r>
          </w:p>
        </w:tc>
        <w:tc>
          <w:tcPr>
            <w:tcW w:w="1241" w:type="dxa"/>
            <w:tcMar>
              <w:top w:w="40" w:type="dxa"/>
              <w:left w:w="40" w:type="dxa"/>
              <w:bottom w:w="40" w:type="dxa"/>
              <w:right w:w="40" w:type="dxa"/>
            </w:tcMar>
            <w:vAlign w:val="center"/>
            <w:hideMark/>
          </w:tcPr>
          <w:p w:rsidR="00A2595A" w:rsidRPr="00A36473" w:rsidRDefault="00A2595A" w:rsidP="00F56688">
            <w:pPr>
              <w:spacing w:line="360" w:lineRule="auto"/>
              <w:rPr>
                <w:color w:val="000000"/>
                <w:lang w:val="en-US" w:eastAsia="es-ES_tradnl"/>
              </w:rPr>
            </w:pPr>
            <w:r w:rsidRPr="00A36473">
              <w:rPr>
                <w:color w:val="000000"/>
                <w:lang w:val="en-US" w:eastAsia="es-ES_tradnl"/>
              </w:rPr>
              <w:t>3 items</w:t>
            </w:r>
          </w:p>
        </w:tc>
        <w:tc>
          <w:tcPr>
            <w:tcW w:w="1725" w:type="dxa"/>
            <w:tcMar>
              <w:top w:w="40" w:type="dxa"/>
              <w:left w:w="40" w:type="dxa"/>
              <w:bottom w:w="40" w:type="dxa"/>
              <w:right w:w="40" w:type="dxa"/>
            </w:tcMar>
            <w:vAlign w:val="center"/>
            <w:hideMark/>
          </w:tcPr>
          <w:p w:rsidR="00A2595A" w:rsidRPr="00A36473" w:rsidRDefault="00A2595A" w:rsidP="00F56688">
            <w:pPr>
              <w:spacing w:line="360" w:lineRule="auto"/>
              <w:rPr>
                <w:color w:val="000000"/>
                <w:lang w:val="en-US" w:eastAsia="es-ES_tradnl"/>
              </w:rPr>
            </w:pPr>
            <w:r w:rsidRPr="00A36473">
              <w:rPr>
                <w:color w:val="000000"/>
                <w:lang w:val="en-US" w:eastAsia="es-ES_tradnl"/>
              </w:rPr>
              <w:t>Adapted from:</w:t>
            </w:r>
          </w:p>
          <w:p w:rsidR="00A2595A" w:rsidRPr="00A36473" w:rsidRDefault="00A2595A" w:rsidP="00F56688">
            <w:pPr>
              <w:spacing w:line="360" w:lineRule="auto"/>
              <w:rPr>
                <w:color w:val="000000"/>
                <w:lang w:val="en-US" w:eastAsia="es-ES_tradnl"/>
              </w:rPr>
            </w:pPr>
            <w:r w:rsidRPr="00FF7E14">
              <w:rPr>
                <w:color w:val="000000"/>
                <w:lang w:eastAsia="es-ES_tradnl"/>
              </w:rPr>
              <w:t>Malhotra et al. (2004)</w:t>
            </w:r>
          </w:p>
          <w:p w:rsidR="00A2595A" w:rsidRPr="00A36473" w:rsidRDefault="00A2595A" w:rsidP="00F56688">
            <w:pPr>
              <w:spacing w:line="360" w:lineRule="auto"/>
              <w:rPr>
                <w:color w:val="000000"/>
                <w:lang w:val="en-US" w:eastAsia="es-ES_tradnl"/>
              </w:rPr>
            </w:pPr>
          </w:p>
        </w:tc>
      </w:tr>
      <w:tr w:rsidR="00A2595A" w:rsidRPr="00FF7E14" w:rsidTr="00F56688">
        <w:trPr>
          <w:trHeight w:val="20"/>
          <w:jc w:val="center"/>
        </w:trPr>
        <w:tc>
          <w:tcPr>
            <w:tcW w:w="0" w:type="auto"/>
            <w:tcMar>
              <w:top w:w="40" w:type="dxa"/>
              <w:left w:w="40" w:type="dxa"/>
              <w:bottom w:w="40" w:type="dxa"/>
              <w:right w:w="40" w:type="dxa"/>
            </w:tcMar>
            <w:vAlign w:val="center"/>
            <w:hideMark/>
          </w:tcPr>
          <w:p w:rsidR="00A2595A" w:rsidRPr="00A36473" w:rsidRDefault="00A2595A" w:rsidP="00F56688">
            <w:pPr>
              <w:spacing w:line="360" w:lineRule="auto"/>
              <w:rPr>
                <w:lang w:val="es-ES" w:eastAsia="es-ES_tradnl"/>
              </w:rPr>
            </w:pPr>
            <w:proofErr w:type="spellStart"/>
            <w:r w:rsidRPr="00A36473">
              <w:rPr>
                <w:color w:val="000000"/>
                <w:lang w:val="es-ES" w:eastAsia="es-ES_tradnl"/>
              </w:rPr>
              <w:t>Behavioral</w:t>
            </w:r>
            <w:proofErr w:type="spellEnd"/>
            <w:r w:rsidRPr="00A36473">
              <w:rPr>
                <w:color w:val="000000"/>
                <w:lang w:val="es-ES" w:eastAsia="es-ES_tradnl"/>
              </w:rPr>
              <w:t xml:space="preserve"> </w:t>
            </w:r>
            <w:proofErr w:type="spellStart"/>
            <w:r w:rsidRPr="00A36473">
              <w:rPr>
                <w:color w:val="000000"/>
                <w:lang w:val="es-ES" w:eastAsia="es-ES_tradnl"/>
              </w:rPr>
              <w:t>Loyalty</w:t>
            </w:r>
            <w:proofErr w:type="spellEnd"/>
            <w:r w:rsidRPr="00A36473">
              <w:rPr>
                <w:color w:val="000000"/>
                <w:lang w:val="es-ES" w:eastAsia="es-ES_tradnl"/>
              </w:rPr>
              <w:t xml:space="preserve"> </w:t>
            </w:r>
            <w:proofErr w:type="spellStart"/>
            <w:r w:rsidRPr="00A36473">
              <w:rPr>
                <w:color w:val="000000"/>
                <w:lang w:val="es-ES" w:eastAsia="es-ES_tradnl"/>
              </w:rPr>
              <w:t>Intention</w:t>
            </w:r>
            <w:proofErr w:type="spellEnd"/>
            <w:r w:rsidRPr="00A36473">
              <w:rPr>
                <w:color w:val="000000"/>
                <w:lang w:val="es-ES" w:eastAsia="es-ES_tradnl"/>
              </w:rPr>
              <w:t xml:space="preserve"> (LOY)</w:t>
            </w:r>
          </w:p>
        </w:tc>
        <w:tc>
          <w:tcPr>
            <w:tcW w:w="1241" w:type="dxa"/>
            <w:tcMar>
              <w:top w:w="40" w:type="dxa"/>
              <w:left w:w="40" w:type="dxa"/>
              <w:bottom w:w="40" w:type="dxa"/>
              <w:right w:w="40" w:type="dxa"/>
            </w:tcMar>
            <w:vAlign w:val="center"/>
            <w:hideMark/>
          </w:tcPr>
          <w:p w:rsidR="00A2595A" w:rsidRPr="00A36473" w:rsidRDefault="00A2595A" w:rsidP="00F56688">
            <w:pPr>
              <w:spacing w:line="360" w:lineRule="auto"/>
              <w:rPr>
                <w:lang w:val="es-ES" w:eastAsia="es-ES_tradnl"/>
              </w:rPr>
            </w:pPr>
            <w:r w:rsidRPr="00A36473">
              <w:rPr>
                <w:color w:val="000000"/>
                <w:lang w:val="es-ES" w:eastAsia="es-ES_tradnl"/>
              </w:rPr>
              <w:t xml:space="preserve">3 </w:t>
            </w:r>
            <w:proofErr w:type="spellStart"/>
            <w:r w:rsidRPr="00A36473">
              <w:rPr>
                <w:color w:val="000000"/>
                <w:lang w:val="es-ES" w:eastAsia="es-ES_tradnl"/>
              </w:rPr>
              <w:t>items</w:t>
            </w:r>
            <w:proofErr w:type="spellEnd"/>
          </w:p>
        </w:tc>
        <w:tc>
          <w:tcPr>
            <w:tcW w:w="1725" w:type="dxa"/>
            <w:tcMar>
              <w:top w:w="40" w:type="dxa"/>
              <w:left w:w="40" w:type="dxa"/>
              <w:bottom w:w="40" w:type="dxa"/>
              <w:right w:w="40" w:type="dxa"/>
            </w:tcMar>
            <w:vAlign w:val="center"/>
            <w:hideMark/>
          </w:tcPr>
          <w:p w:rsidR="00A2595A" w:rsidRPr="00A36473" w:rsidRDefault="00A2595A" w:rsidP="00F56688">
            <w:pPr>
              <w:spacing w:line="360" w:lineRule="auto"/>
              <w:rPr>
                <w:lang w:val="en-US" w:eastAsia="es-ES_tradnl"/>
              </w:rPr>
            </w:pPr>
            <w:r w:rsidRPr="00A36473">
              <w:rPr>
                <w:color w:val="000000"/>
                <w:lang w:val="en-US" w:eastAsia="es-ES_tradnl"/>
              </w:rPr>
              <w:t>Adapted from:</w:t>
            </w:r>
          </w:p>
          <w:p w:rsidR="00A2595A" w:rsidRPr="00FF7E14" w:rsidRDefault="00A2595A" w:rsidP="00F56688">
            <w:pPr>
              <w:spacing w:line="360" w:lineRule="auto"/>
              <w:rPr>
                <w:color w:val="000000"/>
                <w:lang w:val="es-ES" w:eastAsia="es-ES_tradnl"/>
              </w:rPr>
            </w:pPr>
            <w:r w:rsidRPr="00A2595A">
              <w:rPr>
                <w:color w:val="000000"/>
                <w:lang w:val="en-US" w:eastAsia="es-ES_tradnl"/>
              </w:rPr>
              <w:t xml:space="preserve">Lee et al. </w:t>
            </w:r>
            <w:r w:rsidRPr="00FF7E14">
              <w:rPr>
                <w:color w:val="000000"/>
                <w:lang w:val="es-ES" w:eastAsia="es-ES_tradnl"/>
              </w:rPr>
              <w:t>(2012)</w:t>
            </w:r>
          </w:p>
          <w:p w:rsidR="00A2595A" w:rsidRPr="00FF7E14" w:rsidRDefault="00A2595A" w:rsidP="00F56688">
            <w:pPr>
              <w:spacing w:line="360" w:lineRule="auto"/>
              <w:rPr>
                <w:color w:val="000000"/>
                <w:lang w:val="es-ES" w:eastAsia="es-ES_tradnl"/>
              </w:rPr>
            </w:pPr>
            <w:proofErr w:type="spellStart"/>
            <w:r w:rsidRPr="00FF7E14">
              <w:rPr>
                <w:color w:val="000000"/>
                <w:lang w:val="es-ES" w:eastAsia="es-ES_tradnl"/>
              </w:rPr>
              <w:t>Jeong</w:t>
            </w:r>
            <w:proofErr w:type="spellEnd"/>
            <w:r w:rsidRPr="00FF7E14">
              <w:rPr>
                <w:color w:val="000000"/>
                <w:lang w:val="es-ES" w:eastAsia="es-ES_tradnl"/>
              </w:rPr>
              <w:t xml:space="preserve"> &amp; </w:t>
            </w:r>
            <w:proofErr w:type="spellStart"/>
            <w:r w:rsidRPr="00FF7E14">
              <w:rPr>
                <w:color w:val="000000"/>
                <w:lang w:val="es-ES" w:eastAsia="es-ES_tradnl"/>
              </w:rPr>
              <w:t>Shin</w:t>
            </w:r>
            <w:proofErr w:type="spellEnd"/>
            <w:r w:rsidRPr="00FF7E14">
              <w:rPr>
                <w:color w:val="000000"/>
                <w:lang w:val="es-ES" w:eastAsia="es-ES_tradnl"/>
              </w:rPr>
              <w:t xml:space="preserve"> (2020)</w:t>
            </w:r>
          </w:p>
          <w:p w:rsidR="00A2595A" w:rsidRPr="00A36473" w:rsidRDefault="00A2595A" w:rsidP="00F56688">
            <w:pPr>
              <w:spacing w:line="360" w:lineRule="auto"/>
              <w:rPr>
                <w:lang w:val="es-ES" w:eastAsia="es-ES_tradnl"/>
              </w:rPr>
            </w:pPr>
          </w:p>
          <w:p w:rsidR="00A2595A" w:rsidRPr="00A36473" w:rsidRDefault="00A2595A" w:rsidP="00F56688">
            <w:pPr>
              <w:spacing w:after="240" w:line="360" w:lineRule="auto"/>
              <w:rPr>
                <w:lang w:val="es-ES" w:eastAsia="es-ES_tradnl"/>
              </w:rPr>
            </w:pPr>
          </w:p>
        </w:tc>
      </w:tr>
    </w:tbl>
    <w:p w:rsidR="005B7A4F" w:rsidRDefault="005B7A4F" w:rsidP="005B7A4F">
      <w:pPr>
        <w:pStyle w:val="Paragraph"/>
      </w:pPr>
    </w:p>
    <w:p w:rsidR="00A2595A" w:rsidRDefault="00A2595A" w:rsidP="00A2595A">
      <w:pPr>
        <w:pStyle w:val="Newparagraph"/>
      </w:pPr>
    </w:p>
    <w:p w:rsidR="00A2595A" w:rsidRDefault="00A2595A" w:rsidP="00A2595A">
      <w:pPr>
        <w:pStyle w:val="Newparagraph"/>
      </w:pPr>
    </w:p>
    <w:p w:rsidR="00A2595A" w:rsidRDefault="00A2595A" w:rsidP="00A2595A">
      <w:pPr>
        <w:pStyle w:val="Newparagraph"/>
      </w:pPr>
    </w:p>
    <w:p w:rsidR="00A2595A" w:rsidRDefault="00A2595A" w:rsidP="00A2595A">
      <w:pPr>
        <w:pStyle w:val="Newparagraph"/>
      </w:pPr>
    </w:p>
    <w:p w:rsidR="00A2595A" w:rsidRDefault="00A2595A" w:rsidP="00A2595A">
      <w:pPr>
        <w:pStyle w:val="Newparagraph"/>
        <w:sectPr w:rsidR="00A2595A" w:rsidSect="00074B81">
          <w:headerReference w:type="even" r:id="rId51"/>
          <w:headerReference w:type="default" r:id="rId52"/>
          <w:footerReference w:type="even" r:id="rId53"/>
          <w:footerReference w:type="default" r:id="rId54"/>
          <w:headerReference w:type="first" r:id="rId55"/>
          <w:footerReference w:type="first" r:id="rId56"/>
          <w:pgSz w:w="11901" w:h="16840" w:code="9"/>
          <w:pgMar w:top="1418" w:right="1701" w:bottom="1418" w:left="1701" w:header="709" w:footer="709" w:gutter="0"/>
          <w:cols w:space="708"/>
          <w:docGrid w:linePitch="360"/>
        </w:sectPr>
      </w:pPr>
    </w:p>
    <w:p w:rsidR="00A2595A" w:rsidRPr="00A2595A" w:rsidRDefault="00A2595A" w:rsidP="00A2595A">
      <w:pPr>
        <w:pStyle w:val="Tabletitle"/>
        <w:rPr>
          <w:lang w:val="en-US"/>
        </w:rPr>
      </w:pPr>
      <w:r w:rsidRPr="00B21885">
        <w:rPr>
          <w:lang w:val="en-US"/>
        </w:rPr>
        <w:lastRenderedPageBreak/>
        <w:t>Appendix Table A2</w:t>
      </w:r>
      <w:r>
        <w:rPr>
          <w:lang w:val="en-US"/>
        </w:rPr>
        <w:t xml:space="preserve">. </w:t>
      </w:r>
      <w:r w:rsidRPr="00B21885">
        <w:rPr>
          <w:lang w:val="en-US"/>
        </w:rPr>
        <w:t xml:space="preserve">Descriptive statistics and standardized loadings </w:t>
      </w:r>
    </w:p>
    <w:tbl>
      <w:tblPr>
        <w:tblStyle w:val="Tablaconcuadrcula"/>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24"/>
        <w:gridCol w:w="803"/>
        <w:gridCol w:w="756"/>
        <w:gridCol w:w="1116"/>
        <w:gridCol w:w="756"/>
        <w:gridCol w:w="920"/>
      </w:tblGrid>
      <w:tr w:rsidR="00A2595A" w:rsidRPr="00F77ADD" w:rsidTr="00F56688">
        <w:trPr>
          <w:trHeight w:val="20"/>
        </w:trPr>
        <w:tc>
          <w:tcPr>
            <w:tcW w:w="0" w:type="auto"/>
            <w:tcBorders>
              <w:bottom w:val="single" w:sz="4" w:space="0" w:color="auto"/>
            </w:tcBorders>
            <w:hideMark/>
          </w:tcPr>
          <w:p w:rsidR="00A2595A" w:rsidRPr="00F77ADD" w:rsidRDefault="00A2595A" w:rsidP="00F56688">
            <w:pPr>
              <w:rPr>
                <w:rFonts w:ascii="Times New Roman" w:eastAsia="Times New Roman" w:hAnsi="Times New Roman" w:cs="Times New Roman"/>
                <w:b/>
                <w:bCs/>
                <w:lang w:val="es-ES" w:eastAsia="es-ES_tradnl"/>
              </w:rPr>
            </w:pPr>
            <w:proofErr w:type="spellStart"/>
            <w:r w:rsidRPr="00F77ADD">
              <w:rPr>
                <w:rFonts w:ascii="Times New Roman" w:eastAsia="Times New Roman" w:hAnsi="Times New Roman" w:cs="Times New Roman"/>
                <w:b/>
                <w:bCs/>
                <w:lang w:val="es-ES" w:eastAsia="es-ES_tradnl"/>
              </w:rPr>
              <w:t>Statements</w:t>
            </w:r>
            <w:proofErr w:type="spellEnd"/>
          </w:p>
        </w:tc>
        <w:tc>
          <w:tcPr>
            <w:tcW w:w="0" w:type="auto"/>
            <w:tcBorders>
              <w:bottom w:val="single" w:sz="4" w:space="0" w:color="auto"/>
            </w:tcBorders>
            <w:hideMark/>
          </w:tcPr>
          <w:p w:rsidR="00A2595A" w:rsidRPr="00F77ADD" w:rsidRDefault="00A2595A" w:rsidP="00F56688">
            <w:pPr>
              <w:jc w:val="right"/>
              <w:rPr>
                <w:rFonts w:ascii="Times New Roman" w:eastAsia="Times New Roman" w:hAnsi="Times New Roman" w:cs="Times New Roman"/>
                <w:b/>
                <w:bCs/>
                <w:lang w:val="es-ES" w:eastAsia="es-ES_tradnl"/>
              </w:rPr>
            </w:pPr>
            <w:r w:rsidRPr="00F77ADD">
              <w:rPr>
                <w:rFonts w:ascii="Times New Roman" w:eastAsia="Times New Roman" w:hAnsi="Times New Roman" w:cs="Times New Roman"/>
                <w:b/>
                <w:bCs/>
                <w:lang w:val="es-ES" w:eastAsia="es-ES_tradnl"/>
              </w:rPr>
              <w:t>Mean</w:t>
            </w:r>
          </w:p>
        </w:tc>
        <w:tc>
          <w:tcPr>
            <w:tcW w:w="0" w:type="auto"/>
            <w:tcBorders>
              <w:bottom w:val="single" w:sz="4" w:space="0" w:color="auto"/>
            </w:tcBorders>
            <w:hideMark/>
          </w:tcPr>
          <w:p w:rsidR="00A2595A" w:rsidRPr="00F77ADD" w:rsidRDefault="00A2595A" w:rsidP="00F56688">
            <w:pPr>
              <w:jc w:val="right"/>
              <w:rPr>
                <w:rFonts w:ascii="Times New Roman" w:eastAsia="Times New Roman" w:hAnsi="Times New Roman" w:cs="Times New Roman"/>
                <w:b/>
                <w:bCs/>
                <w:lang w:val="es-ES" w:eastAsia="es-ES_tradnl"/>
              </w:rPr>
            </w:pPr>
            <w:r w:rsidRPr="00F77ADD">
              <w:rPr>
                <w:rFonts w:ascii="Times New Roman" w:eastAsia="Times New Roman" w:hAnsi="Times New Roman" w:cs="Times New Roman"/>
                <w:b/>
                <w:bCs/>
                <w:lang w:val="es-ES" w:eastAsia="es-ES_tradnl"/>
              </w:rPr>
              <w:t>SD</w:t>
            </w:r>
          </w:p>
        </w:tc>
        <w:tc>
          <w:tcPr>
            <w:tcW w:w="0" w:type="auto"/>
            <w:tcBorders>
              <w:bottom w:val="single" w:sz="4" w:space="0" w:color="auto"/>
            </w:tcBorders>
            <w:hideMark/>
          </w:tcPr>
          <w:p w:rsidR="00A2595A" w:rsidRPr="00F77ADD" w:rsidRDefault="00A2595A" w:rsidP="00F56688">
            <w:pPr>
              <w:jc w:val="right"/>
              <w:rPr>
                <w:rFonts w:ascii="Times New Roman" w:eastAsia="Times New Roman" w:hAnsi="Times New Roman" w:cs="Times New Roman"/>
                <w:b/>
                <w:bCs/>
                <w:lang w:val="es-ES" w:eastAsia="es-ES_tradnl"/>
              </w:rPr>
            </w:pPr>
            <w:proofErr w:type="spellStart"/>
            <w:r w:rsidRPr="00F77ADD">
              <w:rPr>
                <w:rFonts w:ascii="Times New Roman" w:eastAsia="Times New Roman" w:hAnsi="Times New Roman" w:cs="Times New Roman"/>
                <w:b/>
                <w:bCs/>
                <w:lang w:val="es-ES" w:eastAsia="es-ES_tradnl"/>
              </w:rPr>
              <w:t>Loading</w:t>
            </w:r>
            <w:proofErr w:type="spellEnd"/>
          </w:p>
        </w:tc>
        <w:tc>
          <w:tcPr>
            <w:tcW w:w="0" w:type="auto"/>
            <w:tcBorders>
              <w:bottom w:val="single" w:sz="4" w:space="0" w:color="auto"/>
            </w:tcBorders>
            <w:hideMark/>
          </w:tcPr>
          <w:p w:rsidR="00A2595A" w:rsidRPr="00F77ADD" w:rsidRDefault="00A2595A" w:rsidP="00F56688">
            <w:pPr>
              <w:jc w:val="right"/>
              <w:rPr>
                <w:rFonts w:ascii="Times New Roman" w:eastAsia="Times New Roman" w:hAnsi="Times New Roman" w:cs="Times New Roman"/>
                <w:b/>
                <w:bCs/>
                <w:lang w:val="es-ES" w:eastAsia="es-ES_tradnl"/>
              </w:rPr>
            </w:pPr>
            <w:r w:rsidRPr="00F77ADD">
              <w:rPr>
                <w:rFonts w:ascii="Times New Roman" w:eastAsia="Times New Roman" w:hAnsi="Times New Roman" w:cs="Times New Roman"/>
                <w:b/>
                <w:bCs/>
                <w:lang w:val="es-ES" w:eastAsia="es-ES_tradnl"/>
              </w:rPr>
              <w:t>SE</w:t>
            </w:r>
          </w:p>
        </w:tc>
        <w:tc>
          <w:tcPr>
            <w:tcW w:w="920" w:type="dxa"/>
            <w:tcBorders>
              <w:bottom w:val="single" w:sz="4" w:space="0" w:color="auto"/>
            </w:tcBorders>
            <w:hideMark/>
          </w:tcPr>
          <w:p w:rsidR="00A2595A" w:rsidRPr="00F77ADD" w:rsidRDefault="00A2595A" w:rsidP="00F56688">
            <w:pPr>
              <w:jc w:val="center"/>
              <w:rPr>
                <w:rFonts w:ascii="Times New Roman" w:eastAsia="Times New Roman" w:hAnsi="Times New Roman" w:cs="Times New Roman"/>
                <w:b/>
                <w:bCs/>
                <w:lang w:val="es-ES" w:eastAsia="es-ES_tradnl"/>
              </w:rPr>
            </w:pPr>
            <w:r w:rsidRPr="00F77ADD">
              <w:rPr>
                <w:rFonts w:ascii="Times New Roman" w:eastAsia="Times New Roman" w:hAnsi="Times New Roman" w:cs="Times New Roman"/>
                <w:b/>
                <w:bCs/>
                <w:lang w:val="es-ES" w:eastAsia="es-ES_tradnl"/>
              </w:rPr>
              <w:t>p</w:t>
            </w:r>
          </w:p>
        </w:tc>
      </w:tr>
      <w:tr w:rsidR="00A2595A" w:rsidRPr="00F77ADD" w:rsidTr="00F56688">
        <w:trPr>
          <w:trHeight w:val="20"/>
        </w:trPr>
        <w:tc>
          <w:tcPr>
            <w:tcW w:w="0" w:type="auto"/>
            <w:tcBorders>
              <w:top w:val="single" w:sz="4" w:space="0" w:color="auto"/>
            </w:tcBorders>
          </w:tcPr>
          <w:p w:rsidR="00A2595A" w:rsidRPr="00F77ADD" w:rsidRDefault="00A2595A" w:rsidP="00F56688">
            <w:pPr>
              <w:rPr>
                <w:rFonts w:ascii="Times New Roman" w:eastAsia="Times New Roman" w:hAnsi="Times New Roman" w:cs="Times New Roman"/>
                <w:b/>
                <w:bCs/>
                <w:lang w:eastAsia="es-ES_tradnl"/>
              </w:rPr>
            </w:pPr>
            <w:r w:rsidRPr="00F77ADD">
              <w:rPr>
                <w:rFonts w:ascii="Times New Roman" w:eastAsia="Times New Roman" w:hAnsi="Times New Roman" w:cs="Times New Roman"/>
                <w:b/>
                <w:bCs/>
                <w:lang w:eastAsia="es-ES_tradnl"/>
              </w:rPr>
              <w:t>Perceived Usefulness</w:t>
            </w:r>
          </w:p>
        </w:tc>
        <w:tc>
          <w:tcPr>
            <w:tcW w:w="0" w:type="auto"/>
            <w:tcBorders>
              <w:top w:val="single" w:sz="4" w:space="0" w:color="auto"/>
            </w:tcBorders>
          </w:tcPr>
          <w:p w:rsidR="00A2595A" w:rsidRPr="00F77ADD" w:rsidRDefault="00A2595A" w:rsidP="00F56688">
            <w:pPr>
              <w:jc w:val="right"/>
              <w:rPr>
                <w:rFonts w:ascii="Times New Roman" w:eastAsia="Times New Roman" w:hAnsi="Times New Roman" w:cs="Times New Roman"/>
                <w:lang w:val="es-ES" w:eastAsia="es-ES_tradnl"/>
              </w:rPr>
            </w:pPr>
          </w:p>
        </w:tc>
        <w:tc>
          <w:tcPr>
            <w:tcW w:w="0" w:type="auto"/>
            <w:tcBorders>
              <w:top w:val="single" w:sz="4" w:space="0" w:color="auto"/>
            </w:tcBorders>
          </w:tcPr>
          <w:p w:rsidR="00A2595A" w:rsidRPr="00F77ADD" w:rsidRDefault="00A2595A" w:rsidP="00F56688">
            <w:pPr>
              <w:jc w:val="right"/>
              <w:rPr>
                <w:rFonts w:ascii="Times New Roman" w:eastAsia="Times New Roman" w:hAnsi="Times New Roman" w:cs="Times New Roman"/>
                <w:lang w:val="es-ES" w:eastAsia="es-ES_tradnl"/>
              </w:rPr>
            </w:pPr>
          </w:p>
        </w:tc>
        <w:tc>
          <w:tcPr>
            <w:tcW w:w="0" w:type="auto"/>
            <w:tcBorders>
              <w:top w:val="single" w:sz="4" w:space="0" w:color="auto"/>
            </w:tcBorders>
          </w:tcPr>
          <w:p w:rsidR="00A2595A" w:rsidRPr="00F77ADD" w:rsidRDefault="00A2595A" w:rsidP="00F56688">
            <w:pPr>
              <w:jc w:val="right"/>
              <w:rPr>
                <w:rFonts w:ascii="Times New Roman" w:eastAsia="Times New Roman" w:hAnsi="Times New Roman" w:cs="Times New Roman"/>
                <w:lang w:val="es-ES" w:eastAsia="es-ES_tradnl"/>
              </w:rPr>
            </w:pPr>
          </w:p>
        </w:tc>
        <w:tc>
          <w:tcPr>
            <w:tcW w:w="0" w:type="auto"/>
            <w:tcBorders>
              <w:top w:val="single" w:sz="4" w:space="0" w:color="auto"/>
            </w:tcBorders>
          </w:tcPr>
          <w:p w:rsidR="00A2595A" w:rsidRPr="00F77ADD" w:rsidRDefault="00A2595A" w:rsidP="00F56688">
            <w:pPr>
              <w:jc w:val="right"/>
              <w:rPr>
                <w:rFonts w:ascii="Times New Roman" w:eastAsia="Times New Roman" w:hAnsi="Times New Roman" w:cs="Times New Roman"/>
                <w:lang w:val="es-ES" w:eastAsia="es-ES_tradnl"/>
              </w:rPr>
            </w:pPr>
          </w:p>
        </w:tc>
        <w:tc>
          <w:tcPr>
            <w:tcW w:w="920" w:type="dxa"/>
            <w:tcBorders>
              <w:top w:val="single" w:sz="4" w:space="0" w:color="auto"/>
            </w:tcBorders>
          </w:tcPr>
          <w:p w:rsidR="00A2595A" w:rsidRPr="00F77ADD" w:rsidRDefault="00A2595A" w:rsidP="00F56688">
            <w:pPr>
              <w:rPr>
                <w:rFonts w:ascii="Times New Roman" w:eastAsia="Times New Roman" w:hAnsi="Times New Roman" w:cs="Times New Roman"/>
                <w:lang w:val="es-ES" w:eastAsia="es-ES_tradnl"/>
              </w:rPr>
            </w:pPr>
          </w:p>
        </w:tc>
      </w:tr>
      <w:tr w:rsidR="00A2595A" w:rsidRPr="00F77ADD" w:rsidTr="00F56688">
        <w:trPr>
          <w:trHeight w:val="20"/>
        </w:trPr>
        <w:tc>
          <w:tcPr>
            <w:tcW w:w="0" w:type="auto"/>
            <w:hideMark/>
          </w:tcPr>
          <w:p w:rsidR="00A2595A" w:rsidRPr="00F77ADD" w:rsidRDefault="00A2595A" w:rsidP="00F56688">
            <w:pPr>
              <w:rPr>
                <w:rFonts w:ascii="Times New Roman" w:hAnsi="Times New Roman" w:cs="Times New Roman"/>
                <w:lang w:eastAsia="es-ES_tradnl"/>
              </w:rPr>
            </w:pPr>
            <w:r w:rsidRPr="00F77ADD">
              <w:rPr>
                <w:rFonts w:ascii="Times New Roman" w:hAnsi="Times New Roman" w:cs="Times New Roman"/>
                <w:lang w:eastAsia="es-ES_tradnl"/>
              </w:rPr>
              <w:t>Smart technologies at festivals would help me enjoy the experience more.</w:t>
            </w:r>
          </w:p>
        </w:tc>
        <w:tc>
          <w:tcPr>
            <w:tcW w:w="0" w:type="auto"/>
            <w:hideMark/>
          </w:tcPr>
          <w:p w:rsidR="00A2595A" w:rsidRPr="00F77ADD" w:rsidRDefault="00A2595A" w:rsidP="00F56688">
            <w:pPr>
              <w:jc w:val="right"/>
              <w:rPr>
                <w:rFonts w:ascii="Times New Roman" w:hAnsi="Times New Roman" w:cs="Times New Roman"/>
                <w:lang w:val="es-ES" w:eastAsia="es-ES_tradnl"/>
              </w:rPr>
            </w:pPr>
            <w:r w:rsidRPr="00F77ADD">
              <w:rPr>
                <w:rFonts w:ascii="Times New Roman" w:hAnsi="Times New Roman" w:cs="Times New Roman"/>
                <w:lang w:val="es-ES" w:eastAsia="es-ES_tradnl"/>
              </w:rPr>
              <w:t>5.213</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1.398</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0.849***</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0.079</w:t>
            </w:r>
          </w:p>
        </w:tc>
        <w:tc>
          <w:tcPr>
            <w:tcW w:w="920" w:type="dxa"/>
            <w:hideMark/>
          </w:tcPr>
          <w:p w:rsidR="00A2595A" w:rsidRPr="00F77ADD" w:rsidRDefault="00A2595A" w:rsidP="00F56688">
            <w:pPr>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&lt; .001</w:t>
            </w:r>
          </w:p>
        </w:tc>
      </w:tr>
      <w:tr w:rsidR="00A2595A" w:rsidRPr="00F77ADD" w:rsidTr="00F56688">
        <w:trPr>
          <w:trHeight w:val="20"/>
        </w:trPr>
        <w:tc>
          <w:tcPr>
            <w:tcW w:w="0" w:type="auto"/>
            <w:hideMark/>
          </w:tcPr>
          <w:p w:rsidR="00A2595A" w:rsidRPr="00F77ADD" w:rsidRDefault="00A2595A" w:rsidP="00F56688">
            <w:pPr>
              <w:rPr>
                <w:rFonts w:ascii="Times New Roman" w:hAnsi="Times New Roman" w:cs="Times New Roman"/>
                <w:lang w:eastAsia="es-ES_tradnl"/>
              </w:rPr>
            </w:pPr>
            <w:r w:rsidRPr="00F77ADD">
              <w:rPr>
                <w:rFonts w:ascii="Times New Roman" w:hAnsi="Times New Roman" w:cs="Times New Roman"/>
                <w:lang w:eastAsia="es-ES_tradnl"/>
              </w:rPr>
              <w:t>Smart technologies would improve my ability to navigate and plan my festival experience (finding artists, schedules, locations).</w:t>
            </w:r>
          </w:p>
        </w:tc>
        <w:tc>
          <w:tcPr>
            <w:tcW w:w="0" w:type="auto"/>
            <w:hideMark/>
          </w:tcPr>
          <w:p w:rsidR="00A2595A" w:rsidRPr="00F77ADD" w:rsidRDefault="00A2595A" w:rsidP="00F56688">
            <w:pPr>
              <w:jc w:val="right"/>
              <w:rPr>
                <w:rFonts w:ascii="Times New Roman" w:hAnsi="Times New Roman" w:cs="Times New Roman"/>
                <w:lang w:val="es-ES" w:eastAsia="es-ES_tradnl"/>
              </w:rPr>
            </w:pPr>
            <w:r w:rsidRPr="00F77ADD">
              <w:rPr>
                <w:rFonts w:ascii="Times New Roman" w:hAnsi="Times New Roman" w:cs="Times New Roman"/>
                <w:lang w:val="es-ES" w:eastAsia="es-ES_tradnl"/>
              </w:rPr>
              <w:t>5.931</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1.197</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0.668***</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0.113</w:t>
            </w:r>
          </w:p>
        </w:tc>
        <w:tc>
          <w:tcPr>
            <w:tcW w:w="920" w:type="dxa"/>
            <w:hideMark/>
          </w:tcPr>
          <w:p w:rsidR="00A2595A" w:rsidRPr="00F77ADD" w:rsidRDefault="00A2595A" w:rsidP="00F56688">
            <w:pPr>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&lt; .001</w:t>
            </w:r>
          </w:p>
        </w:tc>
      </w:tr>
      <w:tr w:rsidR="00A2595A" w:rsidRPr="00F77ADD" w:rsidTr="00F56688">
        <w:trPr>
          <w:trHeight w:val="20"/>
        </w:trPr>
        <w:tc>
          <w:tcPr>
            <w:tcW w:w="0" w:type="auto"/>
            <w:hideMark/>
          </w:tcPr>
          <w:p w:rsidR="00A2595A" w:rsidRPr="00F77ADD" w:rsidRDefault="00A2595A" w:rsidP="00F56688">
            <w:pPr>
              <w:rPr>
                <w:rFonts w:ascii="Times New Roman" w:hAnsi="Times New Roman" w:cs="Times New Roman"/>
                <w:lang w:eastAsia="es-ES_tradnl"/>
              </w:rPr>
            </w:pPr>
            <w:r w:rsidRPr="00F77ADD">
              <w:rPr>
                <w:rFonts w:ascii="Times New Roman" w:hAnsi="Times New Roman" w:cs="Times New Roman"/>
                <w:lang w:eastAsia="es-ES_tradnl"/>
              </w:rPr>
              <w:t>Smart technologies would make my festival experience more enriching, educational, and memorable.</w:t>
            </w:r>
          </w:p>
        </w:tc>
        <w:tc>
          <w:tcPr>
            <w:tcW w:w="0" w:type="auto"/>
            <w:hideMark/>
          </w:tcPr>
          <w:p w:rsidR="00A2595A" w:rsidRPr="00F77ADD" w:rsidRDefault="00A2595A" w:rsidP="00F56688">
            <w:pPr>
              <w:jc w:val="right"/>
              <w:rPr>
                <w:rFonts w:ascii="Times New Roman" w:hAnsi="Times New Roman" w:cs="Times New Roman"/>
                <w:lang w:val="es-ES" w:eastAsia="es-ES_tradnl"/>
              </w:rPr>
            </w:pPr>
            <w:r w:rsidRPr="00F77ADD">
              <w:rPr>
                <w:rFonts w:ascii="Times New Roman" w:hAnsi="Times New Roman" w:cs="Times New Roman"/>
                <w:lang w:val="es-ES" w:eastAsia="es-ES_tradnl"/>
              </w:rPr>
              <w:t>5.000</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1.469</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0.822***</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0.083</w:t>
            </w:r>
          </w:p>
        </w:tc>
        <w:tc>
          <w:tcPr>
            <w:tcW w:w="920" w:type="dxa"/>
            <w:hideMark/>
          </w:tcPr>
          <w:p w:rsidR="00A2595A" w:rsidRPr="00F77ADD" w:rsidRDefault="00A2595A" w:rsidP="00F56688">
            <w:pPr>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&lt; .001</w:t>
            </w:r>
          </w:p>
        </w:tc>
      </w:tr>
      <w:tr w:rsidR="00A2595A" w:rsidRPr="00F77ADD" w:rsidTr="00F56688">
        <w:trPr>
          <w:trHeight w:val="20"/>
        </w:trPr>
        <w:tc>
          <w:tcPr>
            <w:tcW w:w="0" w:type="auto"/>
            <w:hideMark/>
          </w:tcPr>
          <w:p w:rsidR="00A2595A" w:rsidRPr="00F77ADD" w:rsidRDefault="00A2595A" w:rsidP="00F56688">
            <w:pPr>
              <w:rPr>
                <w:rFonts w:ascii="Times New Roman" w:hAnsi="Times New Roman" w:cs="Times New Roman"/>
                <w:lang w:eastAsia="es-ES_tradnl"/>
              </w:rPr>
            </w:pPr>
            <w:r w:rsidRPr="00F77ADD">
              <w:rPr>
                <w:rFonts w:ascii="Times New Roman" w:hAnsi="Times New Roman" w:cs="Times New Roman"/>
                <w:lang w:eastAsia="es-ES_tradnl"/>
              </w:rPr>
              <w:t>Overall, I consider smart technologies to be useful for attending festivals.</w:t>
            </w:r>
          </w:p>
        </w:tc>
        <w:tc>
          <w:tcPr>
            <w:tcW w:w="0" w:type="auto"/>
            <w:hideMark/>
          </w:tcPr>
          <w:p w:rsidR="00A2595A" w:rsidRPr="00F77ADD" w:rsidRDefault="00A2595A" w:rsidP="00F56688">
            <w:pPr>
              <w:jc w:val="right"/>
              <w:rPr>
                <w:rFonts w:ascii="Times New Roman" w:hAnsi="Times New Roman" w:cs="Times New Roman"/>
                <w:lang w:val="es-ES" w:eastAsia="es-ES_tradnl"/>
              </w:rPr>
            </w:pPr>
            <w:r w:rsidRPr="00F77ADD">
              <w:rPr>
                <w:rFonts w:ascii="Times New Roman" w:hAnsi="Times New Roman" w:cs="Times New Roman"/>
                <w:lang w:val="es-ES" w:eastAsia="es-ES_tradnl"/>
              </w:rPr>
              <w:t>5.583</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1.334</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0.763***</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0.097</w:t>
            </w:r>
          </w:p>
        </w:tc>
        <w:tc>
          <w:tcPr>
            <w:tcW w:w="920" w:type="dxa"/>
            <w:hideMark/>
          </w:tcPr>
          <w:p w:rsidR="00A2595A" w:rsidRPr="00F77ADD" w:rsidRDefault="00A2595A" w:rsidP="00F56688">
            <w:pPr>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&lt; .001</w:t>
            </w:r>
          </w:p>
        </w:tc>
      </w:tr>
      <w:tr w:rsidR="00A2595A" w:rsidRPr="00F77ADD" w:rsidTr="00F56688">
        <w:trPr>
          <w:trHeight w:val="20"/>
        </w:trPr>
        <w:tc>
          <w:tcPr>
            <w:tcW w:w="0" w:type="auto"/>
          </w:tcPr>
          <w:p w:rsidR="00A2595A" w:rsidRPr="00F77ADD" w:rsidRDefault="00A2595A" w:rsidP="00F56688">
            <w:pPr>
              <w:rPr>
                <w:rFonts w:ascii="Times New Roman" w:eastAsia="Times New Roman" w:hAnsi="Times New Roman" w:cs="Times New Roman"/>
                <w:b/>
                <w:bCs/>
                <w:lang w:eastAsia="es-ES_tradnl"/>
              </w:rPr>
            </w:pPr>
            <w:r w:rsidRPr="00F77ADD">
              <w:rPr>
                <w:rFonts w:ascii="Times New Roman" w:eastAsia="Times New Roman" w:hAnsi="Times New Roman" w:cs="Times New Roman"/>
                <w:b/>
                <w:bCs/>
                <w:lang w:eastAsia="es-ES_tradnl"/>
              </w:rPr>
              <w:t>Trust in Smart Technologies</w:t>
            </w:r>
          </w:p>
        </w:tc>
        <w:tc>
          <w:tcPr>
            <w:tcW w:w="0" w:type="auto"/>
          </w:tcPr>
          <w:p w:rsidR="00A2595A" w:rsidRPr="00F77ADD" w:rsidRDefault="00A2595A" w:rsidP="00F56688">
            <w:pPr>
              <w:jc w:val="right"/>
              <w:rPr>
                <w:rFonts w:ascii="Times New Roman" w:eastAsia="Times New Roman" w:hAnsi="Times New Roman" w:cs="Times New Roman"/>
                <w:lang w:val="es-ES" w:eastAsia="es-ES_tradnl"/>
              </w:rPr>
            </w:pPr>
          </w:p>
        </w:tc>
        <w:tc>
          <w:tcPr>
            <w:tcW w:w="0" w:type="auto"/>
          </w:tcPr>
          <w:p w:rsidR="00A2595A" w:rsidRPr="00F77ADD" w:rsidRDefault="00A2595A" w:rsidP="00F56688">
            <w:pPr>
              <w:jc w:val="right"/>
              <w:rPr>
                <w:rFonts w:ascii="Times New Roman" w:eastAsia="Times New Roman" w:hAnsi="Times New Roman" w:cs="Times New Roman"/>
                <w:lang w:val="es-ES" w:eastAsia="es-ES_tradnl"/>
              </w:rPr>
            </w:pPr>
          </w:p>
        </w:tc>
        <w:tc>
          <w:tcPr>
            <w:tcW w:w="0" w:type="auto"/>
          </w:tcPr>
          <w:p w:rsidR="00A2595A" w:rsidRPr="00F77ADD" w:rsidRDefault="00A2595A" w:rsidP="00F56688">
            <w:pPr>
              <w:jc w:val="right"/>
              <w:rPr>
                <w:rFonts w:ascii="Times New Roman" w:eastAsia="Times New Roman" w:hAnsi="Times New Roman" w:cs="Times New Roman"/>
                <w:lang w:val="es-ES" w:eastAsia="es-ES_tradnl"/>
              </w:rPr>
            </w:pPr>
          </w:p>
        </w:tc>
        <w:tc>
          <w:tcPr>
            <w:tcW w:w="0" w:type="auto"/>
          </w:tcPr>
          <w:p w:rsidR="00A2595A" w:rsidRPr="00F77ADD" w:rsidRDefault="00A2595A" w:rsidP="00F56688">
            <w:pPr>
              <w:jc w:val="right"/>
              <w:rPr>
                <w:rFonts w:ascii="Times New Roman" w:eastAsia="Times New Roman" w:hAnsi="Times New Roman" w:cs="Times New Roman"/>
                <w:lang w:val="es-ES" w:eastAsia="es-ES_tradnl"/>
              </w:rPr>
            </w:pPr>
          </w:p>
        </w:tc>
        <w:tc>
          <w:tcPr>
            <w:tcW w:w="920" w:type="dxa"/>
          </w:tcPr>
          <w:p w:rsidR="00A2595A" w:rsidRPr="00F77ADD" w:rsidRDefault="00A2595A" w:rsidP="00F56688">
            <w:pPr>
              <w:rPr>
                <w:rFonts w:ascii="Times New Roman" w:eastAsia="Times New Roman" w:hAnsi="Times New Roman" w:cs="Times New Roman"/>
                <w:lang w:val="es-ES" w:eastAsia="es-ES_tradnl"/>
              </w:rPr>
            </w:pPr>
          </w:p>
        </w:tc>
      </w:tr>
      <w:tr w:rsidR="00A2595A" w:rsidRPr="00F77ADD" w:rsidTr="00F56688">
        <w:trPr>
          <w:trHeight w:val="20"/>
        </w:trPr>
        <w:tc>
          <w:tcPr>
            <w:tcW w:w="0" w:type="auto"/>
            <w:hideMark/>
          </w:tcPr>
          <w:p w:rsidR="00A2595A" w:rsidRPr="00F77ADD" w:rsidRDefault="00A2595A" w:rsidP="00F56688">
            <w:pPr>
              <w:rPr>
                <w:rFonts w:ascii="Times New Roman" w:hAnsi="Times New Roman" w:cs="Times New Roman"/>
                <w:lang w:eastAsia="es-ES_tradnl"/>
              </w:rPr>
            </w:pPr>
            <w:r w:rsidRPr="00F77ADD">
              <w:rPr>
                <w:rFonts w:ascii="Times New Roman" w:hAnsi="Times New Roman" w:cs="Times New Roman"/>
                <w:lang w:eastAsia="es-ES_tradnl"/>
              </w:rPr>
              <w:t>I trust that smart festival technologies will work correctly when I need them.</w:t>
            </w:r>
          </w:p>
        </w:tc>
        <w:tc>
          <w:tcPr>
            <w:tcW w:w="0" w:type="auto"/>
            <w:hideMark/>
          </w:tcPr>
          <w:p w:rsidR="00A2595A" w:rsidRPr="00F77ADD" w:rsidRDefault="00A2595A" w:rsidP="00F56688">
            <w:pPr>
              <w:jc w:val="right"/>
              <w:rPr>
                <w:rFonts w:ascii="Times New Roman" w:hAnsi="Times New Roman" w:cs="Times New Roman"/>
                <w:lang w:val="es-ES" w:eastAsia="es-ES_tradnl"/>
              </w:rPr>
            </w:pPr>
            <w:r w:rsidRPr="00F77ADD">
              <w:rPr>
                <w:rFonts w:ascii="Times New Roman" w:hAnsi="Times New Roman" w:cs="Times New Roman"/>
                <w:lang w:val="es-ES" w:eastAsia="es-ES_tradnl"/>
              </w:rPr>
              <w:t>5.259</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1.410</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0.774***</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0.103</w:t>
            </w:r>
          </w:p>
        </w:tc>
        <w:tc>
          <w:tcPr>
            <w:tcW w:w="920" w:type="dxa"/>
            <w:hideMark/>
          </w:tcPr>
          <w:p w:rsidR="00A2595A" w:rsidRPr="00F77ADD" w:rsidRDefault="00A2595A" w:rsidP="00F56688">
            <w:pPr>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&lt; .001</w:t>
            </w:r>
          </w:p>
        </w:tc>
      </w:tr>
      <w:tr w:rsidR="00A2595A" w:rsidRPr="00F77ADD" w:rsidTr="00F56688">
        <w:trPr>
          <w:trHeight w:val="20"/>
        </w:trPr>
        <w:tc>
          <w:tcPr>
            <w:tcW w:w="0" w:type="auto"/>
            <w:hideMark/>
          </w:tcPr>
          <w:p w:rsidR="00A2595A" w:rsidRPr="00F77ADD" w:rsidRDefault="00A2595A" w:rsidP="00F56688">
            <w:pPr>
              <w:rPr>
                <w:rFonts w:ascii="Times New Roman" w:hAnsi="Times New Roman" w:cs="Times New Roman"/>
                <w:lang w:eastAsia="es-ES_tradnl"/>
              </w:rPr>
            </w:pPr>
            <w:r w:rsidRPr="00F77ADD">
              <w:rPr>
                <w:rFonts w:ascii="Times New Roman" w:hAnsi="Times New Roman" w:cs="Times New Roman"/>
                <w:lang w:eastAsia="es-ES_tradnl"/>
              </w:rPr>
              <w:t>I trust that smart festival technologies will protect my personal information adequately and securely.</w:t>
            </w:r>
          </w:p>
        </w:tc>
        <w:tc>
          <w:tcPr>
            <w:tcW w:w="0" w:type="auto"/>
            <w:hideMark/>
          </w:tcPr>
          <w:p w:rsidR="00A2595A" w:rsidRPr="00F77ADD" w:rsidRDefault="00A2595A" w:rsidP="00F56688">
            <w:pPr>
              <w:jc w:val="right"/>
              <w:rPr>
                <w:rFonts w:ascii="Times New Roman" w:hAnsi="Times New Roman" w:cs="Times New Roman"/>
                <w:lang w:val="es-ES" w:eastAsia="es-ES_tradnl"/>
              </w:rPr>
            </w:pPr>
            <w:r w:rsidRPr="00F77ADD">
              <w:rPr>
                <w:rFonts w:ascii="Times New Roman" w:hAnsi="Times New Roman" w:cs="Times New Roman"/>
                <w:lang w:val="es-ES" w:eastAsia="es-ES_tradnl"/>
              </w:rPr>
              <w:t>4.736</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1.765</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0.806***</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0.096</w:t>
            </w:r>
          </w:p>
        </w:tc>
        <w:tc>
          <w:tcPr>
            <w:tcW w:w="920" w:type="dxa"/>
            <w:hideMark/>
          </w:tcPr>
          <w:p w:rsidR="00A2595A" w:rsidRPr="00F77ADD" w:rsidRDefault="00A2595A" w:rsidP="00F56688">
            <w:pPr>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&lt; .001</w:t>
            </w:r>
          </w:p>
        </w:tc>
      </w:tr>
      <w:tr w:rsidR="00A2595A" w:rsidRPr="00F77ADD" w:rsidTr="00F56688">
        <w:trPr>
          <w:trHeight w:val="20"/>
        </w:trPr>
        <w:tc>
          <w:tcPr>
            <w:tcW w:w="0" w:type="auto"/>
            <w:hideMark/>
          </w:tcPr>
          <w:p w:rsidR="00A2595A" w:rsidRPr="00F77ADD" w:rsidRDefault="00A2595A" w:rsidP="00F56688">
            <w:pPr>
              <w:rPr>
                <w:rFonts w:ascii="Times New Roman" w:hAnsi="Times New Roman" w:cs="Times New Roman"/>
                <w:lang w:eastAsia="es-ES_tradnl"/>
              </w:rPr>
            </w:pPr>
            <w:r w:rsidRPr="00F77ADD">
              <w:rPr>
                <w:rFonts w:ascii="Times New Roman" w:hAnsi="Times New Roman" w:cs="Times New Roman"/>
                <w:lang w:eastAsia="es-ES_tradnl"/>
              </w:rPr>
              <w:t>I believe that festival organizers use smart technologies primarily with my best interest in mind (improving my experience).</w:t>
            </w:r>
          </w:p>
        </w:tc>
        <w:tc>
          <w:tcPr>
            <w:tcW w:w="0" w:type="auto"/>
            <w:hideMark/>
          </w:tcPr>
          <w:p w:rsidR="00A2595A" w:rsidRPr="00F77ADD" w:rsidRDefault="00A2595A" w:rsidP="00F56688">
            <w:pPr>
              <w:jc w:val="right"/>
              <w:rPr>
                <w:rFonts w:ascii="Times New Roman" w:hAnsi="Times New Roman" w:cs="Times New Roman"/>
                <w:lang w:val="es-ES" w:eastAsia="es-ES_tradnl"/>
              </w:rPr>
            </w:pPr>
            <w:r w:rsidRPr="00F77ADD">
              <w:rPr>
                <w:rFonts w:ascii="Times New Roman" w:hAnsi="Times New Roman" w:cs="Times New Roman"/>
                <w:lang w:val="es-ES" w:eastAsia="es-ES_tradnl"/>
              </w:rPr>
              <w:t>5.102</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1.558</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0.813***</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0.100</w:t>
            </w:r>
          </w:p>
        </w:tc>
        <w:tc>
          <w:tcPr>
            <w:tcW w:w="920" w:type="dxa"/>
            <w:hideMark/>
          </w:tcPr>
          <w:p w:rsidR="00A2595A" w:rsidRPr="00F77ADD" w:rsidRDefault="00A2595A" w:rsidP="00F56688">
            <w:pPr>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&lt; .001</w:t>
            </w:r>
          </w:p>
        </w:tc>
      </w:tr>
      <w:tr w:rsidR="00A2595A" w:rsidRPr="00F77ADD" w:rsidTr="00F56688">
        <w:trPr>
          <w:trHeight w:val="20"/>
        </w:trPr>
        <w:tc>
          <w:tcPr>
            <w:tcW w:w="0" w:type="auto"/>
          </w:tcPr>
          <w:p w:rsidR="00A2595A" w:rsidRPr="00F77ADD" w:rsidRDefault="00A2595A" w:rsidP="00F56688">
            <w:pPr>
              <w:rPr>
                <w:rFonts w:ascii="Times New Roman" w:eastAsia="Times New Roman" w:hAnsi="Times New Roman" w:cs="Times New Roman"/>
                <w:b/>
                <w:bCs/>
                <w:lang w:eastAsia="es-ES_tradnl"/>
              </w:rPr>
            </w:pPr>
            <w:r w:rsidRPr="00F77ADD">
              <w:rPr>
                <w:rFonts w:ascii="Times New Roman" w:eastAsia="Times New Roman" w:hAnsi="Times New Roman" w:cs="Times New Roman"/>
                <w:b/>
                <w:bCs/>
                <w:lang w:eastAsia="es-ES_tradnl"/>
              </w:rPr>
              <w:lastRenderedPageBreak/>
              <w:t>Privacy and Data Concerns</w:t>
            </w:r>
          </w:p>
        </w:tc>
        <w:tc>
          <w:tcPr>
            <w:tcW w:w="0" w:type="auto"/>
          </w:tcPr>
          <w:p w:rsidR="00A2595A" w:rsidRPr="00F77ADD" w:rsidRDefault="00A2595A" w:rsidP="00F56688">
            <w:pPr>
              <w:jc w:val="right"/>
              <w:rPr>
                <w:rFonts w:ascii="Times New Roman" w:eastAsia="Times New Roman" w:hAnsi="Times New Roman" w:cs="Times New Roman"/>
                <w:lang w:val="es-ES" w:eastAsia="es-ES_tradnl"/>
              </w:rPr>
            </w:pPr>
          </w:p>
        </w:tc>
        <w:tc>
          <w:tcPr>
            <w:tcW w:w="0" w:type="auto"/>
          </w:tcPr>
          <w:p w:rsidR="00A2595A" w:rsidRPr="00F77ADD" w:rsidRDefault="00A2595A" w:rsidP="00F56688">
            <w:pPr>
              <w:jc w:val="right"/>
              <w:rPr>
                <w:rFonts w:ascii="Times New Roman" w:eastAsia="Times New Roman" w:hAnsi="Times New Roman" w:cs="Times New Roman"/>
                <w:lang w:val="es-ES" w:eastAsia="es-ES_tradnl"/>
              </w:rPr>
            </w:pPr>
          </w:p>
        </w:tc>
        <w:tc>
          <w:tcPr>
            <w:tcW w:w="0" w:type="auto"/>
          </w:tcPr>
          <w:p w:rsidR="00A2595A" w:rsidRPr="00F77ADD" w:rsidRDefault="00A2595A" w:rsidP="00F56688">
            <w:pPr>
              <w:jc w:val="right"/>
              <w:rPr>
                <w:rFonts w:ascii="Times New Roman" w:eastAsia="Times New Roman" w:hAnsi="Times New Roman" w:cs="Times New Roman"/>
                <w:lang w:val="es-ES" w:eastAsia="es-ES_tradnl"/>
              </w:rPr>
            </w:pPr>
          </w:p>
        </w:tc>
        <w:tc>
          <w:tcPr>
            <w:tcW w:w="0" w:type="auto"/>
          </w:tcPr>
          <w:p w:rsidR="00A2595A" w:rsidRPr="00F77ADD" w:rsidRDefault="00A2595A" w:rsidP="00F56688">
            <w:pPr>
              <w:jc w:val="right"/>
              <w:rPr>
                <w:rFonts w:ascii="Times New Roman" w:eastAsia="Times New Roman" w:hAnsi="Times New Roman" w:cs="Times New Roman"/>
                <w:lang w:val="es-ES" w:eastAsia="es-ES_tradnl"/>
              </w:rPr>
            </w:pPr>
          </w:p>
        </w:tc>
        <w:tc>
          <w:tcPr>
            <w:tcW w:w="920" w:type="dxa"/>
          </w:tcPr>
          <w:p w:rsidR="00A2595A" w:rsidRPr="00F77ADD" w:rsidRDefault="00A2595A" w:rsidP="00F56688">
            <w:pPr>
              <w:rPr>
                <w:rFonts w:ascii="Times New Roman" w:eastAsia="Times New Roman" w:hAnsi="Times New Roman" w:cs="Times New Roman"/>
                <w:lang w:val="es-ES" w:eastAsia="es-ES_tradnl"/>
              </w:rPr>
            </w:pPr>
          </w:p>
        </w:tc>
      </w:tr>
      <w:tr w:rsidR="00A2595A" w:rsidRPr="00F77ADD" w:rsidTr="00F56688">
        <w:trPr>
          <w:trHeight w:val="20"/>
        </w:trPr>
        <w:tc>
          <w:tcPr>
            <w:tcW w:w="0" w:type="auto"/>
            <w:hideMark/>
          </w:tcPr>
          <w:p w:rsidR="00A2595A" w:rsidRPr="00F77ADD" w:rsidRDefault="00A2595A" w:rsidP="00F56688">
            <w:pPr>
              <w:rPr>
                <w:rFonts w:ascii="Times New Roman" w:hAnsi="Times New Roman" w:cs="Times New Roman"/>
                <w:lang w:eastAsia="es-ES_tradnl"/>
              </w:rPr>
            </w:pPr>
            <w:r w:rsidRPr="00F77ADD">
              <w:rPr>
                <w:rFonts w:ascii="Times New Roman" w:hAnsi="Times New Roman" w:cs="Times New Roman"/>
                <w:lang w:eastAsia="es-ES_tradnl"/>
              </w:rPr>
              <w:t>I am concerned that smart technologies collect too much personal information about me.</w:t>
            </w:r>
          </w:p>
        </w:tc>
        <w:tc>
          <w:tcPr>
            <w:tcW w:w="0" w:type="auto"/>
            <w:hideMark/>
          </w:tcPr>
          <w:p w:rsidR="00A2595A" w:rsidRPr="00F77ADD" w:rsidRDefault="00A2595A" w:rsidP="00F56688">
            <w:pPr>
              <w:jc w:val="right"/>
              <w:rPr>
                <w:rFonts w:ascii="Times New Roman" w:hAnsi="Times New Roman" w:cs="Times New Roman"/>
                <w:lang w:val="es-ES" w:eastAsia="es-ES_tradnl"/>
              </w:rPr>
            </w:pPr>
            <w:r w:rsidRPr="00F77ADD">
              <w:rPr>
                <w:rFonts w:ascii="Times New Roman" w:hAnsi="Times New Roman" w:cs="Times New Roman"/>
                <w:lang w:val="es-ES" w:eastAsia="es-ES_tradnl"/>
              </w:rPr>
              <w:t>5.440</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1.551</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0.896***</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0.098</w:t>
            </w:r>
          </w:p>
        </w:tc>
        <w:tc>
          <w:tcPr>
            <w:tcW w:w="920" w:type="dxa"/>
            <w:hideMark/>
          </w:tcPr>
          <w:p w:rsidR="00A2595A" w:rsidRPr="00F77ADD" w:rsidRDefault="00A2595A" w:rsidP="00F56688">
            <w:pPr>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&lt; .001</w:t>
            </w:r>
          </w:p>
        </w:tc>
      </w:tr>
      <w:tr w:rsidR="00A2595A" w:rsidRPr="00F77ADD" w:rsidTr="00F56688">
        <w:trPr>
          <w:trHeight w:val="20"/>
        </w:trPr>
        <w:tc>
          <w:tcPr>
            <w:tcW w:w="0" w:type="auto"/>
            <w:hideMark/>
          </w:tcPr>
          <w:p w:rsidR="00A2595A" w:rsidRPr="00F77ADD" w:rsidRDefault="00A2595A" w:rsidP="00F56688">
            <w:pPr>
              <w:rPr>
                <w:rFonts w:ascii="Times New Roman" w:hAnsi="Times New Roman" w:cs="Times New Roman"/>
                <w:lang w:eastAsia="es-ES_tradnl"/>
              </w:rPr>
            </w:pPr>
            <w:r w:rsidRPr="00F77ADD">
              <w:rPr>
                <w:rFonts w:ascii="Times New Roman" w:hAnsi="Times New Roman" w:cs="Times New Roman"/>
                <w:lang w:eastAsia="es-ES_tradnl"/>
              </w:rPr>
              <w:t>I am worried about how festival organizers might use or share my personal data if I use their smart technologies (apps, wearables, etc.).</w:t>
            </w:r>
          </w:p>
        </w:tc>
        <w:tc>
          <w:tcPr>
            <w:tcW w:w="0" w:type="auto"/>
            <w:hideMark/>
          </w:tcPr>
          <w:p w:rsidR="00A2595A" w:rsidRPr="00F77ADD" w:rsidRDefault="00A2595A" w:rsidP="00F56688">
            <w:pPr>
              <w:jc w:val="right"/>
              <w:rPr>
                <w:rFonts w:ascii="Times New Roman" w:hAnsi="Times New Roman" w:cs="Times New Roman"/>
                <w:lang w:val="es-ES" w:eastAsia="es-ES_tradnl"/>
              </w:rPr>
            </w:pPr>
            <w:r w:rsidRPr="00F77ADD">
              <w:rPr>
                <w:rFonts w:ascii="Times New Roman" w:hAnsi="Times New Roman" w:cs="Times New Roman"/>
                <w:lang w:val="es-ES" w:eastAsia="es-ES_tradnl"/>
              </w:rPr>
              <w:t>5.278</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1.593</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0.879***</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0.086</w:t>
            </w:r>
          </w:p>
        </w:tc>
        <w:tc>
          <w:tcPr>
            <w:tcW w:w="920" w:type="dxa"/>
            <w:hideMark/>
          </w:tcPr>
          <w:p w:rsidR="00A2595A" w:rsidRPr="00F77ADD" w:rsidRDefault="00A2595A" w:rsidP="00F56688">
            <w:pPr>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&lt; .001</w:t>
            </w:r>
          </w:p>
        </w:tc>
      </w:tr>
      <w:tr w:rsidR="00A2595A" w:rsidRPr="00F77ADD" w:rsidTr="00F56688">
        <w:trPr>
          <w:trHeight w:val="20"/>
        </w:trPr>
        <w:tc>
          <w:tcPr>
            <w:tcW w:w="0" w:type="auto"/>
            <w:hideMark/>
          </w:tcPr>
          <w:p w:rsidR="00A2595A" w:rsidRPr="00F77ADD" w:rsidRDefault="00A2595A" w:rsidP="00F56688">
            <w:pPr>
              <w:rPr>
                <w:rFonts w:ascii="Times New Roman" w:hAnsi="Times New Roman" w:cs="Times New Roman"/>
                <w:lang w:eastAsia="es-ES_tradnl"/>
              </w:rPr>
            </w:pPr>
            <w:r w:rsidRPr="00F77ADD">
              <w:rPr>
                <w:rFonts w:ascii="Times New Roman" w:hAnsi="Times New Roman" w:cs="Times New Roman"/>
                <w:lang w:eastAsia="es-ES_tradnl"/>
              </w:rPr>
              <w:t>I am concerned about my privacy when using smart technologies at festivals.</w:t>
            </w:r>
          </w:p>
        </w:tc>
        <w:tc>
          <w:tcPr>
            <w:tcW w:w="0" w:type="auto"/>
            <w:hideMark/>
          </w:tcPr>
          <w:p w:rsidR="00A2595A" w:rsidRPr="00F77ADD" w:rsidRDefault="00A2595A" w:rsidP="00F56688">
            <w:pPr>
              <w:jc w:val="right"/>
              <w:rPr>
                <w:rFonts w:ascii="Times New Roman" w:hAnsi="Times New Roman" w:cs="Times New Roman"/>
                <w:lang w:val="es-ES" w:eastAsia="es-ES_tradnl"/>
              </w:rPr>
            </w:pPr>
            <w:r w:rsidRPr="00F77ADD">
              <w:rPr>
                <w:rFonts w:ascii="Times New Roman" w:hAnsi="Times New Roman" w:cs="Times New Roman"/>
                <w:lang w:val="es-ES" w:eastAsia="es-ES_tradnl"/>
              </w:rPr>
              <w:t>5.231</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1.668</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0.906***</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0.080</w:t>
            </w:r>
          </w:p>
        </w:tc>
        <w:tc>
          <w:tcPr>
            <w:tcW w:w="920" w:type="dxa"/>
            <w:hideMark/>
          </w:tcPr>
          <w:p w:rsidR="00A2595A" w:rsidRPr="00F77ADD" w:rsidRDefault="00A2595A" w:rsidP="00F56688">
            <w:pPr>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&lt; .001</w:t>
            </w:r>
          </w:p>
        </w:tc>
      </w:tr>
      <w:tr w:rsidR="00A2595A" w:rsidRPr="00F77ADD" w:rsidTr="00F56688">
        <w:trPr>
          <w:trHeight w:val="20"/>
        </w:trPr>
        <w:tc>
          <w:tcPr>
            <w:tcW w:w="0" w:type="auto"/>
          </w:tcPr>
          <w:p w:rsidR="00A2595A" w:rsidRPr="00F77ADD" w:rsidRDefault="00A2595A" w:rsidP="00F56688">
            <w:pPr>
              <w:rPr>
                <w:rFonts w:ascii="Times New Roman" w:eastAsia="Times New Roman" w:hAnsi="Times New Roman" w:cs="Times New Roman"/>
                <w:b/>
                <w:bCs/>
                <w:lang w:eastAsia="es-ES_tradnl"/>
              </w:rPr>
            </w:pPr>
            <w:r w:rsidRPr="00F77ADD">
              <w:rPr>
                <w:rFonts w:ascii="Times New Roman" w:eastAsia="Times New Roman" w:hAnsi="Times New Roman" w:cs="Times New Roman"/>
                <w:b/>
                <w:bCs/>
                <w:lang w:eastAsia="es-ES_tradnl"/>
              </w:rPr>
              <w:t>Perceived Personalization</w:t>
            </w:r>
          </w:p>
        </w:tc>
        <w:tc>
          <w:tcPr>
            <w:tcW w:w="0" w:type="auto"/>
          </w:tcPr>
          <w:p w:rsidR="00A2595A" w:rsidRPr="00F77ADD" w:rsidRDefault="00A2595A" w:rsidP="00F56688">
            <w:pPr>
              <w:jc w:val="right"/>
              <w:rPr>
                <w:rFonts w:ascii="Times New Roman" w:eastAsia="Times New Roman" w:hAnsi="Times New Roman" w:cs="Times New Roman"/>
                <w:lang w:val="es-ES" w:eastAsia="es-ES_tradnl"/>
              </w:rPr>
            </w:pPr>
          </w:p>
        </w:tc>
        <w:tc>
          <w:tcPr>
            <w:tcW w:w="0" w:type="auto"/>
          </w:tcPr>
          <w:p w:rsidR="00A2595A" w:rsidRPr="00F77ADD" w:rsidRDefault="00A2595A" w:rsidP="00F56688">
            <w:pPr>
              <w:jc w:val="right"/>
              <w:rPr>
                <w:rFonts w:ascii="Times New Roman" w:eastAsia="Times New Roman" w:hAnsi="Times New Roman" w:cs="Times New Roman"/>
                <w:lang w:val="es-ES" w:eastAsia="es-ES_tradnl"/>
              </w:rPr>
            </w:pPr>
          </w:p>
        </w:tc>
        <w:tc>
          <w:tcPr>
            <w:tcW w:w="0" w:type="auto"/>
          </w:tcPr>
          <w:p w:rsidR="00A2595A" w:rsidRPr="00F77ADD" w:rsidRDefault="00A2595A" w:rsidP="00F56688">
            <w:pPr>
              <w:jc w:val="right"/>
              <w:rPr>
                <w:rFonts w:ascii="Times New Roman" w:eastAsia="Times New Roman" w:hAnsi="Times New Roman" w:cs="Times New Roman"/>
                <w:lang w:val="es-ES" w:eastAsia="es-ES_tradnl"/>
              </w:rPr>
            </w:pPr>
          </w:p>
        </w:tc>
        <w:tc>
          <w:tcPr>
            <w:tcW w:w="0" w:type="auto"/>
          </w:tcPr>
          <w:p w:rsidR="00A2595A" w:rsidRPr="00F77ADD" w:rsidRDefault="00A2595A" w:rsidP="00F56688">
            <w:pPr>
              <w:jc w:val="right"/>
              <w:rPr>
                <w:rFonts w:ascii="Times New Roman" w:eastAsia="Times New Roman" w:hAnsi="Times New Roman" w:cs="Times New Roman"/>
                <w:lang w:val="es-ES" w:eastAsia="es-ES_tradnl"/>
              </w:rPr>
            </w:pPr>
          </w:p>
        </w:tc>
        <w:tc>
          <w:tcPr>
            <w:tcW w:w="920" w:type="dxa"/>
          </w:tcPr>
          <w:p w:rsidR="00A2595A" w:rsidRPr="00F77ADD" w:rsidRDefault="00A2595A" w:rsidP="00F56688">
            <w:pPr>
              <w:rPr>
                <w:rFonts w:ascii="Times New Roman" w:eastAsia="Times New Roman" w:hAnsi="Times New Roman" w:cs="Times New Roman"/>
                <w:lang w:val="es-ES" w:eastAsia="es-ES_tradnl"/>
              </w:rPr>
            </w:pPr>
          </w:p>
        </w:tc>
      </w:tr>
      <w:tr w:rsidR="00A2595A" w:rsidRPr="00F77ADD" w:rsidTr="00F56688">
        <w:trPr>
          <w:trHeight w:val="20"/>
        </w:trPr>
        <w:tc>
          <w:tcPr>
            <w:tcW w:w="0" w:type="auto"/>
            <w:hideMark/>
          </w:tcPr>
          <w:p w:rsidR="00A2595A" w:rsidRPr="00F77ADD" w:rsidRDefault="00A2595A" w:rsidP="00F56688">
            <w:pPr>
              <w:rPr>
                <w:rFonts w:ascii="Times New Roman" w:hAnsi="Times New Roman" w:cs="Times New Roman"/>
                <w:lang w:eastAsia="es-ES_tradnl"/>
              </w:rPr>
            </w:pPr>
            <w:r w:rsidRPr="00F77ADD">
              <w:rPr>
                <w:rFonts w:ascii="Times New Roman" w:hAnsi="Times New Roman" w:cs="Times New Roman"/>
              </w:rPr>
              <w:t>I would like festival apps/technologies to offer me personalized recommendations based on my musical, artistic, or cultural preferences.</w:t>
            </w:r>
          </w:p>
        </w:tc>
        <w:tc>
          <w:tcPr>
            <w:tcW w:w="0" w:type="auto"/>
            <w:hideMark/>
          </w:tcPr>
          <w:p w:rsidR="00A2595A" w:rsidRPr="00F77ADD" w:rsidRDefault="00A2595A" w:rsidP="00F56688">
            <w:pPr>
              <w:jc w:val="right"/>
              <w:rPr>
                <w:rFonts w:ascii="Times New Roman" w:hAnsi="Times New Roman" w:cs="Times New Roman"/>
                <w:lang w:val="es-ES" w:eastAsia="es-ES_tradnl"/>
              </w:rPr>
            </w:pPr>
            <w:r w:rsidRPr="00F77ADD">
              <w:rPr>
                <w:rFonts w:ascii="Times New Roman" w:hAnsi="Times New Roman" w:cs="Times New Roman"/>
                <w:lang w:val="es-ES" w:eastAsia="es-ES_tradnl"/>
              </w:rPr>
              <w:t>5.583</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1.507</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0.849***</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0.095</w:t>
            </w:r>
          </w:p>
        </w:tc>
        <w:tc>
          <w:tcPr>
            <w:tcW w:w="920" w:type="dxa"/>
            <w:hideMark/>
          </w:tcPr>
          <w:p w:rsidR="00A2595A" w:rsidRPr="00F77ADD" w:rsidRDefault="00A2595A" w:rsidP="00F56688">
            <w:pPr>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&lt; .001</w:t>
            </w:r>
          </w:p>
        </w:tc>
      </w:tr>
      <w:tr w:rsidR="00A2595A" w:rsidRPr="00F77ADD" w:rsidTr="00F56688">
        <w:trPr>
          <w:trHeight w:val="20"/>
        </w:trPr>
        <w:tc>
          <w:tcPr>
            <w:tcW w:w="0" w:type="auto"/>
            <w:hideMark/>
          </w:tcPr>
          <w:p w:rsidR="00A2595A" w:rsidRPr="00F77ADD" w:rsidRDefault="00A2595A" w:rsidP="00F56688">
            <w:pPr>
              <w:rPr>
                <w:rFonts w:ascii="Times New Roman" w:hAnsi="Times New Roman" w:cs="Times New Roman"/>
                <w:lang w:eastAsia="es-ES_tradnl"/>
              </w:rPr>
            </w:pPr>
            <w:r w:rsidRPr="00F77ADD">
              <w:rPr>
                <w:rFonts w:ascii="Times New Roman" w:hAnsi="Times New Roman" w:cs="Times New Roman"/>
              </w:rPr>
              <w:t>I appreciate when festival technologies adapt content to my individual interests (which artists to see, what activities to do, etc.).</w:t>
            </w:r>
          </w:p>
        </w:tc>
        <w:tc>
          <w:tcPr>
            <w:tcW w:w="0" w:type="auto"/>
            <w:hideMark/>
          </w:tcPr>
          <w:p w:rsidR="00A2595A" w:rsidRPr="00F77ADD" w:rsidRDefault="00A2595A" w:rsidP="00F56688">
            <w:pPr>
              <w:jc w:val="right"/>
              <w:rPr>
                <w:rFonts w:ascii="Times New Roman" w:hAnsi="Times New Roman" w:cs="Times New Roman"/>
                <w:lang w:val="es-ES" w:eastAsia="es-ES_tradnl"/>
              </w:rPr>
            </w:pPr>
            <w:r w:rsidRPr="00F77ADD">
              <w:rPr>
                <w:rFonts w:ascii="Times New Roman" w:hAnsi="Times New Roman" w:cs="Times New Roman"/>
                <w:lang w:val="es-ES" w:eastAsia="es-ES_tradnl"/>
              </w:rPr>
              <w:t>5.722</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1.390</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0.894***</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0.092</w:t>
            </w:r>
          </w:p>
        </w:tc>
        <w:tc>
          <w:tcPr>
            <w:tcW w:w="920" w:type="dxa"/>
            <w:hideMark/>
          </w:tcPr>
          <w:p w:rsidR="00A2595A" w:rsidRPr="00F77ADD" w:rsidRDefault="00A2595A" w:rsidP="00F56688">
            <w:pPr>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&lt; .001</w:t>
            </w:r>
          </w:p>
        </w:tc>
      </w:tr>
      <w:tr w:rsidR="00A2595A" w:rsidRPr="00F77ADD" w:rsidTr="00F56688">
        <w:trPr>
          <w:trHeight w:val="20"/>
        </w:trPr>
        <w:tc>
          <w:tcPr>
            <w:tcW w:w="0" w:type="auto"/>
            <w:hideMark/>
          </w:tcPr>
          <w:p w:rsidR="00A2595A" w:rsidRPr="00F77ADD" w:rsidRDefault="00A2595A" w:rsidP="00F56688">
            <w:pPr>
              <w:rPr>
                <w:rFonts w:ascii="Times New Roman" w:hAnsi="Times New Roman" w:cs="Times New Roman"/>
                <w:lang w:eastAsia="es-ES_tradnl"/>
              </w:rPr>
            </w:pPr>
            <w:r w:rsidRPr="00F77ADD">
              <w:rPr>
                <w:rFonts w:ascii="Times New Roman" w:hAnsi="Times New Roman" w:cs="Times New Roman"/>
              </w:rPr>
              <w:t>I value that festival technologies allow me to personalize my experience (create my own schedule, mark favorite artists, receive personalized notifications).</w:t>
            </w:r>
          </w:p>
        </w:tc>
        <w:tc>
          <w:tcPr>
            <w:tcW w:w="0" w:type="auto"/>
            <w:hideMark/>
          </w:tcPr>
          <w:p w:rsidR="00A2595A" w:rsidRPr="00F77ADD" w:rsidRDefault="00A2595A" w:rsidP="00F56688">
            <w:pPr>
              <w:jc w:val="right"/>
              <w:rPr>
                <w:rFonts w:ascii="Times New Roman" w:hAnsi="Times New Roman" w:cs="Times New Roman"/>
                <w:lang w:val="es-ES" w:eastAsia="es-ES_tradnl"/>
              </w:rPr>
            </w:pPr>
            <w:r w:rsidRPr="00F77ADD">
              <w:rPr>
                <w:rFonts w:ascii="Times New Roman" w:hAnsi="Times New Roman" w:cs="Times New Roman"/>
                <w:lang w:val="es-ES" w:eastAsia="es-ES_tradnl"/>
              </w:rPr>
              <w:t>5.801</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1.330</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0.815***</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0.107</w:t>
            </w:r>
          </w:p>
        </w:tc>
        <w:tc>
          <w:tcPr>
            <w:tcW w:w="920" w:type="dxa"/>
            <w:hideMark/>
          </w:tcPr>
          <w:p w:rsidR="00A2595A" w:rsidRPr="00F77ADD" w:rsidRDefault="00A2595A" w:rsidP="00F56688">
            <w:pPr>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&lt; .001</w:t>
            </w:r>
          </w:p>
        </w:tc>
      </w:tr>
      <w:tr w:rsidR="00A2595A" w:rsidRPr="00F77ADD" w:rsidTr="00F56688">
        <w:trPr>
          <w:trHeight w:val="20"/>
        </w:trPr>
        <w:tc>
          <w:tcPr>
            <w:tcW w:w="0" w:type="auto"/>
            <w:hideMark/>
          </w:tcPr>
          <w:p w:rsidR="00A2595A" w:rsidRPr="00F77ADD" w:rsidRDefault="00A2595A" w:rsidP="00F56688">
            <w:pPr>
              <w:rPr>
                <w:rFonts w:ascii="Times New Roman" w:hAnsi="Times New Roman" w:cs="Times New Roman"/>
                <w:lang w:eastAsia="es-ES_tradnl"/>
              </w:rPr>
            </w:pPr>
            <w:r w:rsidRPr="00F77ADD">
              <w:rPr>
                <w:rFonts w:ascii="Times New Roman" w:hAnsi="Times New Roman" w:cs="Times New Roman"/>
              </w:rPr>
              <w:t>Technologies that offer personalized experiences make a festival much more attractive to me.</w:t>
            </w:r>
          </w:p>
        </w:tc>
        <w:tc>
          <w:tcPr>
            <w:tcW w:w="0" w:type="auto"/>
            <w:hideMark/>
          </w:tcPr>
          <w:p w:rsidR="00A2595A" w:rsidRPr="00F77ADD" w:rsidRDefault="00A2595A" w:rsidP="00F56688">
            <w:pPr>
              <w:jc w:val="right"/>
              <w:rPr>
                <w:rFonts w:ascii="Times New Roman" w:hAnsi="Times New Roman" w:cs="Times New Roman"/>
                <w:lang w:val="es-ES" w:eastAsia="es-ES_tradnl"/>
              </w:rPr>
            </w:pPr>
            <w:r w:rsidRPr="00F77ADD">
              <w:rPr>
                <w:rFonts w:ascii="Times New Roman" w:hAnsi="Times New Roman" w:cs="Times New Roman"/>
                <w:lang w:val="es-ES" w:eastAsia="es-ES_tradnl"/>
              </w:rPr>
              <w:t>5.333</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1.434</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0.732***</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0.112</w:t>
            </w:r>
          </w:p>
        </w:tc>
        <w:tc>
          <w:tcPr>
            <w:tcW w:w="920" w:type="dxa"/>
            <w:hideMark/>
          </w:tcPr>
          <w:p w:rsidR="00A2595A" w:rsidRPr="00F77ADD" w:rsidRDefault="00A2595A" w:rsidP="00F56688">
            <w:pPr>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&lt; .001</w:t>
            </w:r>
          </w:p>
        </w:tc>
      </w:tr>
      <w:tr w:rsidR="00A2595A" w:rsidRPr="00F77ADD" w:rsidTr="00F56688">
        <w:trPr>
          <w:trHeight w:val="20"/>
        </w:trPr>
        <w:tc>
          <w:tcPr>
            <w:tcW w:w="0" w:type="auto"/>
          </w:tcPr>
          <w:p w:rsidR="00A2595A" w:rsidRPr="00F77ADD" w:rsidRDefault="00A2595A" w:rsidP="00F56688">
            <w:pPr>
              <w:rPr>
                <w:rFonts w:ascii="Times New Roman" w:hAnsi="Times New Roman" w:cs="Times New Roman"/>
                <w:b/>
                <w:bCs/>
              </w:rPr>
            </w:pPr>
            <w:r w:rsidRPr="00F77ADD">
              <w:rPr>
                <w:rFonts w:ascii="Times New Roman" w:hAnsi="Times New Roman" w:cs="Times New Roman"/>
                <w:b/>
                <w:bCs/>
              </w:rPr>
              <w:t>Immersive Experience</w:t>
            </w:r>
          </w:p>
        </w:tc>
        <w:tc>
          <w:tcPr>
            <w:tcW w:w="0" w:type="auto"/>
          </w:tcPr>
          <w:p w:rsidR="00A2595A" w:rsidRPr="00F77ADD" w:rsidRDefault="00A2595A" w:rsidP="00F56688">
            <w:pPr>
              <w:jc w:val="right"/>
              <w:rPr>
                <w:rFonts w:ascii="Times New Roman" w:eastAsia="Times New Roman" w:hAnsi="Times New Roman" w:cs="Times New Roman"/>
                <w:lang w:val="es-ES" w:eastAsia="es-ES_tradnl"/>
              </w:rPr>
            </w:pPr>
          </w:p>
        </w:tc>
        <w:tc>
          <w:tcPr>
            <w:tcW w:w="0" w:type="auto"/>
          </w:tcPr>
          <w:p w:rsidR="00A2595A" w:rsidRPr="00F77ADD" w:rsidRDefault="00A2595A" w:rsidP="00F56688">
            <w:pPr>
              <w:jc w:val="right"/>
              <w:rPr>
                <w:rFonts w:ascii="Times New Roman" w:eastAsia="Times New Roman" w:hAnsi="Times New Roman" w:cs="Times New Roman"/>
                <w:lang w:val="es-ES" w:eastAsia="es-ES_tradnl"/>
              </w:rPr>
            </w:pPr>
          </w:p>
        </w:tc>
        <w:tc>
          <w:tcPr>
            <w:tcW w:w="0" w:type="auto"/>
          </w:tcPr>
          <w:p w:rsidR="00A2595A" w:rsidRPr="00F77ADD" w:rsidRDefault="00A2595A" w:rsidP="00F56688">
            <w:pPr>
              <w:jc w:val="right"/>
              <w:rPr>
                <w:rFonts w:ascii="Times New Roman" w:eastAsia="Times New Roman" w:hAnsi="Times New Roman" w:cs="Times New Roman"/>
                <w:lang w:val="es-ES" w:eastAsia="es-ES_tradnl"/>
              </w:rPr>
            </w:pPr>
          </w:p>
        </w:tc>
        <w:tc>
          <w:tcPr>
            <w:tcW w:w="0" w:type="auto"/>
          </w:tcPr>
          <w:p w:rsidR="00A2595A" w:rsidRPr="00F77ADD" w:rsidRDefault="00A2595A" w:rsidP="00F56688">
            <w:pPr>
              <w:jc w:val="right"/>
              <w:rPr>
                <w:rFonts w:ascii="Times New Roman" w:eastAsia="Times New Roman" w:hAnsi="Times New Roman" w:cs="Times New Roman"/>
                <w:lang w:val="es-ES" w:eastAsia="es-ES_tradnl"/>
              </w:rPr>
            </w:pPr>
          </w:p>
        </w:tc>
        <w:tc>
          <w:tcPr>
            <w:tcW w:w="920" w:type="dxa"/>
          </w:tcPr>
          <w:p w:rsidR="00A2595A" w:rsidRPr="00F77ADD" w:rsidRDefault="00A2595A" w:rsidP="00F56688">
            <w:pPr>
              <w:rPr>
                <w:rFonts w:ascii="Times New Roman" w:eastAsia="Times New Roman" w:hAnsi="Times New Roman" w:cs="Times New Roman"/>
                <w:lang w:val="es-ES" w:eastAsia="es-ES_tradnl"/>
              </w:rPr>
            </w:pPr>
          </w:p>
        </w:tc>
      </w:tr>
      <w:tr w:rsidR="00A2595A" w:rsidRPr="00F77ADD" w:rsidTr="00F56688">
        <w:trPr>
          <w:trHeight w:val="20"/>
        </w:trPr>
        <w:tc>
          <w:tcPr>
            <w:tcW w:w="0" w:type="auto"/>
            <w:hideMark/>
          </w:tcPr>
          <w:p w:rsidR="00A2595A" w:rsidRPr="00F77ADD" w:rsidRDefault="00A2595A" w:rsidP="00F56688">
            <w:pPr>
              <w:rPr>
                <w:rFonts w:ascii="Times New Roman" w:hAnsi="Times New Roman" w:cs="Times New Roman"/>
                <w:lang w:eastAsia="es-ES_tradnl"/>
              </w:rPr>
            </w:pPr>
            <w:r w:rsidRPr="00F77ADD">
              <w:rPr>
                <w:rFonts w:ascii="Times New Roman" w:hAnsi="Times New Roman" w:cs="Times New Roman"/>
                <w:lang w:eastAsia="es-ES_tradnl"/>
              </w:rPr>
              <w:lastRenderedPageBreak/>
              <w:t>Using smart technologies at festivals (augmented reality, virtual reality, interactive installations) would make me feel completely immersed in the experience.</w:t>
            </w:r>
          </w:p>
        </w:tc>
        <w:tc>
          <w:tcPr>
            <w:tcW w:w="0" w:type="auto"/>
            <w:hideMark/>
          </w:tcPr>
          <w:p w:rsidR="00A2595A" w:rsidRPr="00F77ADD" w:rsidRDefault="00A2595A" w:rsidP="00F56688">
            <w:pPr>
              <w:jc w:val="right"/>
              <w:rPr>
                <w:rFonts w:ascii="Times New Roman" w:hAnsi="Times New Roman" w:cs="Times New Roman"/>
                <w:lang w:val="es-ES" w:eastAsia="es-ES_tradnl"/>
              </w:rPr>
            </w:pPr>
            <w:r w:rsidRPr="00F77ADD">
              <w:rPr>
                <w:rFonts w:ascii="Times New Roman" w:hAnsi="Times New Roman" w:cs="Times New Roman"/>
                <w:lang w:val="es-ES" w:eastAsia="es-ES_tradnl"/>
              </w:rPr>
              <w:t>4.875</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1.440</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0.797***</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0.092</w:t>
            </w:r>
          </w:p>
        </w:tc>
        <w:tc>
          <w:tcPr>
            <w:tcW w:w="920" w:type="dxa"/>
            <w:hideMark/>
          </w:tcPr>
          <w:p w:rsidR="00A2595A" w:rsidRPr="00F77ADD" w:rsidRDefault="00A2595A" w:rsidP="00F56688">
            <w:pPr>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&lt; .001</w:t>
            </w:r>
          </w:p>
        </w:tc>
      </w:tr>
      <w:tr w:rsidR="00A2595A" w:rsidRPr="00F77ADD" w:rsidTr="00F56688">
        <w:trPr>
          <w:trHeight w:val="20"/>
        </w:trPr>
        <w:tc>
          <w:tcPr>
            <w:tcW w:w="0" w:type="auto"/>
            <w:hideMark/>
          </w:tcPr>
          <w:p w:rsidR="00A2595A" w:rsidRPr="00F77ADD" w:rsidRDefault="00A2595A" w:rsidP="00F56688">
            <w:pPr>
              <w:rPr>
                <w:rFonts w:ascii="Times New Roman" w:hAnsi="Times New Roman" w:cs="Times New Roman"/>
                <w:lang w:eastAsia="es-ES_tradnl"/>
              </w:rPr>
            </w:pPr>
            <w:r w:rsidRPr="00F77ADD">
              <w:rPr>
                <w:rFonts w:ascii="Times New Roman" w:hAnsi="Times New Roman" w:cs="Times New Roman"/>
                <w:lang w:eastAsia="es-ES_tradnl"/>
              </w:rPr>
              <w:t>Smart technologies at festivals would help me emotionally connect with the music, art, or culture of the event.</w:t>
            </w:r>
          </w:p>
        </w:tc>
        <w:tc>
          <w:tcPr>
            <w:tcW w:w="0" w:type="auto"/>
            <w:hideMark/>
          </w:tcPr>
          <w:p w:rsidR="00A2595A" w:rsidRPr="00F77ADD" w:rsidRDefault="00A2595A" w:rsidP="00F56688">
            <w:pPr>
              <w:jc w:val="right"/>
              <w:rPr>
                <w:rFonts w:ascii="Times New Roman" w:hAnsi="Times New Roman" w:cs="Times New Roman"/>
                <w:lang w:val="es-ES" w:eastAsia="es-ES_tradnl"/>
              </w:rPr>
            </w:pPr>
            <w:r w:rsidRPr="00F77ADD">
              <w:rPr>
                <w:rFonts w:ascii="Times New Roman" w:hAnsi="Times New Roman" w:cs="Times New Roman"/>
                <w:lang w:val="es-ES" w:eastAsia="es-ES_tradnl"/>
              </w:rPr>
              <w:t>4.639</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1.665</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0.888***</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0.080</w:t>
            </w:r>
          </w:p>
        </w:tc>
        <w:tc>
          <w:tcPr>
            <w:tcW w:w="920" w:type="dxa"/>
            <w:hideMark/>
          </w:tcPr>
          <w:p w:rsidR="00A2595A" w:rsidRPr="00F77ADD" w:rsidRDefault="00A2595A" w:rsidP="00F56688">
            <w:pPr>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&lt; .001</w:t>
            </w:r>
          </w:p>
        </w:tc>
      </w:tr>
      <w:tr w:rsidR="00A2595A" w:rsidRPr="00F77ADD" w:rsidTr="00F56688">
        <w:trPr>
          <w:trHeight w:val="20"/>
        </w:trPr>
        <w:tc>
          <w:tcPr>
            <w:tcW w:w="0" w:type="auto"/>
            <w:hideMark/>
          </w:tcPr>
          <w:p w:rsidR="00A2595A" w:rsidRPr="00F77ADD" w:rsidRDefault="00A2595A" w:rsidP="00F56688">
            <w:pPr>
              <w:rPr>
                <w:rFonts w:ascii="Times New Roman" w:hAnsi="Times New Roman" w:cs="Times New Roman"/>
                <w:lang w:eastAsia="es-ES_tradnl"/>
              </w:rPr>
            </w:pPr>
            <w:r w:rsidRPr="00F77ADD">
              <w:rPr>
                <w:rFonts w:ascii="Times New Roman" w:hAnsi="Times New Roman" w:cs="Times New Roman"/>
                <w:lang w:eastAsia="es-ES_tradnl"/>
              </w:rPr>
              <w:t>I feel more involved and present at a festival when there are immersive technologies (augmented reality, virtual reality, interactive screens).</w:t>
            </w:r>
          </w:p>
        </w:tc>
        <w:tc>
          <w:tcPr>
            <w:tcW w:w="0" w:type="auto"/>
            <w:hideMark/>
          </w:tcPr>
          <w:p w:rsidR="00A2595A" w:rsidRPr="00F77ADD" w:rsidRDefault="00A2595A" w:rsidP="00F56688">
            <w:pPr>
              <w:jc w:val="right"/>
              <w:rPr>
                <w:rFonts w:ascii="Times New Roman" w:hAnsi="Times New Roman" w:cs="Times New Roman"/>
                <w:lang w:val="es-ES" w:eastAsia="es-ES_tradnl"/>
              </w:rPr>
            </w:pPr>
            <w:r w:rsidRPr="00F77ADD">
              <w:rPr>
                <w:rFonts w:ascii="Times New Roman" w:hAnsi="Times New Roman" w:cs="Times New Roman"/>
                <w:lang w:val="es-ES" w:eastAsia="es-ES_tradnl"/>
              </w:rPr>
              <w:t>4.412</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1.651</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0.853***</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0.088</w:t>
            </w:r>
          </w:p>
        </w:tc>
        <w:tc>
          <w:tcPr>
            <w:tcW w:w="920" w:type="dxa"/>
            <w:hideMark/>
          </w:tcPr>
          <w:p w:rsidR="00A2595A" w:rsidRPr="00F77ADD" w:rsidRDefault="00A2595A" w:rsidP="00F56688">
            <w:pPr>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&lt; .001</w:t>
            </w:r>
          </w:p>
        </w:tc>
      </w:tr>
      <w:tr w:rsidR="00A2595A" w:rsidRPr="00F77ADD" w:rsidTr="00F56688">
        <w:trPr>
          <w:trHeight w:val="20"/>
        </w:trPr>
        <w:tc>
          <w:tcPr>
            <w:tcW w:w="0" w:type="auto"/>
          </w:tcPr>
          <w:p w:rsidR="00A2595A" w:rsidRPr="00F77ADD" w:rsidRDefault="00A2595A" w:rsidP="00F56688">
            <w:pPr>
              <w:rPr>
                <w:rFonts w:ascii="Times New Roman" w:eastAsia="Times New Roman" w:hAnsi="Times New Roman" w:cs="Times New Roman"/>
                <w:b/>
                <w:bCs/>
                <w:lang w:eastAsia="es-ES_tradnl"/>
              </w:rPr>
            </w:pPr>
            <w:r w:rsidRPr="00F77ADD">
              <w:rPr>
                <w:rFonts w:ascii="Times New Roman" w:eastAsia="Times New Roman" w:hAnsi="Times New Roman" w:cs="Times New Roman"/>
                <w:b/>
                <w:bCs/>
                <w:lang w:eastAsia="es-ES_tradnl"/>
              </w:rPr>
              <w:t>Behavioral Loyalty Intention</w:t>
            </w:r>
          </w:p>
        </w:tc>
        <w:tc>
          <w:tcPr>
            <w:tcW w:w="0" w:type="auto"/>
          </w:tcPr>
          <w:p w:rsidR="00A2595A" w:rsidRPr="00F77ADD" w:rsidRDefault="00A2595A" w:rsidP="00F56688">
            <w:pPr>
              <w:jc w:val="right"/>
              <w:rPr>
                <w:rFonts w:ascii="Times New Roman" w:eastAsia="Times New Roman" w:hAnsi="Times New Roman" w:cs="Times New Roman"/>
                <w:lang w:val="es-ES" w:eastAsia="es-ES_tradnl"/>
              </w:rPr>
            </w:pPr>
          </w:p>
        </w:tc>
        <w:tc>
          <w:tcPr>
            <w:tcW w:w="0" w:type="auto"/>
          </w:tcPr>
          <w:p w:rsidR="00A2595A" w:rsidRPr="00F77ADD" w:rsidRDefault="00A2595A" w:rsidP="00F56688">
            <w:pPr>
              <w:jc w:val="right"/>
              <w:rPr>
                <w:rFonts w:ascii="Times New Roman" w:eastAsia="Times New Roman" w:hAnsi="Times New Roman" w:cs="Times New Roman"/>
                <w:lang w:val="es-ES" w:eastAsia="es-ES_tradnl"/>
              </w:rPr>
            </w:pPr>
          </w:p>
        </w:tc>
        <w:tc>
          <w:tcPr>
            <w:tcW w:w="0" w:type="auto"/>
          </w:tcPr>
          <w:p w:rsidR="00A2595A" w:rsidRPr="00F77ADD" w:rsidRDefault="00A2595A" w:rsidP="00F56688">
            <w:pPr>
              <w:jc w:val="right"/>
              <w:rPr>
                <w:rFonts w:ascii="Times New Roman" w:eastAsia="Times New Roman" w:hAnsi="Times New Roman" w:cs="Times New Roman"/>
                <w:lang w:val="es-ES" w:eastAsia="es-ES_tradnl"/>
              </w:rPr>
            </w:pPr>
          </w:p>
        </w:tc>
        <w:tc>
          <w:tcPr>
            <w:tcW w:w="0" w:type="auto"/>
          </w:tcPr>
          <w:p w:rsidR="00A2595A" w:rsidRPr="00F77ADD" w:rsidRDefault="00A2595A" w:rsidP="00F56688">
            <w:pPr>
              <w:jc w:val="right"/>
              <w:rPr>
                <w:rFonts w:ascii="Times New Roman" w:eastAsia="Times New Roman" w:hAnsi="Times New Roman" w:cs="Times New Roman"/>
                <w:lang w:val="es-ES" w:eastAsia="es-ES_tradnl"/>
              </w:rPr>
            </w:pPr>
          </w:p>
        </w:tc>
        <w:tc>
          <w:tcPr>
            <w:tcW w:w="920" w:type="dxa"/>
          </w:tcPr>
          <w:p w:rsidR="00A2595A" w:rsidRPr="00F77ADD" w:rsidRDefault="00A2595A" w:rsidP="00F56688">
            <w:pPr>
              <w:rPr>
                <w:rFonts w:ascii="Times New Roman" w:eastAsia="Times New Roman" w:hAnsi="Times New Roman" w:cs="Times New Roman"/>
                <w:lang w:val="es-ES" w:eastAsia="es-ES_tradnl"/>
              </w:rPr>
            </w:pPr>
          </w:p>
        </w:tc>
      </w:tr>
      <w:tr w:rsidR="00A2595A" w:rsidRPr="00F77ADD" w:rsidTr="00F56688">
        <w:trPr>
          <w:trHeight w:val="20"/>
        </w:trPr>
        <w:tc>
          <w:tcPr>
            <w:tcW w:w="0" w:type="auto"/>
            <w:hideMark/>
          </w:tcPr>
          <w:p w:rsidR="00A2595A" w:rsidRPr="00F77ADD" w:rsidRDefault="00A2595A" w:rsidP="00F56688">
            <w:pPr>
              <w:rPr>
                <w:rFonts w:ascii="Times New Roman" w:hAnsi="Times New Roman" w:cs="Times New Roman"/>
                <w:lang w:eastAsia="es-ES_tradnl"/>
              </w:rPr>
            </w:pPr>
            <w:r w:rsidRPr="00F77ADD">
              <w:rPr>
                <w:rFonts w:ascii="Times New Roman" w:hAnsi="Times New Roman" w:cs="Times New Roman"/>
                <w:lang w:eastAsia="es-ES_tradnl"/>
              </w:rPr>
              <w:t>I would attend again a festival that offers innovative smart technology experiences (AI apps, augmented/virtual reality, personalization).</w:t>
            </w:r>
          </w:p>
        </w:tc>
        <w:tc>
          <w:tcPr>
            <w:tcW w:w="0" w:type="auto"/>
            <w:hideMark/>
          </w:tcPr>
          <w:p w:rsidR="00A2595A" w:rsidRPr="00F77ADD" w:rsidRDefault="00A2595A" w:rsidP="00F56688">
            <w:pPr>
              <w:jc w:val="right"/>
              <w:rPr>
                <w:rFonts w:ascii="Times New Roman" w:hAnsi="Times New Roman" w:cs="Times New Roman"/>
                <w:lang w:val="es-ES" w:eastAsia="es-ES_tradnl"/>
              </w:rPr>
            </w:pPr>
            <w:r w:rsidRPr="00F77ADD">
              <w:rPr>
                <w:rFonts w:ascii="Times New Roman" w:hAnsi="Times New Roman" w:cs="Times New Roman"/>
                <w:lang w:val="es-ES" w:eastAsia="es-ES_tradnl"/>
              </w:rPr>
              <w:t>5.171</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1.412</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0.863***</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0.094</w:t>
            </w:r>
          </w:p>
        </w:tc>
        <w:tc>
          <w:tcPr>
            <w:tcW w:w="920" w:type="dxa"/>
            <w:hideMark/>
          </w:tcPr>
          <w:p w:rsidR="00A2595A" w:rsidRPr="00F77ADD" w:rsidRDefault="00A2595A" w:rsidP="00F56688">
            <w:pPr>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&lt; .001</w:t>
            </w:r>
          </w:p>
        </w:tc>
      </w:tr>
      <w:tr w:rsidR="00A2595A" w:rsidRPr="00F77ADD" w:rsidTr="00F56688">
        <w:trPr>
          <w:trHeight w:val="20"/>
        </w:trPr>
        <w:tc>
          <w:tcPr>
            <w:tcW w:w="0" w:type="auto"/>
            <w:hideMark/>
          </w:tcPr>
          <w:p w:rsidR="00A2595A" w:rsidRPr="00F77ADD" w:rsidRDefault="00A2595A" w:rsidP="00F56688">
            <w:pPr>
              <w:rPr>
                <w:rFonts w:ascii="Times New Roman" w:hAnsi="Times New Roman" w:cs="Times New Roman"/>
                <w:lang w:eastAsia="es-ES_tradnl"/>
              </w:rPr>
            </w:pPr>
            <w:r w:rsidRPr="00F77ADD">
              <w:rPr>
                <w:rFonts w:ascii="Times New Roman" w:hAnsi="Times New Roman" w:cs="Times New Roman"/>
                <w:lang w:eastAsia="es-ES_tradnl"/>
              </w:rPr>
              <w:t>I would recommend to my friends and acquaintances a festival that integrates smart technologies well into the experience.</w:t>
            </w:r>
          </w:p>
        </w:tc>
        <w:tc>
          <w:tcPr>
            <w:tcW w:w="0" w:type="auto"/>
            <w:hideMark/>
          </w:tcPr>
          <w:p w:rsidR="00A2595A" w:rsidRPr="00F77ADD" w:rsidRDefault="00A2595A" w:rsidP="00F56688">
            <w:pPr>
              <w:jc w:val="right"/>
              <w:rPr>
                <w:rFonts w:ascii="Times New Roman" w:hAnsi="Times New Roman" w:cs="Times New Roman"/>
                <w:lang w:val="es-ES" w:eastAsia="es-ES_tradnl"/>
              </w:rPr>
            </w:pPr>
            <w:r w:rsidRPr="00F77ADD">
              <w:rPr>
                <w:rFonts w:ascii="Times New Roman" w:hAnsi="Times New Roman" w:cs="Times New Roman"/>
                <w:lang w:val="es-ES" w:eastAsia="es-ES_tradnl"/>
              </w:rPr>
              <w:t>5.227</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1.430</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0.930***</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0.089</w:t>
            </w:r>
          </w:p>
        </w:tc>
        <w:tc>
          <w:tcPr>
            <w:tcW w:w="920" w:type="dxa"/>
            <w:hideMark/>
          </w:tcPr>
          <w:p w:rsidR="00A2595A" w:rsidRPr="00F77ADD" w:rsidRDefault="00A2595A" w:rsidP="00F56688">
            <w:pPr>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&lt; .001</w:t>
            </w:r>
          </w:p>
        </w:tc>
      </w:tr>
      <w:tr w:rsidR="00A2595A" w:rsidRPr="00F77ADD" w:rsidTr="00F56688">
        <w:trPr>
          <w:trHeight w:val="20"/>
        </w:trPr>
        <w:tc>
          <w:tcPr>
            <w:tcW w:w="0" w:type="auto"/>
            <w:hideMark/>
          </w:tcPr>
          <w:p w:rsidR="00A2595A" w:rsidRPr="00F77ADD" w:rsidRDefault="00A2595A" w:rsidP="00F56688">
            <w:pPr>
              <w:rPr>
                <w:rFonts w:ascii="Times New Roman" w:hAnsi="Times New Roman" w:cs="Times New Roman"/>
                <w:lang w:eastAsia="es-ES_tradnl"/>
              </w:rPr>
            </w:pPr>
            <w:r w:rsidRPr="00F77ADD">
              <w:rPr>
                <w:rFonts w:ascii="Times New Roman" w:hAnsi="Times New Roman" w:cs="Times New Roman"/>
                <w:lang w:eastAsia="es-ES_tradnl"/>
              </w:rPr>
              <w:t>If a festival offers smart technologies that enhance the attendee experience, I have much more intention to attend again.</w:t>
            </w:r>
          </w:p>
        </w:tc>
        <w:tc>
          <w:tcPr>
            <w:tcW w:w="0" w:type="auto"/>
            <w:hideMark/>
          </w:tcPr>
          <w:p w:rsidR="00A2595A" w:rsidRPr="00F77ADD" w:rsidRDefault="00A2595A" w:rsidP="00F56688">
            <w:pPr>
              <w:jc w:val="right"/>
              <w:rPr>
                <w:rFonts w:ascii="Times New Roman" w:hAnsi="Times New Roman" w:cs="Times New Roman"/>
                <w:lang w:val="es-ES" w:eastAsia="es-ES_tradnl"/>
              </w:rPr>
            </w:pPr>
            <w:r w:rsidRPr="00F77ADD">
              <w:rPr>
                <w:rFonts w:ascii="Times New Roman" w:hAnsi="Times New Roman" w:cs="Times New Roman"/>
                <w:lang w:val="es-ES" w:eastAsia="es-ES_tradnl"/>
              </w:rPr>
              <w:t>5.037</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1.481</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0.781***</w:t>
            </w:r>
          </w:p>
        </w:tc>
        <w:tc>
          <w:tcPr>
            <w:tcW w:w="0" w:type="auto"/>
            <w:hideMark/>
          </w:tcPr>
          <w:p w:rsidR="00A2595A" w:rsidRPr="00F77ADD" w:rsidRDefault="00A2595A" w:rsidP="00F56688">
            <w:pPr>
              <w:jc w:val="right"/>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0.097</w:t>
            </w:r>
          </w:p>
        </w:tc>
        <w:tc>
          <w:tcPr>
            <w:tcW w:w="920" w:type="dxa"/>
            <w:hideMark/>
          </w:tcPr>
          <w:p w:rsidR="00A2595A" w:rsidRPr="00F77ADD" w:rsidRDefault="00A2595A" w:rsidP="00F56688">
            <w:pPr>
              <w:rPr>
                <w:rFonts w:ascii="Times New Roman" w:eastAsia="Times New Roman" w:hAnsi="Times New Roman" w:cs="Times New Roman"/>
                <w:lang w:val="es-ES" w:eastAsia="es-ES_tradnl"/>
              </w:rPr>
            </w:pPr>
            <w:r w:rsidRPr="00F77ADD">
              <w:rPr>
                <w:rFonts w:ascii="Times New Roman" w:eastAsia="Times New Roman" w:hAnsi="Times New Roman" w:cs="Times New Roman"/>
                <w:lang w:val="es-ES" w:eastAsia="es-ES_tradnl"/>
              </w:rPr>
              <w:t>&lt; .001</w:t>
            </w:r>
          </w:p>
        </w:tc>
      </w:tr>
    </w:tbl>
    <w:p w:rsidR="00A2595A" w:rsidRDefault="00A2595A" w:rsidP="00A2595A">
      <w:pPr>
        <w:pStyle w:val="Newparagraph"/>
        <w:sectPr w:rsidR="00A2595A" w:rsidSect="00A2595A">
          <w:pgSz w:w="16840" w:h="11901" w:orient="landscape" w:code="9"/>
          <w:pgMar w:top="1701" w:right="1418" w:bottom="1701" w:left="1418" w:header="709" w:footer="709" w:gutter="0"/>
          <w:cols w:space="708"/>
          <w:docGrid w:linePitch="360"/>
        </w:sectPr>
      </w:pPr>
    </w:p>
    <w:p w:rsidR="00A2595A" w:rsidRPr="00B21885" w:rsidRDefault="00A2595A" w:rsidP="00A2595A">
      <w:pPr>
        <w:pStyle w:val="Tabletitle"/>
        <w:rPr>
          <w:lang w:val="en-US"/>
        </w:rPr>
      </w:pPr>
      <w:r w:rsidRPr="00B21885">
        <w:rPr>
          <w:lang w:val="en-US"/>
        </w:rPr>
        <w:lastRenderedPageBreak/>
        <w:t>Appendix Table A</w:t>
      </w:r>
      <w:r>
        <w:rPr>
          <w:lang w:val="en-US"/>
        </w:rPr>
        <w:t>3</w:t>
      </w:r>
      <w:r w:rsidRPr="00B21885">
        <w:rPr>
          <w:lang w:val="en-US"/>
        </w:rPr>
        <w:t xml:space="preserve">. Global fit indices </w:t>
      </w:r>
    </w:p>
    <w:tbl>
      <w:tblPr>
        <w:tblW w:w="0" w:type="auto"/>
        <w:jc w:val="center"/>
        <w:tblLayout w:type="fixed"/>
        <w:tblLook w:val="0420" w:firstRow="1" w:lastRow="0" w:firstColumn="0" w:lastColumn="0" w:noHBand="0" w:noVBand="1"/>
      </w:tblPr>
      <w:tblGrid>
        <w:gridCol w:w="1013"/>
        <w:gridCol w:w="1080"/>
        <w:gridCol w:w="691"/>
        <w:gridCol w:w="1047"/>
        <w:gridCol w:w="858"/>
        <w:gridCol w:w="858"/>
        <w:gridCol w:w="1069"/>
        <w:gridCol w:w="946"/>
      </w:tblGrid>
      <w:tr w:rsidR="00A2595A" w:rsidRPr="00FF7E14" w:rsidTr="00F56688">
        <w:trPr>
          <w:tblHeader/>
          <w:jc w:val="center"/>
        </w:trPr>
        <w:tc>
          <w:tcPr>
            <w:tcW w:w="1013" w:type="dxa"/>
            <w:tcBorders>
              <w:bottom w:val="single" w:sz="4" w:space="0" w:color="auto"/>
            </w:tcBorders>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rPr>
                <w:rFonts w:eastAsia="Helvetica"/>
                <w:color w:val="000000"/>
              </w:rPr>
            </w:pPr>
            <w:r w:rsidRPr="00FF7E14">
              <w:rPr>
                <w:rFonts w:eastAsia="Helvetica"/>
                <w:color w:val="000000"/>
              </w:rPr>
              <w:t>Model</w:t>
            </w:r>
          </w:p>
        </w:tc>
        <w:tc>
          <w:tcPr>
            <w:tcW w:w="1080" w:type="dxa"/>
            <w:tcBorders>
              <w:bottom w:val="single" w:sz="4" w:space="0" w:color="auto"/>
            </w:tcBorders>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proofErr w:type="spellStart"/>
            <w:r w:rsidRPr="00FF7E14">
              <w:rPr>
                <w:rFonts w:eastAsia="Helvetica"/>
                <w:color w:val="000000"/>
              </w:rPr>
              <w:t>chisq</w:t>
            </w:r>
            <w:proofErr w:type="spellEnd"/>
          </w:p>
        </w:tc>
        <w:tc>
          <w:tcPr>
            <w:tcW w:w="691" w:type="dxa"/>
            <w:tcBorders>
              <w:bottom w:val="single" w:sz="4" w:space="0" w:color="auto"/>
            </w:tcBorders>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proofErr w:type="spellStart"/>
            <w:r w:rsidRPr="00FF7E14">
              <w:rPr>
                <w:rFonts w:eastAsia="Helvetica"/>
                <w:color w:val="000000"/>
              </w:rPr>
              <w:t>df</w:t>
            </w:r>
            <w:proofErr w:type="spellEnd"/>
          </w:p>
        </w:tc>
        <w:tc>
          <w:tcPr>
            <w:tcW w:w="1047" w:type="dxa"/>
            <w:tcBorders>
              <w:bottom w:val="single" w:sz="4" w:space="0" w:color="auto"/>
            </w:tcBorders>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proofErr w:type="spellStart"/>
            <w:r w:rsidRPr="00FF7E14">
              <w:rPr>
                <w:rFonts w:eastAsia="Helvetica"/>
                <w:color w:val="000000"/>
              </w:rPr>
              <w:t>chisq</w:t>
            </w:r>
            <w:proofErr w:type="spellEnd"/>
            <w:r w:rsidRPr="00FF7E14">
              <w:rPr>
                <w:rFonts w:eastAsia="Helvetica"/>
                <w:color w:val="000000"/>
              </w:rPr>
              <w:t>/</w:t>
            </w:r>
            <w:proofErr w:type="spellStart"/>
            <w:r w:rsidRPr="00FF7E14">
              <w:rPr>
                <w:rFonts w:eastAsia="Helvetica"/>
                <w:color w:val="000000"/>
              </w:rPr>
              <w:t>df</w:t>
            </w:r>
            <w:proofErr w:type="spellEnd"/>
          </w:p>
        </w:tc>
        <w:tc>
          <w:tcPr>
            <w:tcW w:w="858" w:type="dxa"/>
            <w:tcBorders>
              <w:bottom w:val="single" w:sz="4" w:space="0" w:color="auto"/>
            </w:tcBorders>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CFI</w:t>
            </w:r>
          </w:p>
        </w:tc>
        <w:tc>
          <w:tcPr>
            <w:tcW w:w="858" w:type="dxa"/>
            <w:tcBorders>
              <w:bottom w:val="single" w:sz="4" w:space="0" w:color="auto"/>
            </w:tcBorders>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TLI</w:t>
            </w:r>
          </w:p>
        </w:tc>
        <w:tc>
          <w:tcPr>
            <w:tcW w:w="1069" w:type="dxa"/>
            <w:tcBorders>
              <w:bottom w:val="single" w:sz="4" w:space="0" w:color="auto"/>
            </w:tcBorders>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RMSEA</w:t>
            </w:r>
          </w:p>
        </w:tc>
        <w:tc>
          <w:tcPr>
            <w:tcW w:w="946" w:type="dxa"/>
            <w:tcBorders>
              <w:bottom w:val="single" w:sz="4" w:space="0" w:color="auto"/>
            </w:tcBorders>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SRMR</w:t>
            </w:r>
          </w:p>
        </w:tc>
      </w:tr>
      <w:tr w:rsidR="00A2595A" w:rsidRPr="00FF7E14" w:rsidTr="00F56688">
        <w:trPr>
          <w:jc w:val="center"/>
        </w:trPr>
        <w:tc>
          <w:tcPr>
            <w:tcW w:w="1013" w:type="dxa"/>
            <w:tcBorders>
              <w:top w:val="single" w:sz="4" w:space="0" w:color="auto"/>
            </w:tcBorders>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rPr>
                <w:rFonts w:eastAsia="Helvetica"/>
                <w:color w:val="000000"/>
              </w:rPr>
            </w:pPr>
            <w:r w:rsidRPr="00FF7E14">
              <w:rPr>
                <w:rFonts w:eastAsia="Helvetica"/>
                <w:color w:val="000000"/>
              </w:rPr>
              <w:t>CFA</w:t>
            </w:r>
          </w:p>
        </w:tc>
        <w:tc>
          <w:tcPr>
            <w:tcW w:w="1080" w:type="dxa"/>
            <w:tcBorders>
              <w:top w:val="single" w:sz="4" w:space="0" w:color="auto"/>
            </w:tcBorders>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367.567</w:t>
            </w:r>
          </w:p>
        </w:tc>
        <w:tc>
          <w:tcPr>
            <w:tcW w:w="691" w:type="dxa"/>
            <w:tcBorders>
              <w:top w:val="single" w:sz="4" w:space="0" w:color="auto"/>
            </w:tcBorders>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155</w:t>
            </w:r>
          </w:p>
        </w:tc>
        <w:tc>
          <w:tcPr>
            <w:tcW w:w="1047" w:type="dxa"/>
            <w:tcBorders>
              <w:top w:val="single" w:sz="4" w:space="0" w:color="auto"/>
            </w:tcBorders>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2.371</w:t>
            </w:r>
          </w:p>
        </w:tc>
        <w:tc>
          <w:tcPr>
            <w:tcW w:w="858" w:type="dxa"/>
            <w:tcBorders>
              <w:top w:val="single" w:sz="4" w:space="0" w:color="auto"/>
            </w:tcBorders>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0.931</w:t>
            </w:r>
          </w:p>
        </w:tc>
        <w:tc>
          <w:tcPr>
            <w:tcW w:w="858" w:type="dxa"/>
            <w:tcBorders>
              <w:top w:val="single" w:sz="4" w:space="0" w:color="auto"/>
            </w:tcBorders>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0.915</w:t>
            </w:r>
          </w:p>
        </w:tc>
        <w:tc>
          <w:tcPr>
            <w:tcW w:w="1069" w:type="dxa"/>
            <w:tcBorders>
              <w:top w:val="single" w:sz="4" w:space="0" w:color="auto"/>
            </w:tcBorders>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0.080</w:t>
            </w:r>
          </w:p>
        </w:tc>
        <w:tc>
          <w:tcPr>
            <w:tcW w:w="946" w:type="dxa"/>
            <w:tcBorders>
              <w:top w:val="single" w:sz="4" w:space="0" w:color="auto"/>
            </w:tcBorders>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0.060</w:t>
            </w:r>
          </w:p>
        </w:tc>
      </w:tr>
      <w:tr w:rsidR="00A2595A" w:rsidRPr="00FF7E14" w:rsidTr="00F56688">
        <w:trPr>
          <w:jc w:val="center"/>
        </w:trPr>
        <w:tc>
          <w:tcPr>
            <w:tcW w:w="1013" w:type="dxa"/>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rPr>
                <w:rFonts w:eastAsia="Helvetica"/>
                <w:color w:val="000000"/>
              </w:rPr>
            </w:pPr>
            <w:r w:rsidRPr="00FF7E14">
              <w:rPr>
                <w:rFonts w:eastAsia="Helvetica"/>
                <w:color w:val="000000"/>
              </w:rPr>
              <w:t>SEM</w:t>
            </w:r>
          </w:p>
        </w:tc>
        <w:tc>
          <w:tcPr>
            <w:tcW w:w="1080" w:type="dxa"/>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470.909</w:t>
            </w:r>
          </w:p>
        </w:tc>
        <w:tc>
          <w:tcPr>
            <w:tcW w:w="691" w:type="dxa"/>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162</w:t>
            </w:r>
          </w:p>
        </w:tc>
        <w:tc>
          <w:tcPr>
            <w:tcW w:w="1047" w:type="dxa"/>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2.907</w:t>
            </w:r>
          </w:p>
        </w:tc>
        <w:tc>
          <w:tcPr>
            <w:tcW w:w="858" w:type="dxa"/>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0.899</w:t>
            </w:r>
          </w:p>
        </w:tc>
        <w:tc>
          <w:tcPr>
            <w:tcW w:w="858" w:type="dxa"/>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0.882</w:t>
            </w:r>
          </w:p>
        </w:tc>
        <w:tc>
          <w:tcPr>
            <w:tcW w:w="1069" w:type="dxa"/>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0.094</w:t>
            </w:r>
          </w:p>
        </w:tc>
        <w:tc>
          <w:tcPr>
            <w:tcW w:w="946" w:type="dxa"/>
            <w:shd w:val="clear" w:color="auto" w:fill="FFFFFF"/>
            <w:tcMar>
              <w:top w:w="0" w:type="dxa"/>
              <w:left w:w="0" w:type="dxa"/>
              <w:bottom w:w="0" w:type="dxa"/>
              <w:right w:w="0" w:type="dxa"/>
            </w:tcMar>
            <w:vAlign w:val="center"/>
          </w:tcPr>
          <w:p w:rsidR="00A2595A" w:rsidRPr="00FF7E14" w:rsidRDefault="00A2595A" w:rsidP="00F56688">
            <w:pPr>
              <w:pBdr>
                <w:top w:val="none" w:sz="0" w:space="0" w:color="000000"/>
                <w:left w:val="none" w:sz="0" w:space="0" w:color="000000"/>
                <w:bottom w:val="none" w:sz="0" w:space="0" w:color="000000"/>
                <w:right w:val="none" w:sz="0" w:space="0" w:color="000000"/>
              </w:pBdr>
              <w:spacing w:before="80" w:after="80"/>
              <w:ind w:left="80" w:right="80"/>
              <w:jc w:val="right"/>
              <w:rPr>
                <w:rFonts w:eastAsia="Helvetica"/>
                <w:color w:val="000000"/>
              </w:rPr>
            </w:pPr>
            <w:r w:rsidRPr="00FF7E14">
              <w:rPr>
                <w:rFonts w:eastAsia="Helvetica"/>
                <w:color w:val="000000"/>
              </w:rPr>
              <w:t>0.109</w:t>
            </w:r>
          </w:p>
        </w:tc>
      </w:tr>
    </w:tbl>
    <w:p w:rsidR="00A2595A" w:rsidRPr="00A2595A" w:rsidRDefault="00A2595A" w:rsidP="00A2595A">
      <w:pPr>
        <w:pStyle w:val="Newparagraph"/>
        <w:ind w:firstLine="0"/>
      </w:pPr>
    </w:p>
    <w:sectPr w:rsidR="00A2595A" w:rsidRPr="00A2595A" w:rsidSect="00A2595A">
      <w:pgSz w:w="11901" w:h="16840"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06E81" w:rsidRDefault="00206E81" w:rsidP="00AF2C92">
      <w:r>
        <w:separator/>
      </w:r>
    </w:p>
  </w:endnote>
  <w:endnote w:type="continuationSeparator" w:id="0">
    <w:p w:rsidR="00206E81" w:rsidRDefault="00206E81"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11DD" w:rsidRDefault="002211D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11DD" w:rsidRDefault="002211D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11DD" w:rsidRDefault="002211D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06E81" w:rsidRDefault="00206E81" w:rsidP="00AF2C92">
      <w:r>
        <w:separator/>
      </w:r>
    </w:p>
  </w:footnote>
  <w:footnote w:type="continuationSeparator" w:id="0">
    <w:p w:rsidR="00206E81" w:rsidRDefault="00206E81" w:rsidP="00AF2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11DD" w:rsidRDefault="002211D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11DD" w:rsidRDefault="002211D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11DD" w:rsidRDefault="002211D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79229481">
    <w:abstractNumId w:val="15"/>
  </w:num>
  <w:num w:numId="2" w16cid:durableId="293873851">
    <w:abstractNumId w:val="19"/>
  </w:num>
  <w:num w:numId="3" w16cid:durableId="2078823298">
    <w:abstractNumId w:val="1"/>
  </w:num>
  <w:num w:numId="4" w16cid:durableId="970331176">
    <w:abstractNumId w:val="2"/>
  </w:num>
  <w:num w:numId="5" w16cid:durableId="1517499511">
    <w:abstractNumId w:val="3"/>
  </w:num>
  <w:num w:numId="6" w16cid:durableId="554782413">
    <w:abstractNumId w:val="4"/>
  </w:num>
  <w:num w:numId="7" w16cid:durableId="269047426">
    <w:abstractNumId w:val="9"/>
  </w:num>
  <w:num w:numId="8" w16cid:durableId="416174336">
    <w:abstractNumId w:val="5"/>
  </w:num>
  <w:num w:numId="9" w16cid:durableId="496966127">
    <w:abstractNumId w:val="7"/>
  </w:num>
  <w:num w:numId="10" w16cid:durableId="458689614">
    <w:abstractNumId w:val="6"/>
  </w:num>
  <w:num w:numId="11" w16cid:durableId="1494373194">
    <w:abstractNumId w:val="10"/>
  </w:num>
  <w:num w:numId="12" w16cid:durableId="2126346200">
    <w:abstractNumId w:val="8"/>
  </w:num>
  <w:num w:numId="13" w16cid:durableId="621770648">
    <w:abstractNumId w:val="17"/>
  </w:num>
  <w:num w:numId="14" w16cid:durableId="412776565">
    <w:abstractNumId w:val="20"/>
  </w:num>
  <w:num w:numId="15" w16cid:durableId="1726638000">
    <w:abstractNumId w:val="14"/>
  </w:num>
  <w:num w:numId="16" w16cid:durableId="947857674">
    <w:abstractNumId w:val="16"/>
  </w:num>
  <w:num w:numId="17" w16cid:durableId="1604530683">
    <w:abstractNumId w:val="11"/>
  </w:num>
  <w:num w:numId="18" w16cid:durableId="1452090200">
    <w:abstractNumId w:val="0"/>
  </w:num>
  <w:num w:numId="19" w16cid:durableId="2077124823">
    <w:abstractNumId w:val="12"/>
  </w:num>
  <w:num w:numId="20" w16cid:durableId="640814435">
    <w:abstractNumId w:val="20"/>
  </w:num>
  <w:num w:numId="21" w16cid:durableId="1114133757">
    <w:abstractNumId w:val="20"/>
  </w:num>
  <w:num w:numId="22" w16cid:durableId="1335961481">
    <w:abstractNumId w:val="20"/>
  </w:num>
  <w:num w:numId="23" w16cid:durableId="197351341">
    <w:abstractNumId w:val="20"/>
  </w:num>
  <w:num w:numId="24" w16cid:durableId="808399417">
    <w:abstractNumId w:val="17"/>
  </w:num>
  <w:num w:numId="25" w16cid:durableId="123743578">
    <w:abstractNumId w:val="18"/>
  </w:num>
  <w:num w:numId="26" w16cid:durableId="147718225">
    <w:abstractNumId w:val="21"/>
  </w:num>
  <w:num w:numId="27" w16cid:durableId="771704718">
    <w:abstractNumId w:val="22"/>
  </w:num>
  <w:num w:numId="28" w16cid:durableId="1524783701">
    <w:abstractNumId w:val="20"/>
  </w:num>
  <w:num w:numId="29" w16cid:durableId="1307972394">
    <w:abstractNumId w:val="13"/>
  </w:num>
  <w:num w:numId="30" w16cid:durableId="17536192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DA9"/>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57A16"/>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5CE"/>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0B3D"/>
    <w:rsid w:val="00114ABE"/>
    <w:rsid w:val="00116023"/>
    <w:rsid w:val="00134A51"/>
    <w:rsid w:val="00140727"/>
    <w:rsid w:val="00160628"/>
    <w:rsid w:val="00161344"/>
    <w:rsid w:val="00162195"/>
    <w:rsid w:val="0016322A"/>
    <w:rsid w:val="00165A21"/>
    <w:rsid w:val="001705CE"/>
    <w:rsid w:val="00170F22"/>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06E81"/>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87EBA"/>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5710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3C59"/>
    <w:rsid w:val="003D4729"/>
    <w:rsid w:val="003D7DD6"/>
    <w:rsid w:val="003E5AAF"/>
    <w:rsid w:val="003E600D"/>
    <w:rsid w:val="003E64DF"/>
    <w:rsid w:val="003E6A5D"/>
    <w:rsid w:val="003E7FC4"/>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4CCE"/>
    <w:rsid w:val="004667E0"/>
    <w:rsid w:val="0046760E"/>
    <w:rsid w:val="00470DA9"/>
    <w:rsid w:val="00470E10"/>
    <w:rsid w:val="00477A97"/>
    <w:rsid w:val="00481343"/>
    <w:rsid w:val="0048549E"/>
    <w:rsid w:val="004930C6"/>
    <w:rsid w:val="00493347"/>
    <w:rsid w:val="00496092"/>
    <w:rsid w:val="004A08DB"/>
    <w:rsid w:val="004A25D0"/>
    <w:rsid w:val="004A37E8"/>
    <w:rsid w:val="004A4D5E"/>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6323"/>
    <w:rsid w:val="00557988"/>
    <w:rsid w:val="00562C49"/>
    <w:rsid w:val="00562DEF"/>
    <w:rsid w:val="0056321A"/>
    <w:rsid w:val="00563A35"/>
    <w:rsid w:val="00563B0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B7A4F"/>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07C92"/>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28DD"/>
    <w:rsid w:val="007E3AA7"/>
    <w:rsid w:val="007F4235"/>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3765"/>
    <w:rsid w:val="00853794"/>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21A6"/>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595A"/>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B65C8"/>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86585"/>
    <w:rsid w:val="00B91A7B"/>
    <w:rsid w:val="00B927D2"/>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83C32"/>
    <w:rsid w:val="00C947F8"/>
    <w:rsid w:val="00C9515F"/>
    <w:rsid w:val="00C963C5"/>
    <w:rsid w:val="00CA030C"/>
    <w:rsid w:val="00CA1F41"/>
    <w:rsid w:val="00CA32EE"/>
    <w:rsid w:val="00CA3C8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312B"/>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1122"/>
    <w:rsid w:val="00F43B9D"/>
    <w:rsid w:val="00F44D5E"/>
    <w:rsid w:val="00F53A35"/>
    <w:rsid w:val="00F55A3D"/>
    <w:rsid w:val="00F5744B"/>
    <w:rsid w:val="00F61209"/>
    <w:rsid w:val="00F6259E"/>
    <w:rsid w:val="00F65DD4"/>
    <w:rsid w:val="00F672B2"/>
    <w:rsid w:val="00F77ADD"/>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24F9"/>
    <w:rsid w:val="00FE4713"/>
    <w:rsid w:val="00FF1F44"/>
    <w:rsid w:val="00FF225E"/>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5F7AC"/>
  <w14:defaultImageDpi w14:val="330"/>
  <w15:docId w15:val="{88193606-5715-5B45-9010-2770A1A48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96F"/>
    <w:pPr>
      <w:spacing w:line="480" w:lineRule="auto"/>
    </w:pPr>
    <w:rPr>
      <w:sz w:val="24"/>
      <w:szCs w:val="24"/>
    </w:rPr>
  </w:style>
  <w:style w:type="paragraph" w:styleId="Ttulo1">
    <w:name w:val="heading 1"/>
    <w:basedOn w:val="Normal"/>
    <w:next w:val="Paragraph"/>
    <w:link w:val="Ttulo1Car"/>
    <w:qFormat/>
    <w:rsid w:val="00AE1ED4"/>
    <w:pPr>
      <w:keepNext/>
      <w:spacing w:before="360" w:after="60" w:line="360" w:lineRule="auto"/>
      <w:ind w:right="567"/>
      <w:contextualSpacing/>
      <w:outlineLvl w:val="0"/>
    </w:pPr>
    <w:rPr>
      <w:rFonts w:cs="Arial"/>
      <w:b/>
      <w:bCs/>
      <w:kern w:val="32"/>
      <w:szCs w:val="32"/>
    </w:rPr>
  </w:style>
  <w:style w:type="paragraph" w:styleId="Ttulo2">
    <w:name w:val="heading 2"/>
    <w:basedOn w:val="Normal"/>
    <w:next w:val="Paragraph"/>
    <w:link w:val="Ttulo2Car"/>
    <w:qFormat/>
    <w:rsid w:val="008D07FB"/>
    <w:pPr>
      <w:keepNext/>
      <w:spacing w:before="360" w:after="60" w:line="360" w:lineRule="auto"/>
      <w:ind w:right="567"/>
      <w:contextualSpacing/>
      <w:outlineLvl w:val="1"/>
    </w:pPr>
    <w:rPr>
      <w:rFonts w:cs="Arial"/>
      <w:b/>
      <w:bCs/>
      <w:i/>
      <w:iCs/>
      <w:szCs w:val="28"/>
    </w:rPr>
  </w:style>
  <w:style w:type="paragraph" w:styleId="Ttulo3">
    <w:name w:val="heading 3"/>
    <w:basedOn w:val="Normal"/>
    <w:next w:val="Paragraph"/>
    <w:link w:val="Ttulo3Car"/>
    <w:qFormat/>
    <w:rsid w:val="00DF7EE2"/>
    <w:pPr>
      <w:keepNext/>
      <w:spacing w:before="360" w:after="60" w:line="360" w:lineRule="auto"/>
      <w:ind w:right="567"/>
      <w:contextualSpacing/>
      <w:outlineLvl w:val="2"/>
    </w:pPr>
    <w:rPr>
      <w:rFonts w:cs="Arial"/>
      <w:bCs/>
      <w:i/>
      <w:szCs w:val="26"/>
    </w:rPr>
  </w:style>
  <w:style w:type="paragraph" w:styleId="Ttulo4">
    <w:name w:val="heading 4"/>
    <w:basedOn w:val="Paragraph"/>
    <w:next w:val="Newparagraph"/>
    <w:link w:val="Ttulo4Car"/>
    <w:rsid w:val="00F43B9D"/>
    <w:pPr>
      <w:spacing w:before="360"/>
      <w:outlineLvl w:val="3"/>
    </w:pPr>
    <w:rPr>
      <w:bCs/>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Sangranormal">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Ttulo2Car">
    <w:name w:val="Título 2 Car"/>
    <w:basedOn w:val="Fuentedeprrafopredeter"/>
    <w:link w:val="Ttulo2"/>
    <w:rsid w:val="008D07FB"/>
    <w:rPr>
      <w:rFonts w:cs="Arial"/>
      <w:b/>
      <w:bCs/>
      <w:i/>
      <w:iCs/>
      <w:sz w:val="24"/>
      <w:szCs w:val="28"/>
    </w:rPr>
  </w:style>
  <w:style w:type="character" w:customStyle="1" w:styleId="Ttulo1Car">
    <w:name w:val="Título 1 Car"/>
    <w:basedOn w:val="Fuentedeprrafopredeter"/>
    <w:link w:val="Ttulo1"/>
    <w:rsid w:val="00AE1ED4"/>
    <w:rPr>
      <w:rFonts w:cs="Arial"/>
      <w:b/>
      <w:bCs/>
      <w:kern w:val="32"/>
      <w:sz w:val="24"/>
      <w:szCs w:val="32"/>
    </w:rPr>
  </w:style>
  <w:style w:type="character" w:customStyle="1" w:styleId="Ttulo3Car">
    <w:name w:val="Título 3 Car"/>
    <w:basedOn w:val="Fuentedeprrafopredeter"/>
    <w:link w:val="Ttulo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Textonotapie">
    <w:name w:val="footnote text"/>
    <w:basedOn w:val="Normal"/>
    <w:link w:val="TextonotapieCar"/>
    <w:autoRedefine/>
    <w:rsid w:val="006C19B2"/>
    <w:pPr>
      <w:ind w:left="284" w:hanging="284"/>
    </w:pPr>
    <w:rPr>
      <w:sz w:val="22"/>
      <w:szCs w:val="20"/>
    </w:rPr>
  </w:style>
  <w:style w:type="character" w:customStyle="1" w:styleId="TextonotapieCar">
    <w:name w:val="Texto nota pie Car"/>
    <w:basedOn w:val="Fuentedeprrafopredeter"/>
    <w:link w:val="Textonotapie"/>
    <w:rsid w:val="006C19B2"/>
    <w:rPr>
      <w:sz w:val="22"/>
    </w:rPr>
  </w:style>
  <w:style w:type="character" w:styleId="Refdenotaalpie">
    <w:name w:val="footnote reference"/>
    <w:basedOn w:val="Fuentedeprrafopredeter"/>
    <w:rsid w:val="00AF2C92"/>
    <w:rPr>
      <w:vertAlign w:val="superscript"/>
    </w:rPr>
  </w:style>
  <w:style w:type="paragraph" w:styleId="Textonotaalfinal">
    <w:name w:val="endnote text"/>
    <w:basedOn w:val="Normal"/>
    <w:link w:val="TextonotaalfinalCar"/>
    <w:autoRedefine/>
    <w:rsid w:val="006C19B2"/>
    <w:pPr>
      <w:ind w:left="284" w:hanging="284"/>
    </w:pPr>
    <w:rPr>
      <w:sz w:val="22"/>
      <w:szCs w:val="20"/>
    </w:rPr>
  </w:style>
  <w:style w:type="character" w:customStyle="1" w:styleId="TextonotaalfinalCar">
    <w:name w:val="Texto nota al final Car"/>
    <w:basedOn w:val="Fuentedeprrafopredeter"/>
    <w:link w:val="Textonotaalfinal"/>
    <w:rsid w:val="006C19B2"/>
    <w:rPr>
      <w:sz w:val="22"/>
    </w:rPr>
  </w:style>
  <w:style w:type="character" w:styleId="Refdenotaalfinal">
    <w:name w:val="endnote reference"/>
    <w:basedOn w:val="Fuentedeprrafopredeter"/>
    <w:rsid w:val="00EC571B"/>
    <w:rPr>
      <w:vertAlign w:val="superscript"/>
    </w:rPr>
  </w:style>
  <w:style w:type="character" w:customStyle="1" w:styleId="Ttulo4Car">
    <w:name w:val="Título 4 Car"/>
    <w:basedOn w:val="Fuentedeprrafopredeter"/>
    <w:link w:val="Ttulo4"/>
    <w:rsid w:val="00F43B9D"/>
    <w:rPr>
      <w:bCs/>
      <w:sz w:val="24"/>
      <w:szCs w:val="28"/>
    </w:rPr>
  </w:style>
  <w:style w:type="paragraph" w:styleId="Encabezado">
    <w:name w:val="header"/>
    <w:basedOn w:val="Normal"/>
    <w:link w:val="EncabezadoCar"/>
    <w:rsid w:val="003F193A"/>
    <w:pPr>
      <w:tabs>
        <w:tab w:val="center" w:pos="4320"/>
        <w:tab w:val="right" w:pos="8640"/>
      </w:tabs>
      <w:spacing w:after="120" w:line="240" w:lineRule="auto"/>
      <w:contextualSpacing/>
    </w:pPr>
  </w:style>
  <w:style w:type="character" w:customStyle="1" w:styleId="EncabezadoCar">
    <w:name w:val="Encabezado Car"/>
    <w:basedOn w:val="Fuentedeprrafopredeter"/>
    <w:link w:val="Encabezado"/>
    <w:rsid w:val="003F193A"/>
    <w:rPr>
      <w:rFonts w:eastAsia="Times New Roman"/>
      <w:sz w:val="24"/>
      <w:szCs w:val="24"/>
      <w:lang w:eastAsia="en-GB"/>
    </w:rPr>
  </w:style>
  <w:style w:type="paragraph" w:styleId="Piedepgina">
    <w:name w:val="footer"/>
    <w:basedOn w:val="Normal"/>
    <w:link w:val="PiedepginaCar"/>
    <w:rsid w:val="00AE6A21"/>
    <w:pPr>
      <w:tabs>
        <w:tab w:val="center" w:pos="4320"/>
        <w:tab w:val="right" w:pos="8640"/>
      </w:tabs>
      <w:spacing w:before="240" w:line="240" w:lineRule="auto"/>
      <w:contextualSpacing/>
    </w:pPr>
  </w:style>
  <w:style w:type="character" w:customStyle="1" w:styleId="PiedepginaCar">
    <w:name w:val="Pie de página Car"/>
    <w:basedOn w:val="Fuentedeprrafopredeter"/>
    <w:link w:val="Piedepgina"/>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styleId="NormalWeb">
    <w:name w:val="Normal (Web)"/>
    <w:basedOn w:val="Normal"/>
    <w:uiPriority w:val="99"/>
    <w:unhideWhenUsed/>
    <w:rsid w:val="00470DA9"/>
    <w:pPr>
      <w:spacing w:before="100" w:beforeAutospacing="1" w:after="100" w:afterAutospacing="1" w:line="240" w:lineRule="auto"/>
    </w:pPr>
    <w:rPr>
      <w:lang w:val="es-ES" w:eastAsia="es-ES_tradnl"/>
    </w:rPr>
  </w:style>
  <w:style w:type="character" w:customStyle="1" w:styleId="apple-tab-span">
    <w:name w:val="apple-tab-span"/>
    <w:basedOn w:val="Fuentedeprrafopredeter"/>
    <w:rsid w:val="00707C92"/>
  </w:style>
  <w:style w:type="character" w:styleId="Hipervnculo">
    <w:name w:val="Hyperlink"/>
    <w:basedOn w:val="Fuentedeprrafopredeter"/>
    <w:uiPriority w:val="99"/>
    <w:unhideWhenUsed/>
    <w:rsid w:val="005B7A4F"/>
    <w:rPr>
      <w:color w:val="0000FF"/>
      <w:u w:val="single"/>
    </w:rPr>
  </w:style>
  <w:style w:type="character" w:styleId="Mencinsinresolver">
    <w:name w:val="Unresolved Mention"/>
    <w:basedOn w:val="Fuentedeprrafopredeter"/>
    <w:uiPriority w:val="99"/>
    <w:semiHidden/>
    <w:unhideWhenUsed/>
    <w:rsid w:val="00057A16"/>
    <w:rPr>
      <w:color w:val="605E5C"/>
      <w:shd w:val="clear" w:color="auto" w:fill="E1DFDD"/>
    </w:rPr>
  </w:style>
  <w:style w:type="table" w:styleId="Tablaconcuadrcula">
    <w:name w:val="Table Grid"/>
    <w:basedOn w:val="Tablanormal"/>
    <w:uiPriority w:val="59"/>
    <w:rsid w:val="00A2595A"/>
    <w:rPr>
      <w:rFonts w:asciiTheme="minorHAnsi" w:eastAsiaTheme="minorEastAsia" w:hAnsiTheme="minorHAnsi" w:cstheme="minorBid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87472">
      <w:bodyDiv w:val="1"/>
      <w:marLeft w:val="0"/>
      <w:marRight w:val="0"/>
      <w:marTop w:val="0"/>
      <w:marBottom w:val="0"/>
      <w:divBdr>
        <w:top w:val="none" w:sz="0" w:space="0" w:color="auto"/>
        <w:left w:val="none" w:sz="0" w:space="0" w:color="auto"/>
        <w:bottom w:val="none" w:sz="0" w:space="0" w:color="auto"/>
        <w:right w:val="none" w:sz="0" w:space="0" w:color="auto"/>
      </w:divBdr>
    </w:div>
    <w:div w:id="228073311">
      <w:bodyDiv w:val="1"/>
      <w:marLeft w:val="0"/>
      <w:marRight w:val="0"/>
      <w:marTop w:val="0"/>
      <w:marBottom w:val="0"/>
      <w:divBdr>
        <w:top w:val="none" w:sz="0" w:space="0" w:color="auto"/>
        <w:left w:val="none" w:sz="0" w:space="0" w:color="auto"/>
        <w:bottom w:val="none" w:sz="0" w:space="0" w:color="auto"/>
        <w:right w:val="none" w:sz="0" w:space="0" w:color="auto"/>
      </w:divBdr>
    </w:div>
    <w:div w:id="406926684">
      <w:bodyDiv w:val="1"/>
      <w:marLeft w:val="0"/>
      <w:marRight w:val="0"/>
      <w:marTop w:val="0"/>
      <w:marBottom w:val="0"/>
      <w:divBdr>
        <w:top w:val="none" w:sz="0" w:space="0" w:color="auto"/>
        <w:left w:val="none" w:sz="0" w:space="0" w:color="auto"/>
        <w:bottom w:val="none" w:sz="0" w:space="0" w:color="auto"/>
        <w:right w:val="none" w:sz="0" w:space="0" w:color="auto"/>
      </w:divBdr>
    </w:div>
    <w:div w:id="754480054">
      <w:bodyDiv w:val="1"/>
      <w:marLeft w:val="0"/>
      <w:marRight w:val="0"/>
      <w:marTop w:val="0"/>
      <w:marBottom w:val="0"/>
      <w:divBdr>
        <w:top w:val="none" w:sz="0" w:space="0" w:color="auto"/>
        <w:left w:val="none" w:sz="0" w:space="0" w:color="auto"/>
        <w:bottom w:val="none" w:sz="0" w:space="0" w:color="auto"/>
        <w:right w:val="none" w:sz="0" w:space="0" w:color="auto"/>
      </w:divBdr>
      <w:divsChild>
        <w:div w:id="420564435">
          <w:marLeft w:val="0"/>
          <w:marRight w:val="0"/>
          <w:marTop w:val="0"/>
          <w:marBottom w:val="0"/>
          <w:divBdr>
            <w:top w:val="none" w:sz="0" w:space="0" w:color="auto"/>
            <w:left w:val="none" w:sz="0" w:space="0" w:color="auto"/>
            <w:bottom w:val="none" w:sz="0" w:space="0" w:color="auto"/>
            <w:right w:val="none" w:sz="0" w:space="0" w:color="auto"/>
          </w:divBdr>
        </w:div>
        <w:div w:id="802423238">
          <w:marLeft w:val="0"/>
          <w:marRight w:val="0"/>
          <w:marTop w:val="0"/>
          <w:marBottom w:val="0"/>
          <w:divBdr>
            <w:top w:val="none" w:sz="0" w:space="0" w:color="auto"/>
            <w:left w:val="none" w:sz="0" w:space="0" w:color="auto"/>
            <w:bottom w:val="none" w:sz="0" w:space="0" w:color="auto"/>
            <w:right w:val="none" w:sz="0" w:space="0" w:color="auto"/>
          </w:divBdr>
        </w:div>
        <w:div w:id="62263994">
          <w:marLeft w:val="0"/>
          <w:marRight w:val="0"/>
          <w:marTop w:val="0"/>
          <w:marBottom w:val="0"/>
          <w:divBdr>
            <w:top w:val="none" w:sz="0" w:space="0" w:color="auto"/>
            <w:left w:val="none" w:sz="0" w:space="0" w:color="auto"/>
            <w:bottom w:val="none" w:sz="0" w:space="0" w:color="auto"/>
            <w:right w:val="none" w:sz="0" w:space="0" w:color="auto"/>
          </w:divBdr>
        </w:div>
        <w:div w:id="1896965560">
          <w:marLeft w:val="0"/>
          <w:marRight w:val="0"/>
          <w:marTop w:val="0"/>
          <w:marBottom w:val="0"/>
          <w:divBdr>
            <w:top w:val="none" w:sz="0" w:space="0" w:color="auto"/>
            <w:left w:val="none" w:sz="0" w:space="0" w:color="auto"/>
            <w:bottom w:val="none" w:sz="0" w:space="0" w:color="auto"/>
            <w:right w:val="none" w:sz="0" w:space="0" w:color="auto"/>
          </w:divBdr>
        </w:div>
        <w:div w:id="1823306173">
          <w:marLeft w:val="0"/>
          <w:marRight w:val="0"/>
          <w:marTop w:val="0"/>
          <w:marBottom w:val="0"/>
          <w:divBdr>
            <w:top w:val="none" w:sz="0" w:space="0" w:color="auto"/>
            <w:left w:val="none" w:sz="0" w:space="0" w:color="auto"/>
            <w:bottom w:val="none" w:sz="0" w:space="0" w:color="auto"/>
            <w:right w:val="none" w:sz="0" w:space="0" w:color="auto"/>
          </w:divBdr>
        </w:div>
        <w:div w:id="225923854">
          <w:marLeft w:val="0"/>
          <w:marRight w:val="0"/>
          <w:marTop w:val="0"/>
          <w:marBottom w:val="0"/>
          <w:divBdr>
            <w:top w:val="none" w:sz="0" w:space="0" w:color="auto"/>
            <w:left w:val="none" w:sz="0" w:space="0" w:color="auto"/>
            <w:bottom w:val="none" w:sz="0" w:space="0" w:color="auto"/>
            <w:right w:val="none" w:sz="0" w:space="0" w:color="auto"/>
          </w:divBdr>
        </w:div>
        <w:div w:id="1677146403">
          <w:marLeft w:val="0"/>
          <w:marRight w:val="0"/>
          <w:marTop w:val="0"/>
          <w:marBottom w:val="0"/>
          <w:divBdr>
            <w:top w:val="none" w:sz="0" w:space="0" w:color="auto"/>
            <w:left w:val="none" w:sz="0" w:space="0" w:color="auto"/>
            <w:bottom w:val="none" w:sz="0" w:space="0" w:color="auto"/>
            <w:right w:val="none" w:sz="0" w:space="0" w:color="auto"/>
          </w:divBdr>
        </w:div>
        <w:div w:id="503672480">
          <w:marLeft w:val="0"/>
          <w:marRight w:val="0"/>
          <w:marTop w:val="0"/>
          <w:marBottom w:val="0"/>
          <w:divBdr>
            <w:top w:val="none" w:sz="0" w:space="0" w:color="auto"/>
            <w:left w:val="none" w:sz="0" w:space="0" w:color="auto"/>
            <w:bottom w:val="none" w:sz="0" w:space="0" w:color="auto"/>
            <w:right w:val="none" w:sz="0" w:space="0" w:color="auto"/>
          </w:divBdr>
        </w:div>
        <w:div w:id="456143325">
          <w:marLeft w:val="0"/>
          <w:marRight w:val="0"/>
          <w:marTop w:val="0"/>
          <w:marBottom w:val="0"/>
          <w:divBdr>
            <w:top w:val="none" w:sz="0" w:space="0" w:color="auto"/>
            <w:left w:val="none" w:sz="0" w:space="0" w:color="auto"/>
            <w:bottom w:val="none" w:sz="0" w:space="0" w:color="auto"/>
            <w:right w:val="none" w:sz="0" w:space="0" w:color="auto"/>
          </w:divBdr>
        </w:div>
        <w:div w:id="348876715">
          <w:marLeft w:val="0"/>
          <w:marRight w:val="0"/>
          <w:marTop w:val="0"/>
          <w:marBottom w:val="0"/>
          <w:divBdr>
            <w:top w:val="none" w:sz="0" w:space="0" w:color="auto"/>
            <w:left w:val="none" w:sz="0" w:space="0" w:color="auto"/>
            <w:bottom w:val="none" w:sz="0" w:space="0" w:color="auto"/>
            <w:right w:val="none" w:sz="0" w:space="0" w:color="auto"/>
          </w:divBdr>
        </w:div>
        <w:div w:id="347372271">
          <w:marLeft w:val="0"/>
          <w:marRight w:val="0"/>
          <w:marTop w:val="0"/>
          <w:marBottom w:val="0"/>
          <w:divBdr>
            <w:top w:val="none" w:sz="0" w:space="0" w:color="auto"/>
            <w:left w:val="none" w:sz="0" w:space="0" w:color="auto"/>
            <w:bottom w:val="none" w:sz="0" w:space="0" w:color="auto"/>
            <w:right w:val="none" w:sz="0" w:space="0" w:color="auto"/>
          </w:divBdr>
        </w:div>
        <w:div w:id="1084301310">
          <w:marLeft w:val="0"/>
          <w:marRight w:val="0"/>
          <w:marTop w:val="0"/>
          <w:marBottom w:val="0"/>
          <w:divBdr>
            <w:top w:val="none" w:sz="0" w:space="0" w:color="auto"/>
            <w:left w:val="none" w:sz="0" w:space="0" w:color="auto"/>
            <w:bottom w:val="none" w:sz="0" w:space="0" w:color="auto"/>
            <w:right w:val="none" w:sz="0" w:space="0" w:color="auto"/>
          </w:divBdr>
        </w:div>
        <w:div w:id="1703942815">
          <w:marLeft w:val="0"/>
          <w:marRight w:val="0"/>
          <w:marTop w:val="0"/>
          <w:marBottom w:val="0"/>
          <w:divBdr>
            <w:top w:val="none" w:sz="0" w:space="0" w:color="auto"/>
            <w:left w:val="none" w:sz="0" w:space="0" w:color="auto"/>
            <w:bottom w:val="none" w:sz="0" w:space="0" w:color="auto"/>
            <w:right w:val="none" w:sz="0" w:space="0" w:color="auto"/>
          </w:divBdr>
        </w:div>
        <w:div w:id="1318073088">
          <w:marLeft w:val="0"/>
          <w:marRight w:val="0"/>
          <w:marTop w:val="0"/>
          <w:marBottom w:val="0"/>
          <w:divBdr>
            <w:top w:val="none" w:sz="0" w:space="0" w:color="auto"/>
            <w:left w:val="none" w:sz="0" w:space="0" w:color="auto"/>
            <w:bottom w:val="none" w:sz="0" w:space="0" w:color="auto"/>
            <w:right w:val="none" w:sz="0" w:space="0" w:color="auto"/>
          </w:divBdr>
        </w:div>
      </w:divsChild>
    </w:div>
    <w:div w:id="909926053">
      <w:bodyDiv w:val="1"/>
      <w:marLeft w:val="0"/>
      <w:marRight w:val="0"/>
      <w:marTop w:val="0"/>
      <w:marBottom w:val="0"/>
      <w:divBdr>
        <w:top w:val="none" w:sz="0" w:space="0" w:color="auto"/>
        <w:left w:val="none" w:sz="0" w:space="0" w:color="auto"/>
        <w:bottom w:val="none" w:sz="0" w:space="0" w:color="auto"/>
        <w:right w:val="none" w:sz="0" w:space="0" w:color="auto"/>
      </w:divBdr>
    </w:div>
    <w:div w:id="1069183380">
      <w:bodyDiv w:val="1"/>
      <w:marLeft w:val="0"/>
      <w:marRight w:val="0"/>
      <w:marTop w:val="0"/>
      <w:marBottom w:val="0"/>
      <w:divBdr>
        <w:top w:val="none" w:sz="0" w:space="0" w:color="auto"/>
        <w:left w:val="none" w:sz="0" w:space="0" w:color="auto"/>
        <w:bottom w:val="none" w:sz="0" w:space="0" w:color="auto"/>
        <w:right w:val="none" w:sz="0" w:space="0" w:color="auto"/>
      </w:divBdr>
    </w:div>
    <w:div w:id="1412124418">
      <w:bodyDiv w:val="1"/>
      <w:marLeft w:val="0"/>
      <w:marRight w:val="0"/>
      <w:marTop w:val="0"/>
      <w:marBottom w:val="0"/>
      <w:divBdr>
        <w:top w:val="none" w:sz="0" w:space="0" w:color="auto"/>
        <w:left w:val="none" w:sz="0" w:space="0" w:color="auto"/>
        <w:bottom w:val="none" w:sz="0" w:space="0" w:color="auto"/>
        <w:right w:val="none" w:sz="0" w:space="0" w:color="auto"/>
      </w:divBdr>
    </w:div>
    <w:div w:id="1749425992">
      <w:bodyDiv w:val="1"/>
      <w:marLeft w:val="0"/>
      <w:marRight w:val="0"/>
      <w:marTop w:val="0"/>
      <w:marBottom w:val="0"/>
      <w:divBdr>
        <w:top w:val="none" w:sz="0" w:space="0" w:color="auto"/>
        <w:left w:val="none" w:sz="0" w:space="0" w:color="auto"/>
        <w:bottom w:val="none" w:sz="0" w:space="0" w:color="auto"/>
        <w:right w:val="none" w:sz="0" w:space="0" w:color="auto"/>
      </w:divBdr>
    </w:div>
    <w:div w:id="1806194752">
      <w:bodyDiv w:val="1"/>
      <w:marLeft w:val="0"/>
      <w:marRight w:val="0"/>
      <w:marTop w:val="0"/>
      <w:marBottom w:val="0"/>
      <w:divBdr>
        <w:top w:val="none" w:sz="0" w:space="0" w:color="auto"/>
        <w:left w:val="none" w:sz="0" w:space="0" w:color="auto"/>
        <w:bottom w:val="none" w:sz="0" w:space="0" w:color="auto"/>
        <w:right w:val="none" w:sz="0" w:space="0" w:color="auto"/>
      </w:divBdr>
    </w:div>
    <w:div w:id="1888564956">
      <w:bodyDiv w:val="1"/>
      <w:marLeft w:val="0"/>
      <w:marRight w:val="0"/>
      <w:marTop w:val="0"/>
      <w:marBottom w:val="0"/>
      <w:divBdr>
        <w:top w:val="none" w:sz="0" w:space="0" w:color="auto"/>
        <w:left w:val="none" w:sz="0" w:space="0" w:color="auto"/>
        <w:bottom w:val="none" w:sz="0" w:space="0" w:color="auto"/>
        <w:right w:val="none" w:sz="0" w:space="0" w:color="auto"/>
      </w:divBdr>
      <w:divsChild>
        <w:div w:id="615412550">
          <w:marLeft w:val="0"/>
          <w:marRight w:val="0"/>
          <w:marTop w:val="0"/>
          <w:marBottom w:val="0"/>
          <w:divBdr>
            <w:top w:val="none" w:sz="0" w:space="0" w:color="auto"/>
            <w:left w:val="none" w:sz="0" w:space="0" w:color="auto"/>
            <w:bottom w:val="none" w:sz="0" w:space="0" w:color="auto"/>
            <w:right w:val="none" w:sz="0" w:space="0" w:color="auto"/>
          </w:divBdr>
          <w:divsChild>
            <w:div w:id="1590849992">
              <w:marLeft w:val="0"/>
              <w:marRight w:val="0"/>
              <w:marTop w:val="0"/>
              <w:marBottom w:val="0"/>
              <w:divBdr>
                <w:top w:val="none" w:sz="0" w:space="0" w:color="auto"/>
                <w:left w:val="none" w:sz="0" w:space="0" w:color="auto"/>
                <w:bottom w:val="none" w:sz="0" w:space="0" w:color="auto"/>
                <w:right w:val="none" w:sz="0" w:space="0" w:color="auto"/>
              </w:divBdr>
              <w:divsChild>
                <w:div w:id="1981837119">
                  <w:marLeft w:val="0"/>
                  <w:marRight w:val="0"/>
                  <w:marTop w:val="0"/>
                  <w:marBottom w:val="0"/>
                  <w:divBdr>
                    <w:top w:val="none" w:sz="0" w:space="0" w:color="auto"/>
                    <w:left w:val="none" w:sz="0" w:space="0" w:color="auto"/>
                    <w:bottom w:val="none" w:sz="0" w:space="0" w:color="auto"/>
                    <w:right w:val="none" w:sz="0" w:space="0" w:color="auto"/>
                  </w:divBdr>
                  <w:divsChild>
                    <w:div w:id="6278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300/j073v12n04_01" TargetMode="External"/><Relationship Id="rId18" Type="http://schemas.openxmlformats.org/officeDocument/2006/relationships/hyperlink" Target="https://doi.org/10.1108/IJEFM-05-2022-0039" TargetMode="External"/><Relationship Id="rId26" Type="http://schemas.openxmlformats.org/officeDocument/2006/relationships/hyperlink" Target="https://doi.org/10.1080/02614361003749793" TargetMode="External"/><Relationship Id="rId39" Type="http://schemas.openxmlformats.org/officeDocument/2006/relationships/hyperlink" Target="https://doi.org/10.3727/152599521x16288665119495" TargetMode="External"/><Relationship Id="rId21" Type="http://schemas.openxmlformats.org/officeDocument/2006/relationships/hyperlink" Target="https://doi.org/10.1108/JHTT-01-2020-0013" TargetMode="External"/><Relationship Id="rId34" Type="http://schemas.openxmlformats.org/officeDocument/2006/relationships/hyperlink" Target="https://doi.org/10.1177/00222429990634s105" TargetMode="External"/><Relationship Id="rId42" Type="http://schemas.openxmlformats.org/officeDocument/2006/relationships/hyperlink" Target="https://doi.org/10.1111/j.1460-2466.1992.tb00812.x" TargetMode="External"/><Relationship Id="rId47" Type="http://schemas.openxmlformats.org/officeDocument/2006/relationships/hyperlink" Target="https://doi.org/10.1016/j.annals.2019.102810" TargetMode="External"/><Relationship Id="rId50" Type="http://schemas.openxmlformats.org/officeDocument/2006/relationships/hyperlink" Target="https://doi.org/10.1007/s10115-023-02015-0" TargetMode="External"/><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80/13683500.2021.1987399" TargetMode="External"/><Relationship Id="rId29" Type="http://schemas.openxmlformats.org/officeDocument/2006/relationships/hyperlink" Target="https://doi.org/10.1002/jtr.70262" TargetMode="External"/><Relationship Id="rId11" Type="http://schemas.openxmlformats.org/officeDocument/2006/relationships/hyperlink" Target="https://doi.org/10.1016/j.chb.2024.108335" TargetMode="External"/><Relationship Id="rId24" Type="http://schemas.openxmlformats.org/officeDocument/2006/relationships/hyperlink" Target="https://doi.org/10.1016/j.jbusres.2011.07.011" TargetMode="External"/><Relationship Id="rId32" Type="http://schemas.openxmlformats.org/officeDocument/2006/relationships/hyperlink" Target="https://doi.org/10.1007/s12525-020-00433-4" TargetMode="External"/><Relationship Id="rId37" Type="http://schemas.openxmlformats.org/officeDocument/2006/relationships/hyperlink" Target="https://doi.org/10.1038/s41598-025-89920-2" TargetMode="External"/><Relationship Id="rId40" Type="http://schemas.openxmlformats.org/officeDocument/2006/relationships/hyperlink" Target="https://doi.org/10.1080/14616688.2024.2391339" TargetMode="External"/><Relationship Id="rId45" Type="http://schemas.openxmlformats.org/officeDocument/2006/relationships/hyperlink" Target="https://doi.org/10.1177/0013164413495237" TargetMode="External"/><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doi.org/10.3727/152599524x17265263360403" TargetMode="External"/><Relationship Id="rId4" Type="http://schemas.openxmlformats.org/officeDocument/2006/relationships/settings" Target="settings.xml"/><Relationship Id="rId9" Type="http://schemas.openxmlformats.org/officeDocument/2006/relationships/hyperlink" Target="https://doi.org/10.2307/1252042" TargetMode="External"/><Relationship Id="rId14" Type="http://schemas.openxmlformats.org/officeDocument/2006/relationships/hyperlink" Target="https://doi.org/10.18089/tms.2020.160103" TargetMode="External"/><Relationship Id="rId22" Type="http://schemas.openxmlformats.org/officeDocument/2006/relationships/hyperlink" Target="https://doi.org/10.1080/10705519909540118" TargetMode="External"/><Relationship Id="rId27" Type="http://schemas.openxmlformats.org/officeDocument/2006/relationships/hyperlink" Target="https://doi.org/10.1177/0047287519883034" TargetMode="External"/><Relationship Id="rId30" Type="http://schemas.openxmlformats.org/officeDocument/2006/relationships/hyperlink" Target="https://doi.org/10.1088/1755-1315/1366/1/012047" TargetMode="External"/><Relationship Id="rId35" Type="http://schemas.openxmlformats.org/officeDocument/2006/relationships/hyperlink" Target="https://doi.org/10.1108/jhtt-03-2020-0058" TargetMode="External"/><Relationship Id="rId43" Type="http://schemas.openxmlformats.org/officeDocument/2006/relationships/hyperlink" Target="https://doi.org/10.1080/15470148.2020.1719949" TargetMode="External"/><Relationship Id="rId48" Type="http://schemas.openxmlformats.org/officeDocument/2006/relationships/hyperlink" Target="https://doi.org/10.1177/00472875231187332" TargetMode="External"/><Relationship Id="rId5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doi.org/10.1080/10941665.2019.1596139" TargetMode="External"/><Relationship Id="rId17" Type="http://schemas.openxmlformats.org/officeDocument/2006/relationships/hyperlink" Target="https://doi.org/10.1177/002224378101800104" TargetMode="External"/><Relationship Id="rId25" Type="http://schemas.openxmlformats.org/officeDocument/2006/relationships/hyperlink" Target="https://doi.org/10.1016/j.ijinfomgt.2020.102122" TargetMode="External"/><Relationship Id="rId33" Type="http://schemas.openxmlformats.org/officeDocument/2006/relationships/hyperlink" Target="https://doi.org/10.1080/14616688.2023.2270958" TargetMode="External"/><Relationship Id="rId38" Type="http://schemas.openxmlformats.org/officeDocument/2006/relationships/hyperlink" Target="https://doi.org/10.1162/pres.1992.1.1.120" TargetMode="External"/><Relationship Id="rId46" Type="http://schemas.openxmlformats.org/officeDocument/2006/relationships/hyperlink" Target="https://doi.org/10.1108/ijchm-05-2019-0488" TargetMode="External"/><Relationship Id="rId20" Type="http://schemas.openxmlformats.org/officeDocument/2006/relationships/hyperlink" Target="https://doi.org/10.1007/s11747-014-0403-8" TargetMode="External"/><Relationship Id="rId41" Type="http://schemas.openxmlformats.org/officeDocument/2006/relationships/hyperlink" Target="https://doi.org/10.1108/IJEFM-06-2024-0077"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07/s12652-018-1081-z" TargetMode="External"/><Relationship Id="rId23" Type="http://schemas.openxmlformats.org/officeDocument/2006/relationships/hyperlink" Target="https://doi.org/10.1108/IJEFM-06-2013-0012" TargetMode="External"/><Relationship Id="rId28" Type="http://schemas.openxmlformats.org/officeDocument/2006/relationships/hyperlink" Target="https://doi.org/10.1080/10641734.2021.1962441" TargetMode="External"/><Relationship Id="rId36" Type="http://schemas.openxmlformats.org/officeDocument/2006/relationships/hyperlink" Target="https://doi.org/10.1016/j.ijhm.2018.06.010" TargetMode="External"/><Relationship Id="rId49" Type="http://schemas.openxmlformats.org/officeDocument/2006/relationships/hyperlink" Target="https://doi.org/10.1080/10941665.2022.2091940" TargetMode="External"/><Relationship Id="rId57" Type="http://schemas.openxmlformats.org/officeDocument/2006/relationships/fontTable" Target="fontTable.xml"/><Relationship Id="rId10" Type="http://schemas.openxmlformats.org/officeDocument/2006/relationships/hyperlink" Target="https://doi.org/10.1108/IJCHM-02-2025-0236" TargetMode="External"/><Relationship Id="rId31" Type="http://schemas.openxmlformats.org/officeDocument/2006/relationships/hyperlink" Target="https://doi.org/10.1371/journal.pone.0246562" TargetMode="External"/><Relationship Id="rId44" Type="http://schemas.openxmlformats.org/officeDocument/2006/relationships/hyperlink" Target="https://doi.org/10.1186/s40965-020-00075-5" TargetMode="External"/><Relationship Id="rId5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aferbo/Downloads/TF_Template_Word_Windows_2016%2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TF_Template_Word_Windows_2016 3.dotx</Template>
  <TotalTime>8</TotalTime>
  <Pages>36</Pages>
  <Words>9674</Words>
  <Characters>53211</Characters>
  <Application>Microsoft Office Word</Application>
  <DocSecurity>0</DocSecurity>
  <Lines>443</Lines>
  <Paragraphs>125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TF_Template_Word_Windows_2016</vt:lpstr>
      <vt:lpstr>TF_Template_Word_Windows_2016</vt:lpstr>
    </vt:vector>
  </TitlesOfParts>
  <Company>Informa Plc</Company>
  <LinksUpToDate>false</LinksUpToDate>
  <CharactersWithSpaces>62760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Microsoft Office User</dc:creator>
  <cp:lastModifiedBy>María Fernández Bo</cp:lastModifiedBy>
  <cp:revision>5</cp:revision>
  <cp:lastPrinted>2026-03-26T10:01:00Z</cp:lastPrinted>
  <dcterms:created xsi:type="dcterms:W3CDTF">2026-03-26T17:32:00Z</dcterms:created>
  <dcterms:modified xsi:type="dcterms:W3CDTF">2026-03-31T08:52:00Z</dcterms:modified>
</cp:coreProperties>
</file>