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gi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2B18" w14:textId="343E0C1E" w:rsidR="00CF7C04" w:rsidRDefault="00B5540E">
      <w:r>
        <w:rPr>
          <w:noProof/>
        </w:rPr>
        <w:drawing>
          <wp:inline distT="0" distB="0" distL="0" distR="0" wp14:anchorId="42D68085" wp14:editId="151DED9E">
            <wp:extent cx="3960000" cy="3240000"/>
            <wp:effectExtent l="0" t="0" r="2540" b="17780"/>
            <wp:docPr id="1946655664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74AB4">
        <w:rPr>
          <w:noProof/>
        </w:rPr>
        <w:drawing>
          <wp:inline distT="0" distB="0" distL="0" distR="0" wp14:anchorId="4E05F15E" wp14:editId="5509933D">
            <wp:extent cx="3960000" cy="3240000"/>
            <wp:effectExtent l="0" t="0" r="2540" b="17780"/>
            <wp:docPr id="1988743483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02F44">
        <w:rPr>
          <w:noProof/>
        </w:rPr>
        <w:lastRenderedPageBreak/>
        <w:drawing>
          <wp:inline distT="0" distB="0" distL="0" distR="0" wp14:anchorId="3AE6C7FE" wp14:editId="42932CA5">
            <wp:extent cx="3960000" cy="3240000"/>
            <wp:effectExtent l="0" t="0" r="2540" b="17780"/>
            <wp:docPr id="609552106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E6010">
        <w:rPr>
          <w:noProof/>
        </w:rPr>
        <w:drawing>
          <wp:inline distT="0" distB="0" distL="0" distR="0" wp14:anchorId="4709E4D3" wp14:editId="631B49C3">
            <wp:extent cx="4680000" cy="3239770"/>
            <wp:effectExtent l="0" t="0" r="6350" b="17780"/>
            <wp:docPr id="134007794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97303D" w14:textId="77777777" w:rsidR="00783D13" w:rsidRPr="00783D13" w:rsidRDefault="00783D13">
      <w:pPr>
        <w:rPr>
          <w:lang w:val="en-US"/>
        </w:rPr>
      </w:pPr>
    </w:p>
    <w:sectPr w:rsidR="00783D13" w:rsidRPr="00783D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10"/>
    <w:rsid w:val="000525F8"/>
    <w:rsid w:val="001E6010"/>
    <w:rsid w:val="00302F44"/>
    <w:rsid w:val="00401AF3"/>
    <w:rsid w:val="005A6639"/>
    <w:rsid w:val="00657CFB"/>
    <w:rsid w:val="00783D13"/>
    <w:rsid w:val="00974AB4"/>
    <w:rsid w:val="00B5540E"/>
    <w:rsid w:val="00C74CC3"/>
    <w:rsid w:val="00CF7C04"/>
    <w:rsid w:val="00E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E7F4"/>
  <w15:chartTrackingRefBased/>
  <w15:docId w15:val="{D9B702FE-2F09-415C-9F9A-AD4C6940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6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6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6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6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6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60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60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60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60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60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60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60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60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60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6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60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6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Frequenza</c:v>
                </c:pt>
              </c:strCache>
            </c:strRef>
          </c:tx>
          <c:dPt>
            <c:idx val="0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2E3-47A7-93D6-D5F8469D615B}"/>
              </c:ext>
            </c:extLst>
          </c:dPt>
          <c:dPt>
            <c:idx val="1"/>
            <c:bubble3D val="0"/>
            <c:spPr>
              <a:solidFill>
                <a:srgbClr val="FF990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2E3-47A7-93D6-D5F8469D615B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2E3-47A7-93D6-D5F8469D615B}"/>
              </c:ext>
            </c:extLst>
          </c:dPt>
          <c:dPt>
            <c:idx val="3"/>
            <c:bubble3D val="0"/>
            <c:spPr>
              <a:solidFill>
                <a:srgbClr val="99000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2E3-47A7-93D6-D5F8469D615B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32E3-47A7-93D6-D5F8469D615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FF990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32E3-47A7-93D6-D5F8469D615B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00B05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32E3-47A7-93D6-D5F8469D615B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99000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32E3-47A7-93D6-D5F8469D61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Latha" panose="020B0502040204020203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Foglio1!$A$2:$A$5</c:f>
              <c:strCache>
                <c:ptCount val="4"/>
                <c:pt idx="0">
                  <c:v>1x day</c:v>
                </c:pt>
                <c:pt idx="1">
                  <c:v>&gt;1x week</c:v>
                </c:pt>
                <c:pt idx="2">
                  <c:v>1x week</c:v>
                </c:pt>
                <c:pt idx="3">
                  <c:v>2x month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24</c:v>
                </c:pt>
                <c:pt idx="1">
                  <c:v>12</c:v>
                </c:pt>
                <c:pt idx="2">
                  <c:v>37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2E3-47A7-93D6-D5F8469D615B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indice "positivo"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indice "positivo"</c:v>
                </c:pt>
              </c:strCache>
            </c:strRef>
          </c:tx>
          <c:dPt>
            <c:idx val="0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AEC-4CA1-ABE9-923672E6B343}"/>
              </c:ext>
            </c:extLst>
          </c:dPt>
          <c:dPt>
            <c:idx val="1"/>
            <c:bubble3D val="0"/>
            <c:spPr>
              <a:solidFill>
                <a:srgbClr val="FF990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AEC-4CA1-ABE9-923672E6B343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AAEC-4CA1-ABE9-923672E6B343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FF990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AAEC-4CA1-ABE9-923672E6B34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Latha" panose="020B0502040204020203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Foglio1!$A$2:$A$3</c:f>
              <c:strCache>
                <c:ptCount val="2"/>
                <c:pt idx="0">
                  <c:v>sono al top!</c:v>
                </c:pt>
                <c:pt idx="1">
                  <c:v>sono ok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40</c:v>
                </c:pt>
                <c:pt idx="1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EC-4CA1-ABE9-923672E6B343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timore</a:t>
            </a:r>
            <a:r>
              <a:rPr lang="en-US" baseline="0">
                <a:solidFill>
                  <a:schemeClr val="tx1"/>
                </a:solidFill>
              </a:rPr>
              <a:t> sentiment negativo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timore sentiment negativo</c:v>
                </c:pt>
              </c:strCache>
            </c:strRef>
          </c:tx>
          <c:dPt>
            <c:idx val="0"/>
            <c:bubble3D val="0"/>
            <c:spPr>
              <a:solidFill>
                <a:srgbClr val="99000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50-4010-8C5A-2EC4C91458C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50-4010-8C5A-2EC4C91458CC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50-4010-8C5A-2EC4C91458CC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99000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8250-4010-8C5A-2EC4C91458C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8250-4010-8C5A-2EC4C91458CC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00B05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8250-4010-8C5A-2EC4C91458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Latha" panose="020B0502040204020203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Foglio1!$A$2:$A$4</c:f>
              <c:strCache>
                <c:ptCount val="3"/>
                <c:pt idx="0">
                  <c:v>si</c:v>
                </c:pt>
                <c:pt idx="1">
                  <c:v>neutrali</c:v>
                </c:pt>
                <c:pt idx="2">
                  <c:v>no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8</c:v>
                </c:pt>
                <c:pt idx="1">
                  <c:v>15</c:v>
                </c:pt>
                <c:pt idx="2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250-4010-8C5A-2EC4C91458C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efficacia as-is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efficacia as-is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02F-4C08-8D14-C4ECB1D4A40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F02F-4C08-8D14-C4ECB1D4A40C}"/>
              </c:ext>
            </c:extLst>
          </c:dPt>
          <c:dPt>
            <c:idx val="2"/>
            <c:bubble3D val="0"/>
            <c:spPr>
              <a:solidFill>
                <a:srgbClr val="99000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02F-4C08-8D14-C4ECB1D4A40C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00B05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02F-4C08-8D14-C4ECB1D4A40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6-F02F-4C08-8D14-C4ECB1D4A40C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spc="0" baseline="0">
                      <a:solidFill>
                        <a:srgbClr val="990000"/>
                      </a:solidFill>
                      <a:latin typeface="+mn-lt"/>
                      <a:ea typeface="+mn-ea"/>
                      <a:cs typeface="Latha" panose="020B0502040204020203" pitchFamily="34" charset="0"/>
                    </a:defRPr>
                  </a:pPr>
                  <a:endParaRPr lang="it-I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02F-4C08-8D14-C4ECB1D4A4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Latha" panose="020B0502040204020203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Foglio1!$A$2:$A$4</c:f>
              <c:strCache>
                <c:ptCount val="3"/>
                <c:pt idx="0">
                  <c:v>soddisfatti</c:v>
                </c:pt>
                <c:pt idx="1">
                  <c:v>neutrali</c:v>
                </c:pt>
                <c:pt idx="2">
                  <c:v>insoddisfatti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21</c:v>
                </c:pt>
                <c:pt idx="1">
                  <c:v>40</c:v>
                </c:pt>
                <c:pt idx="2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2F-4C08-8D14-C4ECB1D4A40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0.02604</cdr:x>
      <cdr:y>0.04464</cdr:y>
    </cdr:to>
    <cdr:pic>
      <cdr:nvPicPr>
        <cdr:cNvPr id="3" name="Immagin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42875" cy="142875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0.02604</cdr:x>
      <cdr:y>0.04464</cdr:y>
    </cdr:to>
    <cdr:pic>
      <cdr:nvPicPr>
        <cdr:cNvPr id="3" name="Immagin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42875" cy="142875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0.02604</cdr:x>
      <cdr:y>0.04464</cdr:y>
    </cdr:to>
    <cdr:pic>
      <cdr:nvPicPr>
        <cdr:cNvPr id="3" name="Immagin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42875" cy="142875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0.02604</cdr:x>
      <cdr:y>0.04464</cdr:y>
    </cdr:to>
    <cdr:pic>
      <cdr:nvPicPr>
        <cdr:cNvPr id="3" name="Immagin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42875" cy="1428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9986-64E1-4359-BAD2-8A4C04BB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Sancetta</dc:creator>
  <cp:keywords/>
  <dc:description/>
  <cp:lastModifiedBy>Aurora Sancetta</cp:lastModifiedBy>
  <cp:revision>4</cp:revision>
  <dcterms:created xsi:type="dcterms:W3CDTF">2024-08-19T06:31:00Z</dcterms:created>
  <dcterms:modified xsi:type="dcterms:W3CDTF">2024-08-19T10:40:00Z</dcterms:modified>
</cp:coreProperties>
</file>