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40"/>
              <w:left w:type="dxa" w:w="300"/>
              <w:bottom w:type="dxa" w:w="240"/>
              <w:right w:type="dxa" w:w="300"/>
            </w:tcMar>
          </w:tcPr>
          <w:p>
            <w:pPr>
              <w:jc w:val="center"/>
            </w:pPr>
            <w:r>
              <w:rPr>
                <w:rFonts w:ascii="Arial" w:cs="Arial" w:eastAsia="Arial" w:hAnsi="Arial"/>
                <w:b/>
                <w:bCs/>
                <w:color w:val="FFFFFF"/>
                <w:sz w:val="34"/>
                <w:szCs w:val="34"/>
              </w:rPr>
              <w:t xml:space="preserve">SIIDS — Requirements by User Role</w:t>
            </w:r>
          </w:p>
          <w:p>
            <w:pPr>
              <w:jc w:val="center"/>
            </w:pPr>
            <w:r>
              <w:rPr>
                <w:rFonts w:ascii="Arial" w:cs="Arial" w:eastAsia="Arial" w:hAnsi="Arial"/>
                <w:color w:val="BDD7EE"/>
                <w:sz w:val="20"/>
                <w:szCs w:val="20"/>
              </w:rPr>
              <w:t xml:space="preserve">Investigation &amp; Intelligence Changes · Separated by User · Version 1.0</w:t>
            </w:r>
          </w:p>
          <w:p>
            <w:pPr>
              <w:jc w:val="center"/>
            </w:pPr>
            <w:r>
              <w:rPr>
                <w:rFonts w:ascii="Arial" w:cs="Arial" w:eastAsia="Arial" w:hAnsi="Arial"/>
                <w:color w:val="BDD7EE"/>
                <w:sz w:val="18"/>
                <w:szCs w:val="18"/>
              </w:rPr>
              <w:t xml:space="preserve">Rwanda Revenue Authority  ·  Intelligence &amp; Enforcement Division  ·  CONFIDENTIAL</w:t>
            </w:r>
          </w:p>
        </w:tc>
      </w:tr>
    </w:tbl>
    <w:p>
      <w:pPr>
        <w:spacing w:after="100" w:before="100"/>
      </w:pPr>
      <w:r>
        <w:t xml:space="preserve"/>
      </w:r>
    </w:p>
    <w:p>
      <w:pPr>
        <w:pStyle w:val="Heading1"/>
        <w:spacing w:after="160" w:before="360"/>
      </w:pPr>
      <w:r>
        <w:rPr>
          <w:rFonts w:ascii="Arial" w:cs="Arial" w:eastAsia="Arial" w:hAnsi="Arial"/>
          <w:b/>
          <w:bCs/>
          <w:color w:val="1F3864"/>
          <w:sz w:val="28"/>
          <w:szCs w:val="28"/>
        </w:rPr>
        <w:t xml:space="preserve">Overview</w:t>
      </w:r>
    </w:p>
    <w:p>
      <w:pPr>
        <w:spacing w:after="120" w:before="80"/>
      </w:pPr>
      <w:r>
        <w:rPr>
          <w:rFonts w:ascii="Arial" w:cs="Arial" w:eastAsia="Arial" w:hAnsi="Arial"/>
          <w:sz w:val="20"/>
          <w:szCs w:val="20"/>
        </w:rPr>
        <w:t xml:space="preserve">The 10 changes from the stakeholder session are divided below by user role. Each section contains only the requirements that apply to that specific user. A developer assigned to a user role works exclusively within that section and does not touch any other role’s screens, endpoints, 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720"/>
        <w:gridCol w:w="5280"/>
      </w:tblGrid>
      <w:tr>
        <w:tc>
          <w:tcPr>
            <w:tcW w:type="dxa" w:w="600"/>
            <w:tcBorders>
              <w:top w:val="single" w:color="CCCCCC" w:sz="1"/>
              <w:left w:val="single" w:color="CCCCCC" w:sz="1"/>
              <w:bottom w:val="single" w:color="CCCCCC" w:sz="1"/>
              <w:right w:val="single" w:color="CCCCCC" w:sz="1"/>
            </w:tcBorders>
            <w:shd w:fill="1F3864"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19"/>
                <w:szCs w:val="19"/>
              </w:rPr>
              <w:t xml:space="preserve">#</w:t>
            </w:r>
          </w:p>
        </w:tc>
        <w:tc>
          <w:tcPr>
            <w:tcW w:type="dxa" w:w="2760"/>
            <w:tcBorders>
              <w:top w:val="single" w:color="CCCCCC" w:sz="1"/>
              <w:left w:val="single" w:color="CCCCCC" w:sz="1"/>
              <w:bottom w:val="single" w:color="CCCCCC" w:sz="1"/>
              <w:right w:val="single" w:color="CCCCCC" w:sz="1"/>
            </w:tcBorders>
            <w:shd w:fill="1F3864"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19"/>
                <w:szCs w:val="19"/>
              </w:rPr>
              <w:t xml:space="preserve">User / Role</w:t>
            </w:r>
          </w:p>
        </w:tc>
        <w:tc>
          <w:tcPr>
            <w:tcW w:type="dxa" w:w="720"/>
            <w:tcBorders>
              <w:top w:val="single" w:color="CCCCCC" w:sz="1"/>
              <w:left w:val="single" w:color="CCCCCC" w:sz="1"/>
              <w:bottom w:val="single" w:color="CCCCCC" w:sz="1"/>
              <w:right w:val="single" w:color="CCCCCC" w:sz="1"/>
            </w:tcBorders>
            <w:shd w:fill="1F3864"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19"/>
                <w:szCs w:val="19"/>
              </w:rPr>
              <w:t xml:space="preserve">Changes</w:t>
            </w:r>
          </w:p>
        </w:tc>
        <w:tc>
          <w:tcPr>
            <w:tcW w:type="dxa" w:w="5280"/>
            <w:tcBorders>
              <w:top w:val="single" w:color="CCCCCC" w:sz="1"/>
              <w:left w:val="single" w:color="CCCCCC" w:sz="1"/>
              <w:bottom w:val="single" w:color="CCCCCC" w:sz="1"/>
              <w:right w:val="single" w:color="CCCCCC" w:sz="1"/>
            </w:tcBorders>
            <w:shd w:fill="1F3864"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19"/>
                <w:szCs w:val="19"/>
              </w:rPr>
              <w:t xml:space="preserve">Summary</w:t>
            </w:r>
          </w:p>
        </w:tc>
      </w:tr>
      <w:tr>
        <w:tc>
          <w:tcPr>
            <w:tcW w:type="dxa" w:w="600"/>
            <w:tcBorders>
              <w:top w:val="single" w:color="CCCCCC" w:sz="1"/>
              <w:left w:val="single" w:color="CCCCCC" w:sz="1"/>
              <w:bottom w:val="single" w:color="CCCCCC" w:sz="1"/>
              <w:right w:val="single" w:color="CCCCCC" w:sz="1"/>
            </w:tcBorders>
            <w:shd w:fill="E2EFDA" w:val="clear"/>
            <w:tcMar>
              <w:top w:type="dxa" w:w="110"/>
              <w:left w:type="dxa" w:w="150"/>
              <w:bottom w:type="dxa" w:w="110"/>
              <w:right w:type="dxa" w:w="150"/>
            </w:tcMar>
            <w:vAlign w:val="center"/>
          </w:tcPr>
          <w:p>
            <w:pPr>
              <w:jc w:val="center"/>
            </w:pPr>
            <w:r>
              <w:rPr>
                <w:rFonts w:ascii="Arial" w:cs="Arial" w:eastAsia="Arial" w:hAnsi="Arial"/>
                <w:b/>
                <w:bCs/>
                <w:i w:val="false"/>
                <w:iCs w:val="false"/>
                <w:color w:val="1D6E3A"/>
                <w:sz w:val="19"/>
                <w:szCs w:val="19"/>
              </w:rPr>
              <w:t xml:space="preserve">01</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bCs/>
                <w:i w:val="false"/>
                <w:iCs w:val="false"/>
                <w:color w:val="222222"/>
                <w:sz w:val="19"/>
                <w:szCs w:val="19"/>
              </w:rPr>
              <w:t xml:space="preserve">Intelligence Officer</w:t>
            </w:r>
          </w:p>
        </w:tc>
        <w:tc>
          <w:tcPr>
            <w:tcW w:type="dxa" w:w="72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222222"/>
                <w:sz w:val="19"/>
                <w:szCs w:val="19"/>
              </w:rPr>
              <w:t xml:space="preserve">4</w:t>
            </w:r>
          </w:p>
        </w:tc>
        <w:tc>
          <w:tcPr>
            <w:tcW w:type="dxa" w:w="52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19"/>
                <w:szCs w:val="19"/>
              </w:rPr>
              <w:t xml:space="preserve">Error fix, dual signatures, report template, file name preservation</w:t>
            </w:r>
          </w:p>
        </w:tc>
      </w:tr>
      <w:tr>
        <w:tc>
          <w:tcPr>
            <w:tcW w:type="dxa" w:w="600"/>
            <w:tcBorders>
              <w:top w:val="single" w:color="CCCCCC" w:sz="1"/>
              <w:left w:val="single" w:color="CCCCCC" w:sz="1"/>
              <w:bottom w:val="single" w:color="CCCCCC" w:sz="1"/>
              <w:right w:val="single" w:color="CCCCCC" w:sz="1"/>
            </w:tcBorders>
            <w:shd w:fill="EDE7F6" w:val="clear"/>
            <w:tcMar>
              <w:top w:type="dxa" w:w="110"/>
              <w:left w:type="dxa" w:w="150"/>
              <w:bottom w:type="dxa" w:w="110"/>
              <w:right w:type="dxa" w:w="150"/>
            </w:tcMar>
            <w:vAlign w:val="center"/>
          </w:tcPr>
          <w:p>
            <w:pPr>
              <w:jc w:val="center"/>
            </w:pPr>
            <w:r>
              <w:rPr>
                <w:rFonts w:ascii="Arial" w:cs="Arial" w:eastAsia="Arial" w:hAnsi="Arial"/>
                <w:b/>
                <w:bCs/>
                <w:i w:val="false"/>
                <w:iCs w:val="false"/>
                <w:color w:val="4B2D8F"/>
                <w:sz w:val="19"/>
                <w:szCs w:val="19"/>
              </w:rPr>
              <w:t xml:space="preserve">02</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bCs/>
                <w:i w:val="false"/>
                <w:iCs w:val="false"/>
                <w:color w:val="222222"/>
                <w:sz w:val="19"/>
                <w:szCs w:val="19"/>
              </w:rPr>
              <w:t xml:space="preserve">Assistant Commissioner (AC)</w:t>
            </w:r>
          </w:p>
        </w:tc>
        <w:tc>
          <w:tcPr>
            <w:tcW w:type="dxa" w:w="72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222222"/>
                <w:sz w:val="19"/>
                <w:szCs w:val="19"/>
              </w:rPr>
              <w:t xml:space="preserve">2</w:t>
            </w:r>
          </w:p>
        </w:tc>
        <w:tc>
          <w:tcPr>
            <w:tcW w:type="dxa" w:w="52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19"/>
                <w:szCs w:val="19"/>
              </w:rPr>
              <w:t xml:space="preserve">AC signing interface, case routing to multiple destinations</w:t>
            </w:r>
          </w:p>
        </w:tc>
      </w:tr>
      <w:tr>
        <w:tc>
          <w:tcPr>
            <w:tcW w:type="dxa" w:w="600"/>
            <w:tcBorders>
              <w:top w:val="single" w:color="CCCCCC" w:sz="1"/>
              <w:left w:val="single" w:color="CCCCCC" w:sz="1"/>
              <w:bottom w:val="single" w:color="CCCCCC" w:sz="1"/>
              <w:right w:val="single" w:color="CCCCCC" w:sz="1"/>
            </w:tcBorders>
            <w:shd w:fill="FFF0E0" w:val="clear"/>
            <w:tcMar>
              <w:top w:type="dxa" w:w="110"/>
              <w:left w:type="dxa" w:w="150"/>
              <w:bottom w:type="dxa" w:w="110"/>
              <w:right w:type="dxa" w:w="150"/>
            </w:tcMar>
            <w:vAlign w:val="center"/>
          </w:tcPr>
          <w:p>
            <w:pPr>
              <w:jc w:val="center"/>
            </w:pPr>
            <w:r>
              <w:rPr>
                <w:rFonts w:ascii="Arial" w:cs="Arial" w:eastAsia="Arial" w:hAnsi="Arial"/>
                <w:b/>
                <w:bCs/>
                <w:i w:val="false"/>
                <w:iCs w:val="false"/>
                <w:color w:val="C45000"/>
                <w:sz w:val="19"/>
                <w:szCs w:val="19"/>
              </w:rPr>
              <w:t xml:space="preserve">03</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bCs/>
                <w:i w:val="false"/>
                <w:iCs w:val="false"/>
                <w:color w:val="222222"/>
                <w:sz w:val="19"/>
                <w:szCs w:val="19"/>
              </w:rPr>
              <w:t xml:space="preserve">Director of Intelligence</w:t>
            </w:r>
          </w:p>
        </w:tc>
        <w:tc>
          <w:tcPr>
            <w:tcW w:type="dxa" w:w="72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222222"/>
                <w:sz w:val="19"/>
                <w:szCs w:val="19"/>
              </w:rPr>
              <w:t xml:space="preserve">3</w:t>
            </w:r>
          </w:p>
        </w:tc>
        <w:tc>
          <w:tcPr>
            <w:tcW w:type="dxa" w:w="52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19"/>
                <w:szCs w:val="19"/>
              </w:rPr>
              <w:t xml:space="preserve">Modify &amp; sign reports, Generated Reports column, dashboard filters</w:t>
            </w:r>
          </w:p>
        </w:tc>
      </w:tr>
      <w:tr>
        <w:tc>
          <w:tcPr>
            <w:tcW w:type="dxa" w:w="600"/>
            <w:tcBorders>
              <w:top w:val="single" w:color="CCCCCC" w:sz="1"/>
              <w:left w:val="single" w:color="CCCCCC" w:sz="1"/>
              <w:bottom w:val="single" w:color="CCCCCC" w:sz="1"/>
              <w:right w:val="single" w:color="CCCCCC" w:sz="1"/>
            </w:tcBorders>
            <w:shd w:fill="E0F5F5" w:val="clear"/>
            <w:tcMar>
              <w:top w:type="dxa" w:w="110"/>
              <w:left w:type="dxa" w:w="150"/>
              <w:bottom w:type="dxa" w:w="110"/>
              <w:right w:type="dxa" w:w="150"/>
            </w:tcMar>
            <w:vAlign w:val="center"/>
          </w:tcPr>
          <w:p>
            <w:pPr>
              <w:jc w:val="center"/>
            </w:pPr>
            <w:r>
              <w:rPr>
                <w:rFonts w:ascii="Arial" w:cs="Arial" w:eastAsia="Arial" w:hAnsi="Arial"/>
                <w:b/>
                <w:bCs/>
                <w:i w:val="false"/>
                <w:iCs w:val="false"/>
                <w:color w:val="0D6E6E"/>
                <w:sz w:val="19"/>
                <w:szCs w:val="19"/>
              </w:rPr>
              <w:t xml:space="preserve">04</w:t>
            </w:r>
          </w:p>
        </w:tc>
        <w:tc>
          <w:tcPr>
            <w:tcW w:type="dxa" w:w="276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bCs/>
                <w:i w:val="false"/>
                <w:iCs w:val="false"/>
                <w:color w:val="222222"/>
                <w:sz w:val="19"/>
                <w:szCs w:val="19"/>
              </w:rPr>
              <w:t xml:space="preserve">Investigation Officer</w:t>
            </w:r>
          </w:p>
        </w:tc>
        <w:tc>
          <w:tcPr>
            <w:tcW w:type="dxa" w:w="72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center"/>
            </w:pPr>
            <w:r>
              <w:rPr>
                <w:rFonts w:ascii="Arial" w:cs="Arial" w:eastAsia="Arial" w:hAnsi="Arial"/>
                <w:b w:val="false"/>
                <w:bCs w:val="false"/>
                <w:i w:val="false"/>
                <w:iCs w:val="false"/>
                <w:color w:val="222222"/>
                <w:sz w:val="19"/>
                <w:szCs w:val="19"/>
              </w:rPr>
              <w:t xml:space="preserve">1</w:t>
            </w:r>
          </w:p>
        </w:tc>
        <w:tc>
          <w:tcPr>
            <w:tcW w:type="dxa" w:w="528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19"/>
                <w:szCs w:val="19"/>
              </w:rPr>
              <w:t xml:space="preserve">Auto-generated final report with evidence-only attachments</w:t>
            </w:r>
          </w:p>
        </w:tc>
      </w:tr>
    </w:tbl>
    <w:p>
      <w:pPr>
        <w:spacing w:after="100" w:before="100"/>
      </w:pPr>
      <w:r>
        <w:t xml:space="preserve"/>
      </w:r>
    </w:p>
    <w:p>
      <w:pPr>
        <w:pStyle w:val="Heading1"/>
        <w:spacing w:after="160" w:before="360"/>
      </w:pPr>
      <w:r>
        <w:rPr>
          <w:rFonts w:ascii="Arial" w:cs="Arial" w:eastAsia="Arial" w:hAnsi="Arial"/>
          <w:b/>
          <w:bCs/>
          <w:color w:val="1F3864"/>
          <w:sz w:val="28"/>
          <w:szCs w:val="28"/>
        </w:rPr>
        <w:t xml:space="preserve">User 01 — Intelligence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1D6E3A"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8"/>
                <w:szCs w:val="28"/>
              </w:rPr>
              <w:t xml:space="preserve">01</w:t>
            </w:r>
          </w:p>
        </w:tc>
        <w:tc>
          <w:tcPr>
            <w:tcW w:type="dxa" w:w="6660"/>
            <w:tcBorders>
              <w:top w:val="single" w:color="CCCCCC" w:sz="1"/>
              <w:left w:val="single" w:color="CCCCCC" w:sz="1"/>
              <w:bottom w:val="single" w:color="CCCCCC" w:sz="1"/>
              <w:right w:val="single" w:color="CCCCCC" w:sz="1"/>
            </w:tcBorders>
            <w:shd w:fill="1D6E3A"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6"/>
                <w:szCs w:val="26"/>
              </w:rPr>
              <w:t xml:space="preserve">Intelligence Officer</w:t>
            </w:r>
          </w:p>
        </w:tc>
        <w:tc>
          <w:tcPr>
            <w:tcW w:type="dxa" w:w="1800"/>
            <w:tcBorders>
              <w:top w:val="single" w:color="CCCCCC" w:sz="1"/>
              <w:left w:val="single" w:color="CCCCCC" w:sz="1"/>
              <w:bottom w:val="single" w:color="CCCCCC" w:sz="1"/>
              <w:right w:val="single" w:color="CCCCCC" w:sz="1"/>
            </w:tcBorders>
            <w:shd w:fill="E2EFDA" w:val="clear"/>
            <w:tcMar>
              <w:top w:type="dxa" w:w="110"/>
              <w:left w:type="dxa" w:w="150"/>
              <w:bottom w:type="dxa" w:w="110"/>
              <w:right w:type="dxa" w:w="150"/>
            </w:tcMar>
            <w:vAlign w:val="center"/>
          </w:tcPr>
          <w:p>
            <w:pPr>
              <w:jc w:val="center"/>
            </w:pPr>
            <w:r>
              <w:rPr>
                <w:rFonts w:ascii="Arial" w:cs="Arial" w:eastAsia="Arial" w:hAnsi="Arial"/>
                <w:b/>
                <w:bCs/>
                <w:i w:val="false"/>
                <w:iCs w:val="false"/>
                <w:color w:val="1D6E3A"/>
                <w:sz w:val="20"/>
                <w:szCs w:val="20"/>
              </w:rPr>
              <w:t xml:space="preserve">4 changes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D6E3A"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01</w:t>
            </w:r>
          </w:p>
        </w:tc>
        <w:tc>
          <w:tcPr>
            <w:tcW w:type="dxa" w:w="8560"/>
            <w:tcBorders>
              <w:top w:val="single" w:color="1D6E3A" w:sz="1"/>
              <w:left w:val="single" w:color="1D6E3A" w:sz="1"/>
              <w:bottom w:val="single" w:color="1D6E3A" w:sz="1"/>
              <w:right w:val="single" w:color="1D6E3A" w:sz="1"/>
            </w:tcBorders>
            <w:shd w:fill="E2EFDA" w:val="clear"/>
            <w:tcMar>
              <w:top w:type="dxa" w:w="110"/>
              <w:left w:type="dxa" w:w="160"/>
              <w:bottom w:type="dxa" w:w="110"/>
              <w:right w:type="dxa" w:w="160"/>
            </w:tcMar>
          </w:tcPr>
          <w:p>
            <w:r>
              <w:rPr>
                <w:rFonts w:ascii="Arial" w:cs="Arial" w:eastAsia="Arial" w:hAnsi="Arial"/>
                <w:b/>
                <w:bCs/>
                <w:color w:val="1F3864"/>
                <w:sz w:val="22"/>
                <w:szCs w:val="22"/>
              </w:rPr>
              <w:t xml:space="preserve">AC Error — Intelligence Officer Page</w:t>
            </w:r>
            <w:r>
              <w:rPr>
                <w:rFonts w:ascii="Arial" w:cs="Arial" w:eastAsia="Arial" w:hAnsi="Arial"/>
                <w:color w:val="666666"/>
                <w:sz w:val="18"/>
                <w:szCs w:val="18"/>
              </w:rPr>
              <w:t xml:space="preserve">   ·   Layer: </w:t>
            </w:r>
            <w:r>
              <w:rPr>
                <w:rFonts w:ascii="Arial" w:cs="Arial" w:eastAsia="Arial" w:hAnsi="Arial"/>
                <w:b/>
                <w:bCs/>
                <w:color w:val="1D6E3A"/>
                <w:sz w:val="18"/>
                <w:szCs w:val="18"/>
              </w:rPr>
              <w:t xml:space="preserve">Frontend + Backend  ·  Bug Fix</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An error is currently being returned from the AC on the intelligence officer page. The root cause must be investigated and resolved. A clear, descriptive error message must be shown to the user instead of a raw system error.</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1D6E3A"/>
                <w:sz w:val="19"/>
                <w:szCs w:val="19"/>
              </w:rPr>
              <w:t xml:space="preserve">TECHNICAL: Audit the API call chain between the intelligence officer frontend and the AC service. Identify the failing endpoint and the error response structure. Add proper try/catch handling on the frontend and return a user-friendly message. Backend: ensure the AC endpoint returns structured error objects (code, message, context). Log the full error server-side with request ID for tracing.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D6E3A"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02</w:t>
            </w:r>
          </w:p>
        </w:tc>
        <w:tc>
          <w:tcPr>
            <w:tcW w:type="dxa" w:w="8560"/>
            <w:tcBorders>
              <w:top w:val="single" w:color="1D6E3A" w:sz="1"/>
              <w:left w:val="single" w:color="1D6E3A" w:sz="1"/>
              <w:bottom w:val="single" w:color="1D6E3A" w:sz="1"/>
              <w:right w:val="single" w:color="1D6E3A" w:sz="1"/>
            </w:tcBorders>
            <w:shd w:fill="E2EFDA" w:val="clear"/>
            <w:tcMar>
              <w:top w:type="dxa" w:w="110"/>
              <w:left w:type="dxa" w:w="160"/>
              <w:bottom w:type="dxa" w:w="110"/>
              <w:right w:type="dxa" w:w="160"/>
            </w:tcMar>
          </w:tcPr>
          <w:p>
            <w:r>
              <w:rPr>
                <w:rFonts w:ascii="Arial" w:cs="Arial" w:eastAsia="Arial" w:hAnsi="Arial"/>
                <w:b/>
                <w:bCs/>
                <w:color w:val="1F3864"/>
                <w:sz w:val="22"/>
                <w:szCs w:val="22"/>
              </w:rPr>
              <w:t xml:space="preserve">Report Must Be Signed by AC &amp; Director of Intelligence</w:t>
            </w:r>
            <w:r>
              <w:rPr>
                <w:rFonts w:ascii="Arial" w:cs="Arial" w:eastAsia="Arial" w:hAnsi="Arial"/>
                <w:color w:val="666666"/>
                <w:sz w:val="18"/>
                <w:szCs w:val="18"/>
              </w:rPr>
              <w:t xml:space="preserve">   ·   Layer: </w:t>
            </w:r>
            <w:r>
              <w:rPr>
                <w:rFonts w:ascii="Arial" w:cs="Arial" w:eastAsia="Arial" w:hAnsi="Arial"/>
                <w:b/>
                <w:bCs/>
                <w:color w:val="1D6E3A"/>
                <w:sz w:val="18"/>
                <w:szCs w:val="18"/>
              </w:rPr>
              <w:t xml:space="preserve">Frontend + Backend + Database  ·  New Feature</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Every report created by the Intelligence Officer must be co-signed by both the Assistant Commissioner and the Director of Intelligence before it is considered finalised. The system must prevent the report from being marked as complete until both signatures are recorded.</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1D6E3A"/>
                <w:sz w:val="19"/>
                <w:szCs w:val="19"/>
              </w:rPr>
              <w:t xml:space="preserve">TECHNICAL: Add a signatures table (id, report_id, signed_by_id, role ENUM[AC, DIRECTOR_OF_INTELLIGENCE], signed_at). Report status must not become FINALISED until both roles have signed. Display a signature status panel on the report detail view showing who has signed and who is pending.</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D6E3A"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03</w:t>
            </w:r>
          </w:p>
        </w:tc>
        <w:tc>
          <w:tcPr>
            <w:tcW w:type="dxa" w:w="8560"/>
            <w:tcBorders>
              <w:top w:val="single" w:color="1D6E3A" w:sz="1"/>
              <w:left w:val="single" w:color="1D6E3A" w:sz="1"/>
              <w:bottom w:val="single" w:color="1D6E3A" w:sz="1"/>
              <w:right w:val="single" w:color="1D6E3A" w:sz="1"/>
            </w:tcBorders>
            <w:shd w:fill="E2EFDA" w:val="clear"/>
            <w:tcMar>
              <w:top w:type="dxa" w:w="110"/>
              <w:left w:type="dxa" w:w="160"/>
              <w:bottom w:type="dxa" w:w="110"/>
              <w:right w:type="dxa" w:w="160"/>
            </w:tcMar>
          </w:tcPr>
          <w:p>
            <w:r>
              <w:rPr>
                <w:rFonts w:ascii="Arial" w:cs="Arial" w:eastAsia="Arial" w:hAnsi="Arial"/>
                <w:b/>
                <w:bCs/>
                <w:color w:val="1F3864"/>
                <w:sz w:val="22"/>
                <w:szCs w:val="22"/>
              </w:rPr>
              <w:t xml:space="preserve">Report Template — Updated Layout</w:t>
            </w:r>
            <w:r>
              <w:rPr>
                <w:rFonts w:ascii="Arial" w:cs="Arial" w:eastAsia="Arial" w:hAnsi="Arial"/>
                <w:color w:val="666666"/>
                <w:sz w:val="18"/>
                <w:szCs w:val="18"/>
              </w:rPr>
              <w:t xml:space="preserve">   ·   Layer: </w:t>
            </w:r>
            <w:r>
              <w:rPr>
                <w:rFonts w:ascii="Arial" w:cs="Arial" w:eastAsia="Arial" w:hAnsi="Arial"/>
                <w:b/>
                <w:bCs/>
                <w:color w:val="1D6E3A"/>
                <w:sz w:val="18"/>
                <w:szCs w:val="18"/>
              </w:rPr>
              <w:t xml:space="preserve">Frontend + Backend  ·  Document  ·  UI Quality</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The current report template must be redesigned to match the official format. It must include all mandatory fields, proper section ordering, the official letterhead, and signature blocks for both the AC and the Director of Intelligence.</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1D6E3A"/>
                <w:sz w:val="19"/>
                <w:szCs w:val="19"/>
              </w:rPr>
              <w:t xml:space="preserve">TECHNICAL: Update the ReportDocument component with the new layout: letterhead, case reference block, subject, body/findings, legal basis, and a dual-signature block (AC + Director of Intelligence, each with name, title, and date). The report generation endpoint must return a pre-populated data object to the client. Add GET /api/reports/{id}/pdf for formatted PDF export.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D6E3A"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04</w:t>
            </w:r>
          </w:p>
        </w:tc>
        <w:tc>
          <w:tcPr>
            <w:tcW w:type="dxa" w:w="8560"/>
            <w:tcBorders>
              <w:top w:val="single" w:color="1D6E3A" w:sz="1"/>
              <w:left w:val="single" w:color="1D6E3A" w:sz="1"/>
              <w:bottom w:val="single" w:color="1D6E3A" w:sz="1"/>
              <w:right w:val="single" w:color="1D6E3A" w:sz="1"/>
            </w:tcBorders>
            <w:shd w:fill="E2EFDA" w:val="clear"/>
            <w:tcMar>
              <w:top w:type="dxa" w:w="110"/>
              <w:left w:type="dxa" w:w="160"/>
              <w:bottom w:type="dxa" w:w="110"/>
              <w:right w:type="dxa" w:w="160"/>
            </w:tcMar>
          </w:tcPr>
          <w:p>
            <w:r>
              <w:rPr>
                <w:rFonts w:ascii="Arial" w:cs="Arial" w:eastAsia="Arial" w:hAnsi="Arial"/>
                <w:b/>
                <w:bCs/>
                <w:color w:val="1F3864"/>
                <w:sz w:val="22"/>
                <w:szCs w:val="22"/>
              </w:rPr>
              <w:t xml:space="preserve">Attachments Must Keep Their Original File Names</w:t>
            </w:r>
            <w:r>
              <w:rPr>
                <w:rFonts w:ascii="Arial" w:cs="Arial" w:eastAsia="Arial" w:hAnsi="Arial"/>
                <w:color w:val="666666"/>
                <w:sz w:val="18"/>
                <w:szCs w:val="18"/>
              </w:rPr>
              <w:t xml:space="preserve">   ·   Layer: </w:t>
            </w:r>
            <w:r>
              <w:rPr>
                <w:rFonts w:ascii="Arial" w:cs="Arial" w:eastAsia="Arial" w:hAnsi="Arial"/>
                <w:b/>
                <w:bCs/>
                <w:color w:val="1D6E3A"/>
                <w:sz w:val="18"/>
                <w:szCs w:val="18"/>
              </w:rPr>
              <w:t xml:space="preserve">Backend  ·  Logic Change</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Files attached by the Intelligence Officer must retain their exact original file names throughout the system. The current behaviour renames or transforms files on upload. This must be stopped. The name as uploaded is the name that must appear in storage, in the database, and in all generated documents.</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1D6E3A"/>
                <w:sz w:val="19"/>
                <w:szCs w:val="19"/>
              </w:rPr>
              <w:t xml:space="preserve">TECHNICAL: Update the file upload handler to store files using their original name (sanitised for path safety only — no slug or UUID replacement). Store original_filename as a dedicated column in the attachments table. Set Content-Disposition: attachment; filename="{original_filename}" on download responses.</w:t>
            </w:r>
          </w:p>
        </w:tc>
      </w:tr>
    </w:tbl>
    <w:p>
      <w:pPr>
        <w:spacing w:after="100" w:before="200"/>
      </w:pPr>
      <w:r>
        <w:t xml:space="preserve"/>
      </w:r>
    </w:p>
    <w:p>
      <w:pPr>
        <w:pStyle w:val="Heading1"/>
        <w:spacing w:after="160" w:before="360"/>
      </w:pPr>
      <w:r>
        <w:rPr>
          <w:rFonts w:ascii="Arial" w:cs="Arial" w:eastAsia="Arial" w:hAnsi="Arial"/>
          <w:b/>
          <w:bCs/>
          <w:color w:val="1F3864"/>
          <w:sz w:val="28"/>
          <w:szCs w:val="28"/>
        </w:rPr>
        <w:t xml:space="preserve">User 02 — Assistant Commissioner (AC)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4B2D8F"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8"/>
                <w:szCs w:val="28"/>
              </w:rPr>
              <w:t xml:space="preserve">02</w:t>
            </w:r>
          </w:p>
        </w:tc>
        <w:tc>
          <w:tcPr>
            <w:tcW w:type="dxa" w:w="6660"/>
            <w:tcBorders>
              <w:top w:val="single" w:color="CCCCCC" w:sz="1"/>
              <w:left w:val="single" w:color="CCCCCC" w:sz="1"/>
              <w:bottom w:val="single" w:color="CCCCCC" w:sz="1"/>
              <w:right w:val="single" w:color="CCCCCC" w:sz="1"/>
            </w:tcBorders>
            <w:shd w:fill="4B2D8F"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6"/>
                <w:szCs w:val="26"/>
              </w:rPr>
              <w:t xml:space="preserve">Assistant Commissioner (AC)</w:t>
            </w:r>
          </w:p>
        </w:tc>
        <w:tc>
          <w:tcPr>
            <w:tcW w:type="dxa" w:w="1800"/>
            <w:tcBorders>
              <w:top w:val="single" w:color="CCCCCC" w:sz="1"/>
              <w:left w:val="single" w:color="CCCCCC" w:sz="1"/>
              <w:bottom w:val="single" w:color="CCCCCC" w:sz="1"/>
              <w:right w:val="single" w:color="CCCCCC" w:sz="1"/>
            </w:tcBorders>
            <w:shd w:fill="EDE7F6" w:val="clear"/>
            <w:tcMar>
              <w:top w:type="dxa" w:w="110"/>
              <w:left w:type="dxa" w:w="150"/>
              <w:bottom w:type="dxa" w:w="110"/>
              <w:right w:type="dxa" w:w="150"/>
            </w:tcMar>
            <w:vAlign w:val="center"/>
          </w:tcPr>
          <w:p>
            <w:pPr>
              <w:jc w:val="center"/>
            </w:pPr>
            <w:r>
              <w:rPr>
                <w:rFonts w:ascii="Arial" w:cs="Arial" w:eastAsia="Arial" w:hAnsi="Arial"/>
                <w:b/>
                <w:bCs/>
                <w:i w:val="false"/>
                <w:iCs w:val="false"/>
                <w:color w:val="4B2D8F"/>
                <w:sz w:val="20"/>
                <w:szCs w:val="20"/>
              </w:rPr>
              <w:t xml:space="preserve">2 changes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B2D8F"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01</w:t>
            </w:r>
          </w:p>
        </w:tc>
        <w:tc>
          <w:tcPr>
            <w:tcW w:type="dxa" w:w="8560"/>
            <w:tcBorders>
              <w:top w:val="single" w:color="4B2D8F" w:sz="1"/>
              <w:left w:val="single" w:color="4B2D8F" w:sz="1"/>
              <w:bottom w:val="single" w:color="4B2D8F" w:sz="1"/>
              <w:right w:val="single" w:color="4B2D8F" w:sz="1"/>
            </w:tcBorders>
            <w:shd w:fill="EDE7F6" w:val="clear"/>
            <w:tcMar>
              <w:top w:type="dxa" w:w="110"/>
              <w:left w:type="dxa" w:w="160"/>
              <w:bottom w:type="dxa" w:w="110"/>
              <w:right w:type="dxa" w:w="160"/>
            </w:tcMar>
          </w:tcPr>
          <w:p>
            <w:r>
              <w:rPr>
                <w:rFonts w:ascii="Arial" w:cs="Arial" w:eastAsia="Arial" w:hAnsi="Arial"/>
                <w:b/>
                <w:bCs/>
                <w:color w:val="1F3864"/>
                <w:sz w:val="22"/>
                <w:szCs w:val="22"/>
              </w:rPr>
              <w:t xml:space="preserve">Case Routing — Choose Where to Send Approved Cases</w:t>
            </w:r>
            <w:r>
              <w:rPr>
                <w:rFonts w:ascii="Arial" w:cs="Arial" w:eastAsia="Arial" w:hAnsi="Arial"/>
                <w:color w:val="666666"/>
                <w:sz w:val="18"/>
                <w:szCs w:val="18"/>
              </w:rPr>
              <w:t xml:space="preserve">   ·   Layer: </w:t>
            </w:r>
            <w:r>
              <w:rPr>
                <w:rFonts w:ascii="Arial" w:cs="Arial" w:eastAsia="Arial" w:hAnsi="Arial"/>
                <w:b/>
                <w:bCs/>
                <w:color w:val="4B2D8F"/>
                <w:sz w:val="18"/>
                <w:szCs w:val="18"/>
              </w:rPr>
              <w:t xml:space="preserve">Frontend + Backend + Database  ·  Flow Change</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Not all cases approved by the AC should automatically go to the Investigation Officer. After approving a case the AC must choose where to send it. The available destinations are:</w:t>
            </w:r>
          </w:p>
          <w:p>
            <w:pPr>
              <w:spacing w:after="50" w:before="50"/>
            </w:pPr>
            <w:r>
              <w:rPr>
                <w:rFonts w:ascii="Arial" w:cs="Arial" w:eastAsia="Arial" w:hAnsi="Arial"/>
                <w:b w:val="false"/>
                <w:bCs w:val="false"/>
                <w:color w:val="222222"/>
                <w:sz w:val="19"/>
                <w:szCs w:val="19"/>
              </w:rPr>
              <w:t xml:space="preserve">  •  Director of Investigation</w:t>
            </w:r>
          </w:p>
          <w:p>
            <w:pPr>
              <w:spacing w:after="50" w:before="50"/>
            </w:pPr>
            <w:r>
              <w:rPr>
                <w:rFonts w:ascii="Arial" w:cs="Arial" w:eastAsia="Arial" w:hAnsi="Arial"/>
                <w:b w:val="false"/>
                <w:bCs w:val="false"/>
                <w:color w:val="222222"/>
                <w:sz w:val="19"/>
                <w:szCs w:val="19"/>
              </w:rPr>
              <w:t xml:space="preserve">  •  Other Departments (with a department name field)</w:t>
            </w:r>
          </w:p>
          <w:p>
            <w:pPr>
              <w:spacing w:after="50" w:before="50"/>
            </w:pPr>
            <w:r>
              <w:rPr>
                <w:rFonts w:ascii="Arial" w:cs="Arial" w:eastAsia="Arial" w:hAnsi="Arial"/>
                <w:b w:val="false"/>
                <w:bCs w:val="false"/>
                <w:color w:val="222222"/>
                <w:sz w:val="19"/>
                <w:szCs w:val="19"/>
              </w:rPr>
              <w:t xml:space="preserve">  •  Prosecution</w:t>
            </w:r>
          </w:p>
          <w:p>
            <w:pPr>
              <w:spacing w:after="50" w:before="50"/>
            </w:pPr>
            <w:r>
              <w:rPr>
                <w:rFonts w:ascii="Arial" w:cs="Arial" w:eastAsia="Arial" w:hAnsi="Arial"/>
                <w:b w:val="false"/>
                <w:bCs w:val="false"/>
                <w:color w:val="222222"/>
                <w:sz w:val="19"/>
                <w:szCs w:val="19"/>
              </w:rPr>
              <w:t xml:space="preserve">  •  Enforcement</w:t>
            </w:r>
          </w:p>
          <w:p>
            <w:pPr>
              <w:spacing w:after="50" w:before="50"/>
            </w:pPr>
            <w:r>
              <w:rPr>
                <w:rFonts w:ascii="Arial" w:cs="Arial" w:eastAsia="Arial" w:hAnsi="Arial"/>
                <w:b w:val="false"/>
                <w:bCs w:val="false"/>
                <w:color w:val="222222"/>
                <w:sz w:val="19"/>
                <w:szCs w:val="19"/>
              </w:rPr>
              <w:t xml:space="preserve">  •  Collection</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val="false"/>
                <w:bCs w:val="false"/>
                <w:color w:val="222222"/>
                <w:sz w:val="19"/>
                <w:szCs w:val="19"/>
              </w:rPr>
              <w:t xml:space="preserve">The routing choice is recorded and enforced. A case cannot be re-routed after the destination has accepted it. Downstream dashboards only show cases that were explicitly routed to them.</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4B2D8F"/>
                <w:sz w:val="19"/>
                <w:szCs w:val="19"/>
              </w:rPr>
              <w:t xml:space="preserve">TECHNICAL: Show a routing selector modal to the AC immediately after approving a case. Backend: add routed_to ENUM and department_name VARCHAR to the cases table. Add PATCH /api/cases/{id}/route endpoint. Downstream queues filter by routed_to = their role.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4B2D8F"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02</w:t>
            </w:r>
          </w:p>
        </w:tc>
        <w:tc>
          <w:tcPr>
            <w:tcW w:type="dxa" w:w="8560"/>
            <w:tcBorders>
              <w:top w:val="single" w:color="4B2D8F" w:sz="1"/>
              <w:left w:val="single" w:color="4B2D8F" w:sz="1"/>
              <w:bottom w:val="single" w:color="4B2D8F" w:sz="1"/>
              <w:right w:val="single" w:color="4B2D8F" w:sz="1"/>
            </w:tcBorders>
            <w:shd w:fill="EDE7F6" w:val="clear"/>
            <w:tcMar>
              <w:top w:type="dxa" w:w="110"/>
              <w:left w:type="dxa" w:w="160"/>
              <w:bottom w:type="dxa" w:w="110"/>
              <w:right w:type="dxa" w:w="160"/>
            </w:tcMar>
          </w:tcPr>
          <w:p>
            <w:r>
              <w:rPr>
                <w:rFonts w:ascii="Arial" w:cs="Arial" w:eastAsia="Arial" w:hAnsi="Arial"/>
                <w:b/>
                <w:bCs/>
                <w:color w:val="1F3864"/>
                <w:sz w:val="22"/>
                <w:szCs w:val="22"/>
              </w:rPr>
              <w:t xml:space="preserve">AC Must Be Able to Sign Reports</w:t>
            </w:r>
            <w:r>
              <w:rPr>
                <w:rFonts w:ascii="Arial" w:cs="Arial" w:eastAsia="Arial" w:hAnsi="Arial"/>
                <w:color w:val="666666"/>
                <w:sz w:val="18"/>
                <w:szCs w:val="18"/>
              </w:rPr>
              <w:t xml:space="preserve">   ·   Layer: </w:t>
            </w:r>
            <w:r>
              <w:rPr>
                <w:rFonts w:ascii="Arial" w:cs="Arial" w:eastAsia="Arial" w:hAnsi="Arial"/>
                <w:b/>
                <w:bCs/>
                <w:color w:val="4B2D8F"/>
                <w:sz w:val="18"/>
                <w:szCs w:val="18"/>
              </w:rPr>
              <w:t xml:space="preserve">Frontend + Backend  ·  New Feature</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The AC must be able to sign reports directly from their interface. After signing, the report moves to PENDING_DIRECTOR_SIGNATURE status until the Director of Intelligence also signs. The AC cannot sign a report that is already finalised.</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4B2D8F"/>
                <w:sz w:val="19"/>
                <w:szCs w:val="19"/>
              </w:rPr>
              <w:t xml:space="preserve">TECHNICAL: Add a Sign Report button on the AC report detail view. On confirm, call POST /api/reports/{id}/sign. Validate the authenticated user holds the AC role. After signing, replace the button with a Signed badge and show the pending Director signature status.</w:t>
            </w:r>
          </w:p>
        </w:tc>
      </w:tr>
    </w:tbl>
    <w:p>
      <w:pPr>
        <w:spacing w:after="100" w:before="200"/>
      </w:pPr>
      <w:r>
        <w:t xml:space="preserve"/>
      </w:r>
    </w:p>
    <w:p>
      <w:pPr>
        <w:pStyle w:val="Heading1"/>
        <w:spacing w:after="160" w:before="360"/>
      </w:pPr>
      <w:r>
        <w:rPr>
          <w:rFonts w:ascii="Arial" w:cs="Arial" w:eastAsia="Arial" w:hAnsi="Arial"/>
          <w:b/>
          <w:bCs/>
          <w:color w:val="1F3864"/>
          <w:sz w:val="28"/>
          <w:szCs w:val="28"/>
        </w:rPr>
        <w:t xml:space="preserve">User 03 — Director of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C45000"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8"/>
                <w:szCs w:val="28"/>
              </w:rPr>
              <w:t xml:space="preserve">03</w:t>
            </w:r>
          </w:p>
        </w:tc>
        <w:tc>
          <w:tcPr>
            <w:tcW w:type="dxa" w:w="6660"/>
            <w:tcBorders>
              <w:top w:val="single" w:color="CCCCCC" w:sz="1"/>
              <w:left w:val="single" w:color="CCCCCC" w:sz="1"/>
              <w:bottom w:val="single" w:color="CCCCCC" w:sz="1"/>
              <w:right w:val="single" w:color="CCCCCC" w:sz="1"/>
            </w:tcBorders>
            <w:shd w:fill="C45000"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6"/>
                <w:szCs w:val="26"/>
              </w:rPr>
              <w:t xml:space="preserve">Director of Intelligence</w:t>
            </w:r>
          </w:p>
        </w:tc>
        <w:tc>
          <w:tcPr>
            <w:tcW w:type="dxa" w:w="1800"/>
            <w:tcBorders>
              <w:top w:val="single" w:color="CCCCCC" w:sz="1"/>
              <w:left w:val="single" w:color="CCCCCC" w:sz="1"/>
              <w:bottom w:val="single" w:color="CCCCCC" w:sz="1"/>
              <w:right w:val="single" w:color="CCCCCC" w:sz="1"/>
            </w:tcBorders>
            <w:shd w:fill="FFF0E0" w:val="clear"/>
            <w:tcMar>
              <w:top w:type="dxa" w:w="110"/>
              <w:left w:type="dxa" w:w="150"/>
              <w:bottom w:type="dxa" w:w="110"/>
              <w:right w:type="dxa" w:w="150"/>
            </w:tcMar>
            <w:vAlign w:val="center"/>
          </w:tcPr>
          <w:p>
            <w:pPr>
              <w:jc w:val="center"/>
            </w:pPr>
            <w:r>
              <w:rPr>
                <w:rFonts w:ascii="Arial" w:cs="Arial" w:eastAsia="Arial" w:hAnsi="Arial"/>
                <w:b/>
                <w:bCs/>
                <w:i w:val="false"/>
                <w:iCs w:val="false"/>
                <w:color w:val="C45000"/>
                <w:sz w:val="20"/>
                <w:szCs w:val="20"/>
              </w:rPr>
              <w:t xml:space="preserve">3 changes</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45000"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01</w:t>
            </w:r>
          </w:p>
        </w:tc>
        <w:tc>
          <w:tcPr>
            <w:tcW w:type="dxa" w:w="8560"/>
            <w:tcBorders>
              <w:top w:val="single" w:color="C45000" w:sz="1"/>
              <w:left w:val="single" w:color="C45000" w:sz="1"/>
              <w:bottom w:val="single" w:color="C45000" w:sz="1"/>
              <w:right w:val="single" w:color="C45000" w:sz="1"/>
            </w:tcBorders>
            <w:shd w:fill="FFF0E0" w:val="clear"/>
            <w:tcMar>
              <w:top w:type="dxa" w:w="110"/>
              <w:left w:type="dxa" w:w="160"/>
              <w:bottom w:type="dxa" w:w="110"/>
              <w:right w:type="dxa" w:w="160"/>
            </w:tcMar>
          </w:tcPr>
          <w:p>
            <w:r>
              <w:rPr>
                <w:rFonts w:ascii="Arial" w:cs="Arial" w:eastAsia="Arial" w:hAnsi="Arial"/>
                <w:b/>
                <w:bCs/>
                <w:color w:val="1F3864"/>
                <w:sz w:val="22"/>
                <w:szCs w:val="22"/>
              </w:rPr>
              <w:t xml:space="preserve">Ability to Modify and Sign Sent Reports</w:t>
            </w:r>
            <w:r>
              <w:rPr>
                <w:rFonts w:ascii="Arial" w:cs="Arial" w:eastAsia="Arial" w:hAnsi="Arial"/>
                <w:color w:val="666666"/>
                <w:sz w:val="18"/>
                <w:szCs w:val="18"/>
              </w:rPr>
              <w:t xml:space="preserve">   ·   Layer: </w:t>
            </w:r>
            <w:r>
              <w:rPr>
                <w:rFonts w:ascii="Arial" w:cs="Arial" w:eastAsia="Arial" w:hAnsi="Arial"/>
                <w:b/>
                <w:bCs/>
                <w:color w:val="C45000"/>
                <w:sz w:val="18"/>
                <w:szCs w:val="18"/>
              </w:rPr>
              <w:t xml:space="preserve">Frontend + Backend  ·  New Feature</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The Director of Intelligence must be able to edit a report that has been sent to them and then sign it. All modifications must be tracked. Once the Director signs, the report is locked and cannot be edited further.</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C45000"/>
                <w:sz w:val="19"/>
                <w:szCs w:val="19"/>
              </w:rPr>
              <w:t xml:space="preserve">TECHNICAL: Add an Edit Report button on the Director’s report detail view. Changes are auto-saved as a draft in a report_revisions table (id, report_id, revised_by_id, revision_content JSONB, revised_at). A Sign button records the Director’s signature via POST /api/reports/{id}/sign. Once both signatures are present, all edit endpoints return 403 Forbidden.</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45000"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02</w:t>
            </w:r>
          </w:p>
        </w:tc>
        <w:tc>
          <w:tcPr>
            <w:tcW w:type="dxa" w:w="8560"/>
            <w:tcBorders>
              <w:top w:val="single" w:color="C45000" w:sz="1"/>
              <w:left w:val="single" w:color="C45000" w:sz="1"/>
              <w:bottom w:val="single" w:color="C45000" w:sz="1"/>
              <w:right w:val="single" w:color="C45000" w:sz="1"/>
            </w:tcBorders>
            <w:shd w:fill="FFF0E0" w:val="clear"/>
            <w:tcMar>
              <w:top w:type="dxa" w:w="110"/>
              <w:left w:type="dxa" w:w="160"/>
              <w:bottom w:type="dxa" w:w="110"/>
              <w:right w:type="dxa" w:w="160"/>
            </w:tcMar>
          </w:tcPr>
          <w:p>
            <w:r>
              <w:rPr>
                <w:rFonts w:ascii="Arial" w:cs="Arial" w:eastAsia="Arial" w:hAnsi="Arial"/>
                <w:b/>
                <w:bCs/>
                <w:color w:val="1F3864"/>
                <w:sz w:val="22"/>
                <w:szCs w:val="22"/>
              </w:rPr>
              <w:t xml:space="preserve">Dashboard — Add a Generated Reports Column</w:t>
            </w:r>
            <w:r>
              <w:rPr>
                <w:rFonts w:ascii="Arial" w:cs="Arial" w:eastAsia="Arial" w:hAnsi="Arial"/>
                <w:color w:val="666666"/>
                <w:sz w:val="18"/>
                <w:szCs w:val="18"/>
              </w:rPr>
              <w:t xml:space="preserve">   ·   Layer: </w:t>
            </w:r>
            <w:r>
              <w:rPr>
                <w:rFonts w:ascii="Arial" w:cs="Arial" w:eastAsia="Arial" w:hAnsi="Arial"/>
                <w:b/>
                <w:bCs/>
                <w:color w:val="C45000"/>
                <w:sz w:val="18"/>
                <w:szCs w:val="18"/>
              </w:rPr>
              <w:t xml:space="preserve">Frontend + Backend (minor)  ·  Dashboard Enhancement</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A new column called Generated Reports must be added to the Director of Intelligence dashboard. This column shows only reports that were auto-generated by the system. It must be clearly labelled and visually distinct from other report columns. It shows: report title, generation date, status (signed / pending), and a View button.</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C45000"/>
                <w:sz w:val="19"/>
                <w:szCs w:val="19"/>
              </w:rPr>
              <w:t xml:space="preserve">TECHNICAL: Add generation_type ENUM[MANUAL, AUTO_GENERATED] to the reports table. Add a Generated Reports tab to the dashboard filtered by generation_type = AUTO_GENERATED. Support GET /api/reports?generationType=AUTO_GENERATED as a query parameter on the existing endpoint.</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C45000"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03</w:t>
            </w:r>
          </w:p>
        </w:tc>
        <w:tc>
          <w:tcPr>
            <w:tcW w:type="dxa" w:w="8560"/>
            <w:tcBorders>
              <w:top w:val="single" w:color="C45000" w:sz="1"/>
              <w:left w:val="single" w:color="C45000" w:sz="1"/>
              <w:bottom w:val="single" w:color="C45000" w:sz="1"/>
              <w:right w:val="single" w:color="C45000" w:sz="1"/>
            </w:tcBorders>
            <w:shd w:fill="FFF0E0" w:val="clear"/>
            <w:tcMar>
              <w:top w:type="dxa" w:w="110"/>
              <w:left w:type="dxa" w:w="160"/>
              <w:bottom w:type="dxa" w:w="110"/>
              <w:right w:type="dxa" w:w="160"/>
            </w:tcMar>
          </w:tcPr>
          <w:p>
            <w:r>
              <w:rPr>
                <w:rFonts w:ascii="Arial" w:cs="Arial" w:eastAsia="Arial" w:hAnsi="Arial"/>
                <w:b/>
                <w:bCs/>
                <w:color w:val="1F3864"/>
                <w:sz w:val="22"/>
                <w:szCs w:val="22"/>
              </w:rPr>
              <w:t xml:space="preserve">Dashboard — Reorganise and Add Filters</w:t>
            </w:r>
            <w:r>
              <w:rPr>
                <w:rFonts w:ascii="Arial" w:cs="Arial" w:eastAsia="Arial" w:hAnsi="Arial"/>
                <w:color w:val="666666"/>
                <w:sz w:val="18"/>
                <w:szCs w:val="18"/>
              </w:rPr>
              <w:t xml:space="preserve">   ·   Layer: </w:t>
            </w:r>
            <w:r>
              <w:rPr>
                <w:rFonts w:ascii="Arial" w:cs="Arial" w:eastAsia="Arial" w:hAnsi="Arial"/>
                <w:b/>
                <w:bCs/>
                <w:color w:val="C45000"/>
                <w:sz w:val="18"/>
                <w:szCs w:val="18"/>
              </w:rPr>
              <w:t xml:space="preserve">Frontend  ·  Dashboard Enhancement</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The Director of Intelligence dashboard is currently disorganised. It must be restructured into clear, labelled sections. A filter bar must be added to every section so the Director can narrow down what they are looking at quickly.</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val="false"/>
                <w:bCs w:val="false"/>
                <w:color w:val="222222"/>
                <w:sz w:val="19"/>
                <w:szCs w:val="19"/>
              </w:rPr>
              <w:t xml:space="preserve">Sections: Pending Actions (items requiring attention) · All Reports · Generated Reports · Signed Reports</w:t>
            </w:r>
          </w:p>
          <w:p>
            <w:pPr>
              <w:spacing w:after="50" w:before="50"/>
            </w:pPr>
            <w:r>
              <w:rPr>
                <w:rFonts w:ascii="Arial" w:cs="Arial" w:eastAsia="Arial" w:hAnsi="Arial"/>
                <w:b w:val="false"/>
                <w:bCs w:val="false"/>
                <w:color w:val="222222"/>
                <w:sz w:val="19"/>
                <w:szCs w:val="19"/>
              </w:rPr>
              <w:t xml:space="preserve">Filters per section: Date range · Case status · Report type · Routing source</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C45000"/>
                <w:sz w:val="19"/>
                <w:szCs w:val="19"/>
              </w:rPr>
              <w:t xml:space="preserve">TECHNICAL: Audit and remove duplicate or redundant columns. Apply consistent column widths and spacing. Filter state must persist across tab switches within the same session. No new API endpoints required — use existing query parameters.</w:t>
            </w:r>
          </w:p>
        </w:tc>
      </w:tr>
    </w:tbl>
    <w:p>
      <w:pPr>
        <w:spacing w:after="100" w:before="200"/>
      </w:pPr>
      <w:r>
        <w:t xml:space="preserve"/>
      </w:r>
    </w:p>
    <w:p>
      <w:pPr>
        <w:pStyle w:val="Heading1"/>
        <w:spacing w:after="160" w:before="360"/>
      </w:pPr>
      <w:r>
        <w:rPr>
          <w:rFonts w:ascii="Arial" w:cs="Arial" w:eastAsia="Arial" w:hAnsi="Arial"/>
          <w:b/>
          <w:bCs/>
          <w:color w:val="1F3864"/>
          <w:sz w:val="28"/>
          <w:szCs w:val="28"/>
        </w:rPr>
        <w:t xml:space="preserve">User 04 — Investigation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660"/>
        <w:gridCol w:w="1800"/>
      </w:tblGrid>
      <w:tr>
        <w:tc>
          <w:tcPr>
            <w:tcW w:type="dxa" w:w="900"/>
            <w:tcBorders>
              <w:top w:val="single" w:color="CCCCCC" w:sz="1"/>
              <w:left w:val="single" w:color="CCCCCC" w:sz="1"/>
              <w:bottom w:val="single" w:color="CCCCCC" w:sz="1"/>
              <w:right w:val="single" w:color="CCCCCC" w:sz="1"/>
            </w:tcBorders>
            <w:shd w:fill="0D6E6E"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8"/>
                <w:szCs w:val="28"/>
              </w:rPr>
              <w:t xml:space="preserve">04</w:t>
            </w:r>
          </w:p>
        </w:tc>
        <w:tc>
          <w:tcPr>
            <w:tcW w:type="dxa" w:w="6660"/>
            <w:tcBorders>
              <w:top w:val="single" w:color="CCCCCC" w:sz="1"/>
              <w:left w:val="single" w:color="CCCCCC" w:sz="1"/>
              <w:bottom w:val="single" w:color="CCCCCC" w:sz="1"/>
              <w:right w:val="single" w:color="CCCCCC" w:sz="1"/>
            </w:tcBorders>
            <w:shd w:fill="0D6E6E" w:val="clear"/>
            <w:tcMar>
              <w:top w:type="dxa" w:w="110"/>
              <w:left w:type="dxa" w:w="150"/>
              <w:bottom w:type="dxa" w:w="110"/>
              <w:right w:type="dxa" w:w="150"/>
            </w:tcMar>
            <w:vAlign w:val="center"/>
          </w:tcPr>
          <w:p>
            <w:pPr>
              <w:jc w:val="left"/>
            </w:pPr>
            <w:r>
              <w:rPr>
                <w:rFonts w:ascii="Arial" w:cs="Arial" w:eastAsia="Arial" w:hAnsi="Arial"/>
                <w:b/>
                <w:bCs/>
                <w:i w:val="false"/>
                <w:iCs w:val="false"/>
                <w:color w:val="FFFFFF"/>
                <w:sz w:val="26"/>
                <w:szCs w:val="26"/>
              </w:rPr>
              <w:t xml:space="preserve">Investigation Officer</w:t>
            </w:r>
          </w:p>
        </w:tc>
        <w:tc>
          <w:tcPr>
            <w:tcW w:type="dxa" w:w="1800"/>
            <w:tcBorders>
              <w:top w:val="single" w:color="CCCCCC" w:sz="1"/>
              <w:left w:val="single" w:color="CCCCCC" w:sz="1"/>
              <w:bottom w:val="single" w:color="CCCCCC" w:sz="1"/>
              <w:right w:val="single" w:color="CCCCCC" w:sz="1"/>
            </w:tcBorders>
            <w:shd w:fill="E0F5F5" w:val="clear"/>
            <w:tcMar>
              <w:top w:type="dxa" w:w="110"/>
              <w:left w:type="dxa" w:w="150"/>
              <w:bottom w:type="dxa" w:w="110"/>
              <w:right w:type="dxa" w:w="150"/>
            </w:tcMar>
            <w:vAlign w:val="center"/>
          </w:tcPr>
          <w:p>
            <w:pPr>
              <w:jc w:val="center"/>
            </w:pPr>
            <w:r>
              <w:rPr>
                <w:rFonts w:ascii="Arial" w:cs="Arial" w:eastAsia="Arial" w:hAnsi="Arial"/>
                <w:b/>
                <w:bCs/>
                <w:i w:val="false"/>
                <w:iCs w:val="false"/>
                <w:color w:val="0D6E6E"/>
                <w:sz w:val="20"/>
                <w:szCs w:val="20"/>
              </w:rPr>
              <w:t xml:space="preserve">1 change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0D6E6E" w:val="clear"/>
            <w:tcMar>
              <w:top w:type="dxa" w:w="110"/>
              <w:left w:type="dxa" w:w="150"/>
              <w:bottom w:type="dxa" w:w="110"/>
              <w:right w:type="dxa" w:w="150"/>
            </w:tcMar>
            <w:vAlign w:val="center"/>
          </w:tcPr>
          <w:p>
            <w:pPr>
              <w:jc w:val="center"/>
            </w:pPr>
            <w:r>
              <w:rPr>
                <w:rFonts w:ascii="Arial" w:cs="Arial" w:eastAsia="Arial" w:hAnsi="Arial"/>
                <w:b/>
                <w:bCs/>
                <w:i w:val="false"/>
                <w:iCs w:val="false"/>
                <w:color w:val="FFFFFF"/>
                <w:sz w:val="22"/>
                <w:szCs w:val="22"/>
              </w:rPr>
              <w:t xml:space="preserve">01</w:t>
            </w:r>
          </w:p>
        </w:tc>
        <w:tc>
          <w:tcPr>
            <w:tcW w:type="dxa" w:w="8560"/>
            <w:tcBorders>
              <w:top w:val="single" w:color="0D6E6E" w:sz="1"/>
              <w:left w:val="single" w:color="0D6E6E" w:sz="1"/>
              <w:bottom w:val="single" w:color="0D6E6E" w:sz="1"/>
              <w:right w:val="single" w:color="0D6E6E" w:sz="1"/>
            </w:tcBorders>
            <w:shd w:fill="E0F5F5" w:val="clear"/>
            <w:tcMar>
              <w:top w:type="dxa" w:w="110"/>
              <w:left w:type="dxa" w:w="160"/>
              <w:bottom w:type="dxa" w:w="110"/>
              <w:right w:type="dxa" w:w="160"/>
            </w:tcMar>
          </w:tcPr>
          <w:p>
            <w:r>
              <w:rPr>
                <w:rFonts w:ascii="Arial" w:cs="Arial" w:eastAsia="Arial" w:hAnsi="Arial"/>
                <w:b/>
                <w:bCs/>
                <w:color w:val="1F3864"/>
                <w:sz w:val="22"/>
                <w:szCs w:val="22"/>
              </w:rPr>
              <w:t xml:space="preserve">Final Report Must Be Auto-Generated from Case Data</w:t>
            </w:r>
            <w:r>
              <w:rPr>
                <w:rFonts w:ascii="Arial" w:cs="Arial" w:eastAsia="Arial" w:hAnsi="Arial"/>
                <w:color w:val="666666"/>
                <w:sz w:val="18"/>
                <w:szCs w:val="18"/>
              </w:rPr>
              <w:t xml:space="preserve">   ·   Layer: </w:t>
            </w:r>
            <w:r>
              <w:rPr>
                <w:rFonts w:ascii="Arial" w:cs="Arial" w:eastAsia="Arial" w:hAnsi="Arial"/>
                <w:b/>
                <w:bCs/>
                <w:color w:val="0D6E6E"/>
                <w:sz w:val="18"/>
                <w:szCs w:val="18"/>
              </w:rPr>
              <w:t xml:space="preserve">Frontend + Backend + Database  ·  New Feature</w:t>
            </w:r>
          </w:p>
        </w:tc>
      </w:tr>
      <w:tr>
        <w:tc>
          <w:tcPr>
            <w:tcW w:type="dxa" w:w="800"/>
            <w:tcBorders>
              <w:top w:val="single" w:color="CCCCCC" w:sz="1"/>
              <w:left w:val="single" w:color="CCCCCC" w:sz="1"/>
              <w:bottom w:val="single" w:color="CCCCCC" w:sz="1"/>
              <w:right w:val="single" w:color="CCCCCC" w:sz="1"/>
            </w:tcBorders>
            <w:shd w:fill="FFFFFF" w:val="clear"/>
            <w:tcMar>
              <w:top w:type="dxa" w:w="110"/>
              <w:left w:type="dxa" w:w="150"/>
              <w:bottom w:type="dxa" w:w="110"/>
              <w:right w:type="dxa" w:w="150"/>
            </w:tcMar>
            <w:vAlign w:val="center"/>
          </w:tcPr>
          <w:p>
            <w:pPr>
              <w:jc w:val="left"/>
            </w:pPr>
            <w:r>
              <w:rPr>
                <w:rFonts w:ascii="Arial" w:cs="Arial" w:eastAsia="Arial" w:hAnsi="Arial"/>
                <w:b w:val="false"/>
                <w:bCs w:val="false"/>
                <w:i w:val="false"/>
                <w:iCs w:val="false"/>
                <w:color w:val="222222"/>
                <w:sz w:val="20"/>
                <w:szCs w:val="20"/>
              </w:rPr>
              <w:t xml:space="preserve"/>
            </w:r>
          </w:p>
        </w:tc>
        <w:tc>
          <w:tcPr>
            <w:tcW w:type="dxa" w:w="8560"/>
            <w:tcBorders>
              <w:top w:val="single" w:color="CCCCCC" w:sz="1"/>
              <w:left w:val="single" w:color="CCCCCC" w:sz="1"/>
              <w:bottom w:val="single" w:color="CCCCCC" w:sz="1"/>
              <w:right w:val="single" w:color="CCCCCC" w:sz="1"/>
            </w:tcBorders>
            <w:shd w:fill="FFFFFF" w:val="clear"/>
            <w:tcMar>
              <w:top w:type="dxa" w:w="130"/>
              <w:left w:type="dxa" w:w="160"/>
              <w:bottom w:type="dxa" w:w="140"/>
              <w:right w:type="dxa" w:w="160"/>
            </w:tcMar>
          </w:tcPr>
          <w:p>
            <w:pPr>
              <w:spacing w:after="50" w:before="50"/>
            </w:pPr>
            <w:r>
              <w:rPr>
                <w:rFonts w:ascii="Arial" w:cs="Arial" w:eastAsia="Arial" w:hAnsi="Arial"/>
                <w:b w:val="false"/>
                <w:bCs w:val="false"/>
                <w:color w:val="222222"/>
                <w:sz w:val="19"/>
                <w:szCs w:val="19"/>
              </w:rPr>
              <w:t xml:space="preserve">The content of the Investigation Officer’s final report must be auto-generated from what was written in the case report and the associated case data. The officer must not re-enter information already in the system.</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val="false"/>
                <w:bCs w:val="false"/>
                <w:color w:val="222222"/>
                <w:sz w:val="19"/>
                <w:szCs w:val="19"/>
              </w:rPr>
              <w:t xml:space="preserve">Attachments on the final report are restricted to evidence only. Non-evidence files are excluded automatically. The officer can review and make minor edits to the draft before submitting.</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val="false"/>
                <w:bCs w:val="false"/>
                <w:color w:val="222222"/>
                <w:sz w:val="19"/>
                <w:szCs w:val="19"/>
              </w:rPr>
              <w:t xml:space="preserve">Report sections generated automatically:</w:t>
            </w:r>
          </w:p>
          <w:p>
            <w:pPr>
              <w:spacing w:after="50" w:before="50"/>
            </w:pPr>
            <w:r>
              <w:rPr>
                <w:rFonts w:ascii="Arial" w:cs="Arial" w:eastAsia="Arial" w:hAnsi="Arial"/>
                <w:b w:val="false"/>
                <w:bCs w:val="false"/>
                <w:color w:val="222222"/>
                <w:sz w:val="19"/>
                <w:szCs w:val="19"/>
              </w:rPr>
              <w:t xml:space="preserve">  •  Summary — drawn from case notes</w:t>
            </w:r>
          </w:p>
          <w:p>
            <w:pPr>
              <w:spacing w:after="50" w:before="50"/>
            </w:pPr>
            <w:r>
              <w:rPr>
                <w:rFonts w:ascii="Arial" w:cs="Arial" w:eastAsia="Arial" w:hAnsi="Arial"/>
                <w:b w:val="false"/>
                <w:bCs w:val="false"/>
                <w:color w:val="222222"/>
                <w:sz w:val="19"/>
                <w:szCs w:val="19"/>
              </w:rPr>
              <w:t xml:space="preserve">  •  Findings — drawn from prior report content</w:t>
            </w:r>
          </w:p>
          <w:p>
            <w:pPr>
              <w:spacing w:after="50" w:before="50"/>
            </w:pPr>
            <w:r>
              <w:rPr>
                <w:rFonts w:ascii="Arial" w:cs="Arial" w:eastAsia="Arial" w:hAnsi="Arial"/>
                <w:b w:val="false"/>
                <w:bCs w:val="false"/>
                <w:color w:val="222222"/>
                <w:sz w:val="19"/>
                <w:szCs w:val="19"/>
              </w:rPr>
              <w:t xml:space="preserve">  •  Evidence — populated from attachments tagged as EVIDENCE</w:t>
            </w:r>
          </w:p>
          <w:p>
            <w:pPr>
              <w:spacing w:after="50" w:before="50"/>
            </w:pPr>
            <w:r>
              <w:rPr>
                <w:rFonts w:ascii="Arial" w:cs="Arial" w:eastAsia="Arial" w:hAnsi="Arial"/>
                <w:b w:val="false"/>
                <w:bCs w:val="false"/>
                <w:color w:val="222222"/>
                <w:sz w:val="19"/>
                <w:szCs w:val="19"/>
              </w:rPr>
              <w:t xml:space="preserve">  •  Conclusion — assembled from accumulated case data</w:t>
            </w:r>
          </w:p>
          <w:p>
            <w:pPr>
              <w:spacing w:after="50" w:before="50"/>
            </w:pPr>
            <w:r>
              <w:rPr>
                <w:rFonts w:ascii="Arial" w:cs="Arial" w:eastAsia="Arial" w:hAnsi="Arial"/>
                <w:b w:val="false"/>
                <w:bCs w:val="false"/>
                <w:color w:val="222222"/>
                <w:sz w:val="19"/>
                <w:szCs w:val="19"/>
              </w:rPr>
              <w:t xml:space="preserve"/>
            </w:r>
          </w:p>
          <w:p>
            <w:pPr>
              <w:spacing w:after="50" w:before="50"/>
            </w:pPr>
            <w:r>
              <w:rPr>
                <w:rFonts w:ascii="Arial" w:cs="Arial" w:eastAsia="Arial" w:hAnsi="Arial"/>
                <w:b/>
                <w:bCs/>
                <w:color w:val="0D6E6E"/>
                <w:sz w:val="19"/>
                <w:szCs w:val="19"/>
              </w:rPr>
              <w:t xml:space="preserve">TECHNICAL: Add POST /api/reports/{id}/generate endpoint. This reads all case notes, prior report content, and evidence-tagged attachments for the case. It assembles a structured draft and sets generation_type = AUTO_GENERATED. Frontend: add a Generate Final Report button on the report creation page. Evidence attachments are listed automatically — no manual selection required. The officer may review and make minor edits before submitting.</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2026-05-26T12:06:06.248Z</dcterms:created>
  <dcterms:modified xsi:type="dcterms:W3CDTF">2026-05-26T12:06:06.248Z</dcterms:modified>
</cp:coreProperties>
</file>

<file path=docProps/custom.xml><?xml version="1.0" encoding="utf-8"?>
<Properties xmlns="http://schemas.openxmlformats.org/officeDocument/2006/custom-properties" xmlns:vt="http://schemas.openxmlformats.org/officeDocument/2006/docPropsVTypes"/>
</file>