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  <w:r/>
    </w:p>
    <w:p>
      <w:pPr>
        <w:pStyle w:val="Heading1"/>
      </w:pPr>
      <w:r>
        <w:t>SimpliFin</w:t>
      </w:r>
      <w:r/>
    </w:p>
    <w:p>
      <w:pPr>
        <w:pStyle w:val="Heading2"/>
      </w:pPr>
      <w:r>
        <w:t>Company Overview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Company Name</w:t>
            </w:r>
          </w:p>
        </w:tc>
        <w:tc>
          <w:tcPr>
            <w:tcW w:type="dxa" w:w="4320"/>
          </w:tcPr>
          <w:p>
            <w:r>
              <w:t>SimpliFin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4320"/>
          </w:tcPr>
          <w:p>
            <w:r>
              <w:t>Financial analytics / cashflow management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Product</w:t>
            </w:r>
          </w:p>
        </w:tc>
        <w:tc>
          <w:tcPr>
            <w:tcW w:type="dxa" w:w="4320"/>
          </w:tcPr>
          <w:p>
            <w:r>
              <w:t>AI-powered Financial Analytics and Cashflow Management Solution</w:t>
            </w:r>
          </w:p>
        </w:tc>
      </w:tr>
    </w:tbl>
    <w:p>
      <w:r/>
    </w:p>
    <w:p>
      <w:pPr>
        <w:pStyle w:val="Heading2"/>
      </w:pPr>
      <w:r>
        <w:t>Investment Summary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Date of First Investment</w:t>
            </w:r>
          </w:p>
        </w:tc>
        <w:tc>
          <w:tcPr>
            <w:tcW w:type="dxa" w:w="4320"/>
          </w:tcPr>
          <w:p>
            <w:r>
              <w:t>01-02-2020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Aggregate Investment</w:t>
            </w:r>
          </w:p>
        </w:tc>
        <w:tc>
          <w:tcPr>
            <w:tcW w:type="dxa" w:w="4320"/>
          </w:tcPr>
          <w:p>
            <w:r>
              <w:t>Rs 4,853,310.48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Investment Type</w:t>
            </w:r>
          </w:p>
        </w:tc>
        <w:tc>
          <w:tcPr>
            <w:tcW w:type="dxa" w:w="4320"/>
          </w:tcPr>
          <w:p>
            <w:r>
              <w:t>CCPS</w:t>
            </w:r>
          </w:p>
        </w:tc>
      </w:tr>
    </w:tbl>
    <w:p>
      <w:r/>
    </w:p>
    <w:p>
      <w:pPr>
        <w:pStyle w:val="Heading2"/>
      </w:pPr>
      <w:r>
        <w:t>Financial Summary (Rs million)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Metrics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Jan-Mar '22 (Quarter)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Jan-Mar '21 (Quarter)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FY 22-23 (Annual)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FY 21-22 (Annual)</w:t>
            </w:r>
          </w:p>
        </w:tc>
      </w:tr>
      <w:tr>
        <w:tc>
          <w:tcPr>
            <w:tcW w:type="dxa" w:w="1728"/>
          </w:tcPr>
          <w:p>
            <w:r>
              <w:t>No. of Orders</w:t>
            </w:r>
          </w:p>
        </w:tc>
        <w:tc>
          <w:tcPr>
            <w:tcW w:type="dxa" w:w="1728"/>
          </w:tcPr>
          <w:p>
            <w:r>
              <w:t>122.6</w:t>
            </w:r>
          </w:p>
        </w:tc>
        <w:tc>
          <w:tcPr>
            <w:tcW w:type="dxa" w:w="1728"/>
          </w:tcPr>
          <w:p>
            <w:r>
              <w:t>120.5</w:t>
            </w:r>
          </w:p>
        </w:tc>
        <w:tc>
          <w:tcPr>
            <w:tcW w:type="dxa" w:w="1728"/>
          </w:tcPr>
          <w:p>
            <w:r>
              <w:t>512.0</w:t>
            </w:r>
          </w:p>
        </w:tc>
        <w:tc>
          <w:tcPr>
            <w:tcW w:type="dxa" w:w="1728"/>
          </w:tcPr>
          <w:p>
            <w:r>
              <w:t>397.4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5,684.0</w:t>
            </w:r>
          </w:p>
        </w:tc>
        <w:tc>
          <w:tcPr>
            <w:tcW w:type="dxa" w:w="1728"/>
          </w:tcPr>
          <w:p>
            <w:r>
              <w:t>5,211.5</w:t>
            </w:r>
          </w:p>
        </w:tc>
        <w:tc>
          <w:tcPr>
            <w:tcW w:type="dxa" w:w="1728"/>
          </w:tcPr>
          <w:p>
            <w:r>
              <w:t>30,230.0</w:t>
            </w:r>
          </w:p>
        </w:tc>
        <w:tc>
          <w:tcPr>
            <w:tcW w:type="dxa" w:w="1728"/>
          </w:tcPr>
          <w:p>
            <w:r>
              <w:t>17,818.3</w:t>
            </w:r>
          </w:p>
        </w:tc>
      </w:tr>
      <w:tr>
        <w:tc>
          <w:tcPr>
            <w:tcW w:type="dxa" w:w="1728"/>
          </w:tcPr>
          <w:p>
            <w:r>
              <w:t>Contribution</w:t>
            </w:r>
          </w:p>
        </w:tc>
        <w:tc>
          <w:tcPr>
            <w:tcW w:type="dxa" w:w="1728"/>
          </w:tcPr>
          <w:p>
            <w:r>
              <w:t>4,322.1</w:t>
            </w:r>
          </w:p>
        </w:tc>
        <w:tc>
          <w:tcPr>
            <w:tcW w:type="dxa" w:w="1728"/>
          </w:tcPr>
          <w:p>
            <w:r>
              <w:t>3,926.3</w:t>
            </w:r>
          </w:p>
        </w:tc>
        <w:tc>
          <w:tcPr>
            <w:tcW w:type="dxa" w:w="1728"/>
          </w:tcPr>
          <w:p>
            <w:r>
              <w:t>23,796</w:t>
            </w:r>
          </w:p>
        </w:tc>
        <w:tc>
          <w:tcPr>
            <w:tcW w:type="dxa" w:w="1728"/>
          </w:tcPr>
          <w:p>
            <w:r>
              <w:t>13,557.9</w:t>
            </w:r>
          </w:p>
        </w:tc>
      </w:tr>
      <w:tr>
        <w:tc>
          <w:tcPr>
            <w:tcW w:type="dxa" w:w="1728"/>
          </w:tcPr>
          <w:p>
            <w:r>
              <w:t>EBITDA</w:t>
            </w:r>
          </w:p>
        </w:tc>
        <w:tc>
          <w:tcPr>
            <w:tcW w:type="dxa" w:w="1728"/>
          </w:tcPr>
          <w:p>
            <w:r>
              <w:t>-79.2</w:t>
            </w:r>
          </w:p>
        </w:tc>
        <w:tc>
          <w:tcPr>
            <w:tcW w:type="dxa" w:w="1728"/>
          </w:tcPr>
          <w:p>
            <w:r>
              <w:t>-33.7</w:t>
            </w:r>
          </w:p>
        </w:tc>
        <w:tc>
          <w:tcPr>
            <w:tcW w:type="dxa" w:w="1728"/>
          </w:tcPr>
          <w:p>
            <w:r>
              <w:t>1,350</w:t>
            </w:r>
          </w:p>
        </w:tc>
        <w:tc>
          <w:tcPr>
            <w:tcW w:type="dxa" w:w="1728"/>
          </w:tcPr>
          <w:p>
            <w:r>
              <w:t>-2,409.2</w:t>
            </w:r>
          </w:p>
        </w:tc>
      </w:tr>
    </w:tbl>
    <w:p>
      <w:r/>
      <w:r/>
    </w:p>
    <w:p>
      <w:pPr>
        <w:pStyle w:val="Heading2"/>
      </w:pPr>
      <w:r>
        <w:t>Recent Highlights</w:t>
      </w:r>
      <w:r/>
      <w:r/>
    </w:p>
    <w:p>
      <w:pPr>
        <w:pStyle w:val="ListBullet"/>
        <w:spacing w:line="240" w:lineRule="auto"/>
        <w:ind w:left="720"/>
      </w:pPr>
      <w:r/>
      <w:r>
        <w:t>Significant improvement in EBITDA from -2,409.2 in FY21-22 to 1,350 in FY22-23.</w:t>
      </w:r>
      <w:r/>
    </w:p>
    <w:p>
      <w:pPr>
        <w:pStyle w:val="ListBullet"/>
        <w:spacing w:line="240" w:lineRule="auto"/>
        <w:ind w:left="720"/>
      </w:pPr>
      <w:r/>
      <w:r>
        <w:t>Revenue increased yearly by 69.6% from FY21-22 to FY22-23.</w:t>
      </w:r>
      <w:r/>
    </w:p>
    <w:p>
      <w:pPr>
        <w:pStyle w:val="ListBullet"/>
        <w:spacing w:line="240" w:lineRule="auto"/>
        <w:ind w:left="720"/>
      </w:pPr>
      <w:r/>
      <w:r>
        <w:t>Achieved a significant increase in the number of orders, reaching 512.0 in FY22-23.</w:t>
      </w:r>
      <w:r/>
      <w:r/>
      <w:r/>
      <w:r/>
    </w:p>
    <w:p>
      <w:pPr>
        <w:pStyle w:val="Heading2"/>
      </w:pPr>
      <w:r>
        <w:t>Key Points From Investor Presentation:</w:t>
      </w:r>
      <w:r/>
      <w:r/>
    </w:p>
    <w:p>
      <w:pPr>
        <w:pStyle w:val="ListBullet"/>
        <w:spacing w:line="240" w:lineRule="auto"/>
        <w:ind w:left="720"/>
      </w:pPr>
      <w:r/>
      <w:r>
        <w:t>SimpliFin offers AI-powered cashflow observability and optimization solutions.</w:t>
      </w:r>
      <w:r/>
    </w:p>
    <w:p>
      <w:pPr>
        <w:pStyle w:val="ListBullet"/>
        <w:spacing w:line="240" w:lineRule="auto"/>
        <w:ind w:left="720"/>
      </w:pPr>
      <w:r/>
      <w:r>
        <w:t>AI-driven reconciliation and cashflow projections to enhance financial management.</w:t>
      </w:r>
      <w:r/>
    </w:p>
    <w:p>
      <w:pPr>
        <w:pStyle w:val="ListBullet"/>
        <w:spacing w:line="240" w:lineRule="auto"/>
        <w:ind w:left="720"/>
      </w:pPr>
      <w:r/>
      <w:r>
        <w:t>Strategic GTM partnerships and an increasing sales pipeline highlight growth potential.</w:t>
      </w:r>
      <w:r/>
      <w:r/>
      <w:r/>
      <w:hyperlink r:id="rId9">
        <w:r>
          <w:rPr>
            <w:color w:val="0000EE"/>
            <w:u w:val="single"/>
          </w:rPr>
          <w:t>Learn More About SimpliFin</w:t>
        </w:r>
      </w:hyperlink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