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```html</w:t>
      </w:r>
      <w:r/>
      <w:r/>
    </w:p>
    <w:p>
      <w:r/>
      <w:r/>
      <w:r/>
    </w:p>
    <w:p>
      <w:pPr>
        <w:pStyle w:val="Heading1"/>
      </w:pPr>
      <w:r>
        <w:t>SimpliFin</w:t>
      </w:r>
      <w:r/>
    </w:p>
    <w:p>
      <w:pPr>
        <w:pStyle w:val="Heading2"/>
      </w:pPr>
      <w:r>
        <w:t>Company Overview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</w:t>
            </w:r>
          </w:p>
        </w:tc>
        <w:tc>
          <w:tcPr>
            <w:tcW w:type="dxa" w:w="4320"/>
          </w:tcPr>
          <w:p>
            <w:r>
              <w:t>SimpliFin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4320"/>
          </w:tcPr>
          <w:p>
            <w:r>
              <w:t>Financial analytics / cashflow management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4320"/>
          </w:tcPr>
          <w:p>
            <w:r>
              <w:t>AI-powered Financial Analytics and Cashflow Management Solution</w:t>
            </w:r>
          </w:p>
        </w:tc>
      </w:tr>
    </w:tbl>
    <w:p>
      <w:r/>
    </w:p>
    <w:p>
      <w:pPr>
        <w:pStyle w:val="Heading2"/>
      </w:pPr>
      <w:r>
        <w:t>Investment Summary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 of First Investment</w:t>
            </w:r>
          </w:p>
        </w:tc>
        <w:tc>
          <w:tcPr>
            <w:tcW w:type="dxa" w:w="4320"/>
          </w:tcPr>
          <w:p>
            <w:r>
              <w:t>01-02-2020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Aggregate Investment</w:t>
            </w:r>
          </w:p>
        </w:tc>
        <w:tc>
          <w:tcPr>
            <w:tcW w:type="dxa" w:w="4320"/>
          </w:tcPr>
          <w:p>
            <w:r>
              <w:t>Rs 48,53,310.48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Type</w:t>
            </w:r>
          </w:p>
        </w:tc>
        <w:tc>
          <w:tcPr>
            <w:tcW w:type="dxa" w:w="4320"/>
          </w:tcPr>
          <w:p>
            <w:r>
              <w:t>CCPS (Compulsorily Convertible Preference Shares)</w:t>
            </w:r>
          </w:p>
        </w:tc>
      </w:tr>
    </w:tbl>
    <w:p>
      <w:r/>
    </w:p>
    <w:p>
      <w:pPr>
        <w:pStyle w:val="Heading2"/>
      </w:pPr>
      <w:r>
        <w:t>Financial Summary (Rs million)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Metrics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'22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'21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22-23 (Annual)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21-22 (Annual)</w:t>
            </w:r>
          </w:p>
        </w:tc>
      </w:tr>
      <w:tr>
        <w:tc>
          <w:tcPr>
            <w:tcW w:type="dxa" w:w="1728"/>
          </w:tcPr>
          <w:p>
            <w:r>
              <w:t>No. of Orders</w:t>
            </w:r>
          </w:p>
        </w:tc>
        <w:tc>
          <w:tcPr>
            <w:tcW w:type="dxa" w:w="1728"/>
          </w:tcPr>
          <w:p>
            <w:r>
              <w:t>122.6</w:t>
            </w:r>
          </w:p>
        </w:tc>
        <w:tc>
          <w:tcPr>
            <w:tcW w:type="dxa" w:w="1728"/>
          </w:tcPr>
          <w:p>
            <w:r>
              <w:t>120.5</w:t>
            </w:r>
          </w:p>
        </w:tc>
        <w:tc>
          <w:tcPr>
            <w:tcW w:type="dxa" w:w="1728"/>
          </w:tcPr>
          <w:p>
            <w:r>
              <w:t>512.0</w:t>
            </w:r>
          </w:p>
        </w:tc>
        <w:tc>
          <w:tcPr>
            <w:tcW w:type="dxa" w:w="1728"/>
          </w:tcPr>
          <w:p>
            <w:r>
              <w:t>397.4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5,684.0</w:t>
            </w:r>
          </w:p>
        </w:tc>
        <w:tc>
          <w:tcPr>
            <w:tcW w:type="dxa" w:w="1728"/>
          </w:tcPr>
          <w:p>
            <w:r>
              <w:t>5,211.5</w:t>
            </w:r>
          </w:p>
        </w:tc>
        <w:tc>
          <w:tcPr>
            <w:tcW w:type="dxa" w:w="1728"/>
          </w:tcPr>
          <w:p>
            <w:r>
              <w:t>30,230.0</w:t>
            </w:r>
          </w:p>
        </w:tc>
        <w:tc>
          <w:tcPr>
            <w:tcW w:type="dxa" w:w="1728"/>
          </w:tcPr>
          <w:p>
            <w:r>
              <w:t>17,818.3</w:t>
            </w:r>
          </w:p>
        </w:tc>
      </w:tr>
      <w:tr>
        <w:tc>
          <w:tcPr>
            <w:tcW w:type="dxa" w:w="1728"/>
          </w:tcPr>
          <w:p>
            <w:r>
              <w:t>Contribution</w:t>
            </w:r>
          </w:p>
        </w:tc>
        <w:tc>
          <w:tcPr>
            <w:tcW w:type="dxa" w:w="1728"/>
          </w:tcPr>
          <w:p>
            <w:r>
              <w:t>4,322.1</w:t>
            </w:r>
          </w:p>
        </w:tc>
        <w:tc>
          <w:tcPr>
            <w:tcW w:type="dxa" w:w="1728"/>
          </w:tcPr>
          <w:p>
            <w:r>
              <w:t>3,926.3</w:t>
            </w:r>
          </w:p>
        </w:tc>
        <w:tc>
          <w:tcPr>
            <w:tcW w:type="dxa" w:w="1728"/>
          </w:tcPr>
          <w:p>
            <w:r>
              <w:t>23,796.0</w:t>
            </w:r>
          </w:p>
        </w:tc>
        <w:tc>
          <w:tcPr>
            <w:tcW w:type="dxa" w:w="1728"/>
          </w:tcPr>
          <w:p>
            <w:r>
              <w:t>13,557.9</w:t>
            </w:r>
          </w:p>
        </w:tc>
      </w:tr>
      <w:tr>
        <w:tc>
          <w:tcPr>
            <w:tcW w:type="dxa" w:w="1728"/>
          </w:tcPr>
          <w:p>
            <w:r>
              <w:t>EBITDA</w:t>
            </w:r>
          </w:p>
        </w:tc>
        <w:tc>
          <w:tcPr>
            <w:tcW w:type="dxa" w:w="1728"/>
          </w:tcPr>
          <w:p>
            <w:r>
              <w:t>-79.2</w:t>
            </w:r>
          </w:p>
        </w:tc>
        <w:tc>
          <w:tcPr>
            <w:tcW w:type="dxa" w:w="1728"/>
          </w:tcPr>
          <w:p>
            <w:r>
              <w:t>-33.7</w:t>
            </w:r>
          </w:p>
        </w:tc>
        <w:tc>
          <w:tcPr>
            <w:tcW w:type="dxa" w:w="1728"/>
          </w:tcPr>
          <w:p>
            <w:r>
              <w:t>1,350.0</w:t>
            </w:r>
          </w:p>
        </w:tc>
        <w:tc>
          <w:tcPr>
            <w:tcW w:type="dxa" w:w="1728"/>
          </w:tcPr>
          <w:p>
            <w:r>
              <w:t>-2,409.2</w:t>
            </w:r>
          </w:p>
        </w:tc>
      </w:tr>
    </w:tbl>
    <w:p>
      <w:r/>
      <w:r/>
    </w:p>
    <w:p>
      <w:pPr>
        <w:pStyle w:val="Heading2"/>
      </w:pPr>
      <w:r>
        <w:t>Recent Highlights</w:t>
      </w:r>
      <w:r/>
      <w:r/>
    </w:p>
    <w:p>
      <w:pPr>
        <w:pStyle w:val="ListBullet"/>
        <w:spacing w:line="240" w:lineRule="auto"/>
        <w:ind w:left="720"/>
      </w:pPr>
      <w:r/>
      <w:r>
        <w:t>AI-based solutions can automate data reconciliation and forecast cashflows.</w:t>
      </w:r>
      <w:r/>
    </w:p>
    <w:p>
      <w:pPr>
        <w:pStyle w:val="ListBullet"/>
        <w:spacing w:line="240" w:lineRule="auto"/>
        <w:ind w:left="720"/>
      </w:pPr>
      <w:r/>
      <w:r>
        <w:t>Strong sales pipeline with ARR surpassing $100K.</w:t>
      </w:r>
      <w:r/>
    </w:p>
    <w:p>
      <w:pPr>
        <w:pStyle w:val="ListBullet"/>
        <w:spacing w:line="240" w:lineRule="auto"/>
        <w:ind w:left="720"/>
      </w:pPr>
      <w:r/>
      <w:r>
        <w:t>Partnerships across sectors for expanding product features.</w:t>
      </w:r>
      <w:r/>
      <w:r/>
      <w:r/>
      <w:r/>
    </w:p>
    <w:p>
      <w:pPr>
        <w:pStyle w:val="Heading2"/>
      </w:pPr>
      <w:r>
        <w:t>Key Points From Investor Presentation:</w:t>
      </w:r>
      <w:r/>
      <w:r/>
    </w:p>
    <w:p>
      <w:pPr>
        <w:pStyle w:val="ListBullet"/>
        <w:spacing w:line="240" w:lineRule="auto"/>
        <w:ind w:left="720"/>
      </w:pPr>
      <w:r/>
      <w:r>
        <w:t>The Indian e-commerce and digital payment market is rapidly expanding.</w:t>
      </w:r>
      <w:r/>
    </w:p>
    <w:p>
      <w:pPr>
        <w:pStyle w:val="ListBullet"/>
        <w:spacing w:line="240" w:lineRule="auto"/>
        <w:ind w:left="720"/>
      </w:pPr>
      <w:r/>
      <w:r>
        <w:t>AI-powered cashflow management could save significant manual finance team efforts.</w:t>
      </w:r>
      <w:r/>
    </w:p>
    <w:p>
      <w:pPr>
        <w:pStyle w:val="ListBullet"/>
        <w:spacing w:line="240" w:lineRule="auto"/>
        <w:ind w:left="720"/>
      </w:pPr>
      <w:r/>
      <w:r>
        <w:t>Significant focus on Funding Asks and future expansion plans.</w:t>
      </w:r>
      <w:r/>
      <w:r/>
      <w:r/>
      <w:hyperlink r:id="rId9">
        <w:r>
          <w:rPr>
            <w:color w:val="0000EE"/>
            <w:u w:val="single"/>
          </w:rPr>
          <w:t>Learn More About SimpliFin</w:t>
        </w:r>
      </w:hyperlink>
      <w:r/>
      <w:r/>
      <w:r/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etsimplif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