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  <w:r/>
    </w:p>
    <w:p>
      <w:pPr>
        <w:pStyle w:val="Heading1"/>
      </w:pPr>
      <w:r>
        <w:t>SimpliFin</w:t>
      </w:r>
      <w:r/>
    </w:p>
    <w:p>
      <w:pPr>
        <w:pStyle w:val="Heading2"/>
      </w:pPr>
      <w:r>
        <w:t>Company Overview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</w:t>
            </w:r>
          </w:p>
        </w:tc>
        <w:tc>
          <w:tcPr>
            <w:tcW w:type="dxa" w:w="4320"/>
          </w:tcPr>
          <w:p>
            <w:r>
              <w:t>SimpliFin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4320"/>
          </w:tcPr>
          <w:p>
            <w:r>
              <w:t>Financial analytics / cashflow management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4320"/>
          </w:tcPr>
          <w:p>
            <w:r>
              <w:t>AI-powered Financial Analytics and Cashflow Management Solution</w:t>
            </w:r>
          </w:p>
        </w:tc>
      </w:tr>
    </w:tbl>
    <w:p>
      <w:r/>
    </w:p>
    <w:p>
      <w:pPr>
        <w:pStyle w:val="Heading2"/>
      </w:pPr>
      <w:r>
        <w:t>Investment Summary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 of First Investment</w:t>
            </w:r>
          </w:p>
        </w:tc>
        <w:tc>
          <w:tcPr>
            <w:tcW w:type="dxa" w:w="4320"/>
          </w:tcPr>
          <w:p>
            <w:r>
              <w:t>01-02-2020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Aggregate Investment</w:t>
            </w:r>
          </w:p>
        </w:tc>
        <w:tc>
          <w:tcPr>
            <w:tcW w:type="dxa" w:w="4320"/>
          </w:tcPr>
          <w:p>
            <w:r>
              <w:t>₹4,853,310.48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Type</w:t>
            </w:r>
          </w:p>
        </w:tc>
        <w:tc>
          <w:tcPr>
            <w:tcW w:type="dxa" w:w="4320"/>
          </w:tcPr>
          <w:p>
            <w:r>
              <w:t>CCPS</w:t>
            </w:r>
          </w:p>
        </w:tc>
      </w:tr>
    </w:tbl>
    <w:p>
      <w:r/>
    </w:p>
    <w:p>
      <w:pPr>
        <w:pStyle w:val="Heading2"/>
      </w:pPr>
      <w:r>
        <w:t>Financial Summary (Rs million)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Metrics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'22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'21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22-23 (Annual)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21-22 (Annual)</w:t>
            </w:r>
          </w:p>
        </w:tc>
      </w:tr>
      <w:tr>
        <w:tc>
          <w:tcPr>
            <w:tcW w:type="dxa" w:w="1728"/>
          </w:tcPr>
          <w:p>
            <w:r>
              <w:t>No. of Orders</w:t>
            </w:r>
          </w:p>
        </w:tc>
        <w:tc>
          <w:tcPr>
            <w:tcW w:type="dxa" w:w="1728"/>
          </w:tcPr>
          <w:p>
            <w:r>
              <w:t>122.6</w:t>
            </w:r>
          </w:p>
        </w:tc>
        <w:tc>
          <w:tcPr>
            <w:tcW w:type="dxa" w:w="1728"/>
          </w:tcPr>
          <w:p>
            <w:r>
              <w:t>120.5</w:t>
            </w:r>
          </w:p>
        </w:tc>
        <w:tc>
          <w:tcPr>
            <w:tcW w:type="dxa" w:w="1728"/>
          </w:tcPr>
          <w:p>
            <w:r>
              <w:t>512.0</w:t>
            </w:r>
          </w:p>
        </w:tc>
        <w:tc>
          <w:tcPr>
            <w:tcW w:type="dxa" w:w="1728"/>
          </w:tcPr>
          <w:p>
            <w:r>
              <w:t>397.4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₹5,684.0</w:t>
            </w:r>
          </w:p>
        </w:tc>
        <w:tc>
          <w:tcPr>
            <w:tcW w:type="dxa" w:w="1728"/>
          </w:tcPr>
          <w:p>
            <w:r>
              <w:t>₹5,211.5</w:t>
            </w:r>
          </w:p>
        </w:tc>
        <w:tc>
          <w:tcPr>
            <w:tcW w:type="dxa" w:w="1728"/>
          </w:tcPr>
          <w:p>
            <w:r>
              <w:t>₹30,230.0</w:t>
            </w:r>
          </w:p>
        </w:tc>
        <w:tc>
          <w:tcPr>
            <w:tcW w:type="dxa" w:w="1728"/>
          </w:tcPr>
          <w:p>
            <w:r>
              <w:t>₹17,818.3</w:t>
            </w:r>
          </w:p>
        </w:tc>
      </w:tr>
      <w:tr>
        <w:tc>
          <w:tcPr>
            <w:tcW w:type="dxa" w:w="1728"/>
          </w:tcPr>
          <w:p>
            <w:r>
              <w:t>Contribution</w:t>
            </w:r>
          </w:p>
        </w:tc>
        <w:tc>
          <w:tcPr>
            <w:tcW w:type="dxa" w:w="1728"/>
          </w:tcPr>
          <w:p>
            <w:r>
              <w:t>₹4,322.1</w:t>
            </w:r>
          </w:p>
        </w:tc>
        <w:tc>
          <w:tcPr>
            <w:tcW w:type="dxa" w:w="1728"/>
          </w:tcPr>
          <w:p>
            <w:r>
              <w:t>₹3,926.3</w:t>
            </w:r>
          </w:p>
        </w:tc>
        <w:tc>
          <w:tcPr>
            <w:tcW w:type="dxa" w:w="1728"/>
          </w:tcPr>
          <w:p>
            <w:r>
              <w:t>₹23,796</w:t>
            </w:r>
          </w:p>
        </w:tc>
        <w:tc>
          <w:tcPr>
            <w:tcW w:type="dxa" w:w="1728"/>
          </w:tcPr>
          <w:p>
            <w:r>
              <w:t>₹13,557.9</w:t>
            </w:r>
          </w:p>
        </w:tc>
      </w:tr>
      <w:tr>
        <w:tc>
          <w:tcPr>
            <w:tcW w:type="dxa" w:w="1728"/>
          </w:tcPr>
          <w:p>
            <w:r>
              <w:t>EBITDA</w:t>
            </w:r>
          </w:p>
        </w:tc>
        <w:tc>
          <w:tcPr>
            <w:tcW w:type="dxa" w:w="1728"/>
          </w:tcPr>
          <w:p>
            <w:r>
              <w:t>-79.2</w:t>
            </w:r>
          </w:p>
        </w:tc>
        <w:tc>
          <w:tcPr>
            <w:tcW w:type="dxa" w:w="1728"/>
          </w:tcPr>
          <w:p>
            <w:r>
              <w:t>-33.7</w:t>
            </w:r>
          </w:p>
        </w:tc>
        <w:tc>
          <w:tcPr>
            <w:tcW w:type="dxa" w:w="1728"/>
          </w:tcPr>
          <w:p>
            <w:r>
              <w:t>₹1,350</w:t>
            </w:r>
          </w:p>
        </w:tc>
        <w:tc>
          <w:tcPr>
            <w:tcW w:type="dxa" w:w="1728"/>
          </w:tcPr>
          <w:p>
            <w:r>
              <w:t>-2,409.2</w:t>
            </w:r>
          </w:p>
        </w:tc>
      </w:tr>
    </w:tbl>
    <w:p>
      <w:r/>
      <w:r/>
    </w:p>
    <w:p>
      <w:pPr>
        <w:pStyle w:val="Heading2"/>
      </w:pPr>
      <w:r>
        <w:t>Recent Highlights</w:t>
      </w:r>
      <w:r/>
      <w:r/>
    </w:p>
    <w:p>
      <w:pPr>
        <w:pStyle w:val="ListBullet"/>
        <w:spacing w:line="240" w:lineRule="auto"/>
        <w:ind w:left="720"/>
      </w:pPr>
      <w:r/>
      <w:r>
        <w:t>Global funding winter emphasizes importance of cash flow visibility.</w:t>
      </w:r>
      <w:r/>
    </w:p>
    <w:p>
      <w:pPr>
        <w:pStyle w:val="ListBullet"/>
        <w:spacing w:line="240" w:lineRule="auto"/>
        <w:ind w:left="720"/>
      </w:pPr>
      <w:r/>
      <w:r>
        <w:t>SimpliFin is actively partnering with revenue-based financing companies.</w:t>
      </w:r>
      <w:r/>
    </w:p>
    <w:p>
      <w:pPr>
        <w:pStyle w:val="ListBullet"/>
        <w:spacing w:line="240" w:lineRule="auto"/>
        <w:ind w:left="720"/>
      </w:pPr>
      <w:r/>
      <w:r>
        <w:t>Projected ARR of $1.875 million by March 2025.</w:t>
      </w:r>
      <w:r/>
      <w:r/>
      <w:r/>
      <w:r/>
    </w:p>
    <w:p>
      <w:pPr>
        <w:pStyle w:val="Heading2"/>
      </w:pPr>
      <w:r>
        <w:t>Key Points From Investor Presentation:</w:t>
      </w:r>
      <w:r/>
      <w:r/>
    </w:p>
    <w:p>
      <w:pPr>
        <w:pStyle w:val="ListBullet"/>
        <w:spacing w:line="240" w:lineRule="auto"/>
        <w:ind w:left="720"/>
      </w:pPr>
      <w:r/>
      <w:r>
        <w:t>SimpliFin saves 80% of finance team’s manual work.</w:t>
      </w:r>
      <w:r/>
    </w:p>
    <w:p>
      <w:pPr>
        <w:pStyle w:val="ListBullet"/>
        <w:spacing w:line="240" w:lineRule="auto"/>
        <w:ind w:left="720"/>
      </w:pPr>
      <w:r/>
      <w:r>
        <w:t>SimpliFin targets opportunities in e-commerce, FinTech, and BFSI sectors.</w:t>
      </w:r>
      <w:r/>
    </w:p>
    <w:p>
      <w:pPr>
        <w:pStyle w:val="ListBullet"/>
        <w:spacing w:line="240" w:lineRule="auto"/>
        <w:ind w:left="720"/>
      </w:pPr>
      <w:r/>
      <w:r>
        <w:t>Custom AI algorithms enhance cashflow management and forecasting.</w:t>
      </w:r>
      <w:r/>
      <w:r/>
      <w:r/>
      <w:hyperlink r:id="rId9">
        <w:r>
          <w:rPr>
            <w:color w:val="0000EE"/>
            <w:u w:val="single"/>
          </w:rPr>
          <w:t>Learn More About SimpliFin</w:t>
        </w:r>
      </w:hyperlink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etsimplif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