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Window Determination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calculated state-specific dynamic windows using a growth-rate algorithm applied to the 3-week rolling average of the weekly metric. The baseline was established as the median value of the first four weeks of the season (July).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Defined as the first of two consecutive weeks where the week-over-week growth rate exceeded 10% (ratio &gt;1.10) and the smoothed value exceeded a minimum activity threshold (0.08% for NSSP).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Defined using a return-to-baseline approach. The offset was identified as the first week following the season peak where the smoothed value remained below a baseline recovery threshold (defined as the maximum of: the baseline median plus three standard deviations, three times the baseline median, or a minimum floor of 0.15%) for two consecutive weeks.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Figures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619800" cy="312272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800" cy="3122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Figure S1: State-level RSV-associated emergency department visit trends, 2023-24 and 2024-25 seasons.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percentage of emergency department visits associated with RSV from the National Syndromic Surveillance Program (NSSP). The 2023-24 season (July 1, 2023–June 30, 2024) is shown in red; the 2024-25 season (July 1, 2024–June 30, 2025) is shown in blue. The green shaded region indicates the October–March Nirsevimab administration window; vertical dashed lines mark the onset and offset according to the dynamic growth algorithm. States are arranged alphabetically. Florida, Missouri and South Dakota are excluded due to unavailable NSSP data.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734050" cy="3186206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86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Figure S2: State-level RSV-associated pediatric hospital admissions, 2024-25 season.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counts of laboratory-confirmed RSV-associated hospital admissions among children aged 0–4 years from the National Healthcare Safety Network (NHSN). The green shaded region indicates the October–March Nirsevimab administration window; vertical dashed lines mark the onset and offset according to the dynamic growth algorithm. States are arranged alphabetically. Note that y-axis scales vary by state to accommodate differences in population size and admission volume. Florida, Missouri, and South Dakota are excluded due to unavailable data.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