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11F7C" w14:textId="77777777" w:rsidR="00AE24A2" w:rsidRPr="00186843" w:rsidRDefault="00000000">
      <w:pPr>
        <w:spacing w:line="240" w:lineRule="auto"/>
        <w:rPr>
          <w:rFonts w:ascii="Times New Roman" w:eastAsia="Times New Roman" w:hAnsi="Times New Roman" w:cs="Times New Roman"/>
          <w:b/>
          <w:bCs/>
          <w:sz w:val="26"/>
          <w:szCs w:val="26"/>
        </w:rPr>
      </w:pPr>
      <w:r w:rsidRPr="00186843">
        <w:rPr>
          <w:rFonts w:ascii="Times New Roman" w:eastAsia="Times New Roman" w:hAnsi="Times New Roman" w:cs="Times New Roman"/>
          <w:b/>
          <w:bCs/>
          <w:sz w:val="26"/>
          <w:szCs w:val="26"/>
        </w:rPr>
        <w:t xml:space="preserve">Quantifying the Protection Gap: RSV Activity Outside the </w:t>
      </w:r>
      <w:proofErr w:type="spellStart"/>
      <w:r w:rsidRPr="00186843">
        <w:rPr>
          <w:rFonts w:ascii="Times New Roman" w:eastAsia="Times New Roman" w:hAnsi="Times New Roman" w:cs="Times New Roman"/>
          <w:b/>
          <w:bCs/>
          <w:sz w:val="26"/>
          <w:szCs w:val="26"/>
        </w:rPr>
        <w:t>Nirsevimab</w:t>
      </w:r>
      <w:proofErr w:type="spellEnd"/>
      <w:r w:rsidRPr="00186843">
        <w:rPr>
          <w:rFonts w:ascii="Times New Roman" w:eastAsia="Times New Roman" w:hAnsi="Times New Roman" w:cs="Times New Roman"/>
          <w:b/>
          <w:bCs/>
          <w:sz w:val="26"/>
          <w:szCs w:val="26"/>
        </w:rPr>
        <w:t xml:space="preserve"> Administration Window       </w:t>
      </w:r>
    </w:p>
    <w:p w14:paraId="7E619E53" w14:textId="77777777" w:rsidR="00AE24A2" w:rsidRPr="00186843" w:rsidRDefault="00AE24A2">
      <w:pPr>
        <w:spacing w:line="240" w:lineRule="auto"/>
        <w:rPr>
          <w:rFonts w:ascii="Times New Roman" w:eastAsia="Times New Roman" w:hAnsi="Times New Roman" w:cs="Times New Roman"/>
          <w:b/>
          <w:bCs/>
          <w:sz w:val="26"/>
          <w:szCs w:val="26"/>
        </w:rPr>
      </w:pPr>
    </w:p>
    <w:p w14:paraId="0203E4E5" w14:textId="77777777" w:rsidR="00AE24A2" w:rsidRPr="00186843" w:rsidRDefault="00000000">
      <w:pPr>
        <w:spacing w:line="240" w:lineRule="auto"/>
        <w:rPr>
          <w:rFonts w:ascii="Times New Roman" w:eastAsia="Times New Roman" w:hAnsi="Times New Roman" w:cs="Times New Roman"/>
          <w:sz w:val="24"/>
          <w:szCs w:val="24"/>
          <w:vertAlign w:val="superscript"/>
        </w:rPr>
      </w:pPr>
      <w:r w:rsidRPr="00186843">
        <w:rPr>
          <w:rFonts w:ascii="Times New Roman" w:eastAsia="Times New Roman" w:hAnsi="Times New Roman" w:cs="Times New Roman"/>
          <w:sz w:val="24"/>
          <w:szCs w:val="24"/>
        </w:rPr>
        <w:t>Austin G. Meyer, MD, PhD, MS, MPH, MS</w:t>
      </w:r>
      <w:r w:rsidRPr="00186843">
        <w:rPr>
          <w:rFonts w:ascii="Times New Roman" w:eastAsia="Times New Roman" w:hAnsi="Times New Roman" w:cs="Times New Roman"/>
          <w:sz w:val="24"/>
          <w:szCs w:val="24"/>
          <w:vertAlign w:val="superscript"/>
        </w:rPr>
        <w:t>1,3*</w:t>
      </w:r>
      <w:r w:rsidRPr="00186843">
        <w:rPr>
          <w:rFonts w:ascii="Times New Roman" w:eastAsia="Times New Roman" w:hAnsi="Times New Roman" w:cs="Times New Roman"/>
          <w:sz w:val="24"/>
          <w:szCs w:val="24"/>
        </w:rPr>
        <w:t>; George Dewey, PhD, MPH</w:t>
      </w:r>
      <w:r w:rsidRPr="00186843">
        <w:rPr>
          <w:rFonts w:ascii="Times New Roman" w:eastAsia="Times New Roman" w:hAnsi="Times New Roman" w:cs="Times New Roman"/>
          <w:sz w:val="24"/>
          <w:szCs w:val="24"/>
          <w:vertAlign w:val="superscript"/>
        </w:rPr>
        <w:t>4</w:t>
      </w:r>
      <w:r w:rsidRPr="00186843">
        <w:rPr>
          <w:rFonts w:ascii="Times New Roman" w:eastAsia="Times New Roman" w:hAnsi="Times New Roman" w:cs="Times New Roman"/>
          <w:sz w:val="24"/>
          <w:szCs w:val="24"/>
        </w:rPr>
        <w:t>; Stephanie Blasick, DO</w:t>
      </w:r>
      <w:r w:rsidRPr="00186843">
        <w:rPr>
          <w:rFonts w:ascii="Times New Roman" w:eastAsia="Times New Roman" w:hAnsi="Times New Roman" w:cs="Times New Roman"/>
          <w:sz w:val="24"/>
          <w:szCs w:val="24"/>
          <w:vertAlign w:val="superscript"/>
        </w:rPr>
        <w:t>1,3</w:t>
      </w:r>
      <w:r w:rsidRPr="00186843">
        <w:rPr>
          <w:rFonts w:ascii="Times New Roman" w:eastAsia="Times New Roman" w:hAnsi="Times New Roman" w:cs="Times New Roman"/>
          <w:sz w:val="24"/>
          <w:szCs w:val="24"/>
        </w:rPr>
        <w:t>; Christopher Hovland, MD</w:t>
      </w:r>
      <w:r w:rsidRPr="00186843">
        <w:rPr>
          <w:rFonts w:ascii="Times New Roman" w:eastAsia="Times New Roman" w:hAnsi="Times New Roman" w:cs="Times New Roman"/>
          <w:sz w:val="24"/>
          <w:szCs w:val="24"/>
          <w:vertAlign w:val="superscript"/>
        </w:rPr>
        <w:t>2,3</w:t>
      </w:r>
      <w:r w:rsidRPr="00186843">
        <w:rPr>
          <w:rFonts w:ascii="Times New Roman" w:eastAsia="Times New Roman" w:hAnsi="Times New Roman" w:cs="Times New Roman"/>
          <w:sz w:val="24"/>
          <w:szCs w:val="24"/>
        </w:rPr>
        <w:t>; Mauricio Santillana, PhD, MS</w:t>
      </w:r>
      <w:r w:rsidRPr="00186843">
        <w:rPr>
          <w:rFonts w:ascii="Times New Roman" w:eastAsia="Times New Roman" w:hAnsi="Times New Roman" w:cs="Times New Roman"/>
          <w:sz w:val="24"/>
          <w:szCs w:val="24"/>
          <w:vertAlign w:val="superscript"/>
        </w:rPr>
        <w:t>4</w:t>
      </w:r>
    </w:p>
    <w:p w14:paraId="6A70D9B7" w14:textId="77777777" w:rsidR="00AE24A2" w:rsidRPr="00186843" w:rsidRDefault="00AE24A2">
      <w:pPr>
        <w:spacing w:line="240" w:lineRule="auto"/>
        <w:rPr>
          <w:rFonts w:ascii="Times New Roman" w:eastAsia="Times New Roman" w:hAnsi="Times New Roman" w:cs="Times New Roman"/>
          <w:vertAlign w:val="superscript"/>
        </w:rPr>
      </w:pPr>
    </w:p>
    <w:p w14:paraId="065D27FD" w14:textId="77777777" w:rsidR="00AE24A2" w:rsidRPr="00186843" w:rsidRDefault="00000000">
      <w:pPr>
        <w:spacing w:line="240" w:lineRule="auto"/>
        <w:rPr>
          <w:rFonts w:ascii="Times New Roman" w:eastAsia="Times New Roman" w:hAnsi="Times New Roman" w:cs="Times New Roman"/>
        </w:rPr>
      </w:pPr>
      <w:r w:rsidRPr="00186843">
        <w:rPr>
          <w:rFonts w:ascii="Times New Roman" w:eastAsia="Times New Roman" w:hAnsi="Times New Roman" w:cs="Times New Roman"/>
          <w:vertAlign w:val="superscript"/>
        </w:rPr>
        <w:t>1</w:t>
      </w:r>
      <w:r w:rsidRPr="00186843">
        <w:rPr>
          <w:rFonts w:ascii="Times New Roman" w:eastAsia="Times New Roman" w:hAnsi="Times New Roman" w:cs="Times New Roman"/>
        </w:rPr>
        <w:t>Division of Pediatric Hospital Medicine, Department of Pediatrics, Baylor Scott and White Health, Temple, TX.</w:t>
      </w:r>
    </w:p>
    <w:p w14:paraId="3ED3CB9C" w14:textId="77777777" w:rsidR="00AE24A2" w:rsidRPr="00186843" w:rsidRDefault="00000000">
      <w:pPr>
        <w:spacing w:line="240" w:lineRule="auto"/>
        <w:rPr>
          <w:rFonts w:ascii="Times New Roman" w:eastAsia="Times New Roman" w:hAnsi="Times New Roman" w:cs="Times New Roman"/>
        </w:rPr>
      </w:pPr>
      <w:r w:rsidRPr="00186843">
        <w:rPr>
          <w:rFonts w:ascii="Times New Roman" w:eastAsia="Times New Roman" w:hAnsi="Times New Roman" w:cs="Times New Roman"/>
          <w:vertAlign w:val="superscript"/>
        </w:rPr>
        <w:t>2</w:t>
      </w:r>
      <w:r w:rsidRPr="00186843">
        <w:rPr>
          <w:rFonts w:ascii="Times New Roman" w:eastAsia="Times New Roman" w:hAnsi="Times New Roman" w:cs="Times New Roman"/>
        </w:rPr>
        <w:t>Division of Primary Care Pediatrics, Department of Pediatrics, Baylor Scott and White Health, Temple, TX.</w:t>
      </w:r>
    </w:p>
    <w:p w14:paraId="5E36EA13" w14:textId="77777777" w:rsidR="00AE24A2" w:rsidRPr="00186843" w:rsidRDefault="00000000">
      <w:pPr>
        <w:spacing w:line="240" w:lineRule="auto"/>
        <w:rPr>
          <w:rFonts w:ascii="Times New Roman" w:eastAsia="Times New Roman" w:hAnsi="Times New Roman" w:cs="Times New Roman"/>
        </w:rPr>
      </w:pPr>
      <w:r w:rsidRPr="00186843">
        <w:rPr>
          <w:rFonts w:ascii="Times New Roman" w:eastAsia="Times New Roman" w:hAnsi="Times New Roman" w:cs="Times New Roman"/>
          <w:vertAlign w:val="superscript"/>
        </w:rPr>
        <w:t>3</w:t>
      </w:r>
      <w:r w:rsidRPr="00186843">
        <w:rPr>
          <w:rFonts w:ascii="Times New Roman" w:eastAsia="Times New Roman" w:hAnsi="Times New Roman" w:cs="Times New Roman"/>
        </w:rPr>
        <w:t>Department of Pediatrics, Baylor College of Medicine, Temple, TX.</w:t>
      </w:r>
    </w:p>
    <w:p w14:paraId="7BBEC2E6" w14:textId="77777777" w:rsidR="00AE24A2" w:rsidRPr="00186843" w:rsidRDefault="00000000">
      <w:pPr>
        <w:spacing w:line="240" w:lineRule="auto"/>
        <w:rPr>
          <w:rFonts w:ascii="Times New Roman" w:eastAsia="Times New Roman" w:hAnsi="Times New Roman" w:cs="Times New Roman"/>
        </w:rPr>
      </w:pPr>
      <w:r w:rsidRPr="00186843">
        <w:rPr>
          <w:rFonts w:ascii="Times New Roman" w:eastAsia="Times New Roman" w:hAnsi="Times New Roman" w:cs="Times New Roman"/>
          <w:vertAlign w:val="superscript"/>
        </w:rPr>
        <w:t>4</w:t>
      </w:r>
      <w:r w:rsidRPr="00186843">
        <w:rPr>
          <w:rFonts w:ascii="Times New Roman" w:eastAsia="Times New Roman" w:hAnsi="Times New Roman" w:cs="Times New Roman"/>
        </w:rPr>
        <w:t>MIGHTE Lab, Department of Physics, Northeastern University, Boston, MA.</w:t>
      </w:r>
    </w:p>
    <w:p w14:paraId="6047F640" w14:textId="77777777" w:rsidR="00AE24A2" w:rsidRPr="00186843" w:rsidRDefault="00AE24A2">
      <w:pPr>
        <w:spacing w:line="240" w:lineRule="auto"/>
        <w:rPr>
          <w:rFonts w:ascii="Times New Roman" w:eastAsia="Times New Roman" w:hAnsi="Times New Roman" w:cs="Times New Roman"/>
        </w:rPr>
      </w:pPr>
    </w:p>
    <w:p w14:paraId="43BEE977" w14:textId="77777777" w:rsidR="00AE24A2" w:rsidRPr="00186843" w:rsidRDefault="00000000">
      <w:pPr>
        <w:spacing w:line="240" w:lineRule="auto"/>
        <w:rPr>
          <w:rFonts w:ascii="Times New Roman" w:eastAsia="Times New Roman" w:hAnsi="Times New Roman" w:cs="Times New Roman"/>
        </w:rPr>
      </w:pPr>
      <w:r w:rsidRPr="00186843">
        <w:rPr>
          <w:rFonts w:ascii="Times New Roman" w:eastAsia="Times New Roman" w:hAnsi="Times New Roman" w:cs="Times New Roman"/>
          <w:vertAlign w:val="superscript"/>
        </w:rPr>
        <w:t>*</w:t>
      </w:r>
      <w:r w:rsidRPr="00186843">
        <w:rPr>
          <w:rFonts w:ascii="Times New Roman" w:eastAsia="Times New Roman" w:hAnsi="Times New Roman" w:cs="Times New Roman"/>
        </w:rPr>
        <w:t>Address correspondence to: Austin Meyer, MD, PhD, MS, MPH, MS, Division of Pediatric Hospital Medicine, Department of Pediatrics, Baylor Scott and White, Temple, TX, USA. austin.g.meyer@gmail.com</w:t>
      </w:r>
    </w:p>
    <w:p w14:paraId="0E0F4982" w14:textId="77777777" w:rsidR="00AE24A2" w:rsidRPr="00186843" w:rsidRDefault="00AE24A2">
      <w:pPr>
        <w:spacing w:line="240" w:lineRule="auto"/>
        <w:rPr>
          <w:rFonts w:ascii="Times New Roman" w:eastAsia="Times New Roman" w:hAnsi="Times New Roman" w:cs="Times New Roman"/>
          <w:b/>
          <w:bCs/>
          <w:sz w:val="26"/>
          <w:szCs w:val="26"/>
        </w:rPr>
      </w:pPr>
    </w:p>
    <w:p w14:paraId="7B83BA71" w14:textId="77777777" w:rsidR="00AE24A2" w:rsidRPr="00186843" w:rsidRDefault="00000000">
      <w:pPr>
        <w:spacing w:line="240" w:lineRule="auto"/>
        <w:rPr>
          <w:rFonts w:ascii="Times New Roman" w:eastAsia="Times New Roman" w:hAnsi="Times New Roman" w:cs="Times New Roman"/>
          <w:b/>
          <w:bCs/>
          <w:sz w:val="24"/>
          <w:szCs w:val="24"/>
        </w:rPr>
      </w:pPr>
      <w:r w:rsidRPr="00186843">
        <w:rPr>
          <w:rFonts w:ascii="Times New Roman" w:eastAsia="Times New Roman" w:hAnsi="Times New Roman" w:cs="Times New Roman"/>
          <w:b/>
          <w:bCs/>
          <w:sz w:val="24"/>
          <w:szCs w:val="24"/>
        </w:rPr>
        <w:t>Introduction</w:t>
      </w:r>
    </w:p>
    <w:p w14:paraId="0794866D" w14:textId="77777777" w:rsidR="00AE24A2" w:rsidRPr="00186843" w:rsidRDefault="00AE24A2">
      <w:pPr>
        <w:spacing w:line="240" w:lineRule="auto"/>
        <w:rPr>
          <w:rFonts w:ascii="Times New Roman" w:eastAsia="Times New Roman" w:hAnsi="Times New Roman" w:cs="Times New Roman"/>
          <w:b/>
          <w:bCs/>
          <w:sz w:val="24"/>
          <w:szCs w:val="24"/>
        </w:rPr>
      </w:pPr>
    </w:p>
    <w:p w14:paraId="67F5C35C" w14:textId="77777777" w:rsidR="00AE24A2" w:rsidRPr="00186843" w:rsidRDefault="00000000">
      <w:pPr>
        <w:spacing w:line="240" w:lineRule="auto"/>
        <w:rPr>
          <w:rFonts w:ascii="Times New Roman" w:eastAsia="Times New Roman" w:hAnsi="Times New Roman" w:cs="Times New Roman"/>
          <w:sz w:val="24"/>
          <w:szCs w:val="24"/>
        </w:rPr>
      </w:pPr>
      <w:proofErr w:type="spellStart"/>
      <w:r w:rsidRPr="00186843">
        <w:rPr>
          <w:rFonts w:ascii="Times New Roman" w:eastAsia="Times New Roman" w:hAnsi="Times New Roman" w:cs="Times New Roman"/>
          <w:sz w:val="24"/>
          <w:szCs w:val="24"/>
        </w:rPr>
        <w:t>Nirsevimab</w:t>
      </w:r>
      <w:proofErr w:type="spellEnd"/>
      <w:r w:rsidRPr="00186843">
        <w:rPr>
          <w:rFonts w:ascii="Times New Roman" w:eastAsia="Times New Roman" w:hAnsi="Times New Roman" w:cs="Times New Roman"/>
          <w:sz w:val="24"/>
          <w:szCs w:val="24"/>
        </w:rPr>
        <w:t xml:space="preserve"> is recommended for all infants less than 8 months of age entering their first respiratory syncytial virus (RSV) season, with administration advised from October through March in most of the continental United States.</w:t>
      </w:r>
      <w:r w:rsidRPr="00186843">
        <w:rPr>
          <w:rFonts w:ascii="Times New Roman" w:eastAsia="Times New Roman" w:hAnsi="Times New Roman" w:cs="Times New Roman"/>
          <w:sz w:val="24"/>
          <w:szCs w:val="24"/>
          <w:vertAlign w:val="superscript"/>
        </w:rPr>
        <w:t>1,2</w:t>
      </w:r>
      <w:r w:rsidRPr="00186843">
        <w:rPr>
          <w:rFonts w:ascii="Times New Roman" w:eastAsia="Times New Roman" w:hAnsi="Times New Roman" w:cs="Times New Roman"/>
          <w:sz w:val="24"/>
          <w:szCs w:val="24"/>
        </w:rPr>
        <w:t xml:space="preserve"> This recommendation is based on historical RSV seasonality data and operational simplicity;</w:t>
      </w:r>
      <w:r w:rsidRPr="00186843">
        <w:rPr>
          <w:rFonts w:ascii="Times New Roman" w:eastAsia="Times New Roman" w:hAnsi="Times New Roman" w:cs="Times New Roman"/>
          <w:sz w:val="24"/>
          <w:szCs w:val="24"/>
          <w:vertAlign w:val="superscript"/>
        </w:rPr>
        <w:t>3</w:t>
      </w:r>
      <w:r w:rsidRPr="00186843">
        <w:rPr>
          <w:rFonts w:ascii="Times New Roman" w:eastAsia="Times New Roman" w:hAnsi="Times New Roman" w:cs="Times New Roman"/>
          <w:sz w:val="24"/>
          <w:szCs w:val="24"/>
        </w:rPr>
        <w:t xml:space="preserve"> however, the granular data available in the post-COVID era shows the epidemiology of RSV is highly variable.</w:t>
      </w:r>
      <w:r w:rsidRPr="00186843">
        <w:rPr>
          <w:rFonts w:ascii="Times New Roman" w:eastAsia="Times New Roman" w:hAnsi="Times New Roman" w:cs="Times New Roman"/>
          <w:sz w:val="24"/>
          <w:szCs w:val="24"/>
          <w:vertAlign w:val="superscript"/>
        </w:rPr>
        <w:t>4</w:t>
      </w:r>
      <w:r w:rsidRPr="00186843">
        <w:rPr>
          <w:rFonts w:ascii="Times New Roman" w:eastAsia="Times New Roman" w:hAnsi="Times New Roman" w:cs="Times New Roman"/>
          <w:sz w:val="24"/>
          <w:szCs w:val="24"/>
        </w:rPr>
        <w:t xml:space="preserve"> While current guidance acknowledges flexibility based on local epidemiology,</w:t>
      </w:r>
      <w:r w:rsidRPr="00186843">
        <w:rPr>
          <w:rFonts w:ascii="Times New Roman" w:eastAsia="Times New Roman" w:hAnsi="Times New Roman" w:cs="Times New Roman"/>
          <w:sz w:val="24"/>
          <w:szCs w:val="24"/>
          <w:vertAlign w:val="superscript"/>
        </w:rPr>
        <w:t>1</w:t>
      </w:r>
      <w:r w:rsidRPr="00186843">
        <w:rPr>
          <w:rFonts w:ascii="Times New Roman" w:eastAsia="Times New Roman" w:hAnsi="Times New Roman" w:cs="Times New Roman"/>
          <w:sz w:val="24"/>
          <w:szCs w:val="24"/>
        </w:rPr>
        <w:t xml:space="preserve"> state Medicaid and Vaccines for Children programs, which cover most eligible infants, generally adhere to this fixed administration window. However, the fraction of RSV burden falling outside this window has not been quantified using contemporary national surveillance data. Therefore, we analyzed national syndromic and hospital surveillance data to quantify RSV activity outside the October–March window and characterize geographic variability.</w:t>
      </w:r>
    </w:p>
    <w:p w14:paraId="5A54905D" w14:textId="77777777" w:rsidR="00AE24A2" w:rsidRPr="00186843" w:rsidRDefault="00AE24A2">
      <w:pPr>
        <w:spacing w:line="240" w:lineRule="auto"/>
        <w:rPr>
          <w:rFonts w:ascii="Times New Roman" w:eastAsia="Times New Roman" w:hAnsi="Times New Roman" w:cs="Times New Roman"/>
          <w:sz w:val="24"/>
          <w:szCs w:val="24"/>
        </w:rPr>
      </w:pPr>
    </w:p>
    <w:p w14:paraId="793327DB" w14:textId="77777777" w:rsidR="00AE24A2" w:rsidRPr="00186843" w:rsidRDefault="00000000">
      <w:pPr>
        <w:spacing w:line="240" w:lineRule="auto"/>
        <w:rPr>
          <w:rFonts w:ascii="Times New Roman" w:eastAsia="Times New Roman" w:hAnsi="Times New Roman" w:cs="Times New Roman"/>
          <w:b/>
          <w:bCs/>
          <w:sz w:val="24"/>
          <w:szCs w:val="24"/>
        </w:rPr>
      </w:pPr>
      <w:r w:rsidRPr="00186843">
        <w:rPr>
          <w:rFonts w:ascii="Times New Roman" w:eastAsia="Times New Roman" w:hAnsi="Times New Roman" w:cs="Times New Roman"/>
          <w:b/>
          <w:bCs/>
          <w:sz w:val="24"/>
          <w:szCs w:val="24"/>
        </w:rPr>
        <w:t>Methods</w:t>
      </w:r>
    </w:p>
    <w:p w14:paraId="3A8D083A" w14:textId="77777777" w:rsidR="00AE24A2" w:rsidRPr="00186843" w:rsidRDefault="00AE24A2">
      <w:pPr>
        <w:spacing w:line="240" w:lineRule="auto"/>
        <w:rPr>
          <w:rFonts w:ascii="Times New Roman" w:eastAsia="Times New Roman" w:hAnsi="Times New Roman" w:cs="Times New Roman"/>
          <w:b/>
          <w:bCs/>
          <w:sz w:val="24"/>
          <w:szCs w:val="24"/>
        </w:rPr>
      </w:pPr>
    </w:p>
    <w:p w14:paraId="4F8162B9" w14:textId="77777777" w:rsidR="00AE24A2" w:rsidRPr="00186843" w:rsidRDefault="00000000">
      <w:pPr>
        <w:spacing w:line="240" w:lineRule="auto"/>
        <w:rPr>
          <w:rFonts w:ascii="Times New Roman" w:eastAsia="Times New Roman" w:hAnsi="Times New Roman" w:cs="Times New Roman"/>
          <w:b/>
          <w:bCs/>
          <w:sz w:val="24"/>
          <w:szCs w:val="24"/>
        </w:rPr>
      </w:pPr>
      <w:r w:rsidRPr="00186843">
        <w:rPr>
          <w:rFonts w:ascii="Times New Roman" w:eastAsia="Times New Roman" w:hAnsi="Times New Roman" w:cs="Times New Roman"/>
          <w:sz w:val="24"/>
          <w:szCs w:val="24"/>
        </w:rPr>
        <w:t>We analyzed respiratory surveillance data from two national systems with distinct populations and metrics. We utilized the National Syndromic Surveillance Program (NSSP)</w:t>
      </w:r>
      <w:r w:rsidRPr="00186843">
        <w:rPr>
          <w:rFonts w:ascii="Times New Roman" w:eastAsia="Times New Roman" w:hAnsi="Times New Roman" w:cs="Times New Roman"/>
          <w:sz w:val="24"/>
          <w:szCs w:val="24"/>
          <w:vertAlign w:val="superscript"/>
        </w:rPr>
        <w:t>5</w:t>
      </w:r>
      <w:r w:rsidRPr="00186843">
        <w:rPr>
          <w:rFonts w:ascii="Times New Roman" w:eastAsia="Times New Roman" w:hAnsi="Times New Roman" w:cs="Times New Roman"/>
          <w:sz w:val="24"/>
          <w:szCs w:val="24"/>
        </w:rPr>
        <w:t xml:space="preserve"> to assess the percentage of total emergency department visits associated with RSV across all age groups for the 2023-24 and 2024-25 seasons. Additionally, we analyzed data from the National Healthcare Safety Network (NHSN)</w:t>
      </w:r>
      <w:r w:rsidRPr="00186843">
        <w:rPr>
          <w:rFonts w:ascii="Times New Roman" w:eastAsia="Times New Roman" w:hAnsi="Times New Roman" w:cs="Times New Roman"/>
          <w:sz w:val="24"/>
          <w:szCs w:val="24"/>
          <w:vertAlign w:val="superscript"/>
        </w:rPr>
        <w:t>6</w:t>
      </w:r>
      <w:r w:rsidRPr="00186843">
        <w:rPr>
          <w:rFonts w:ascii="Times New Roman" w:eastAsia="Times New Roman" w:hAnsi="Times New Roman" w:cs="Times New Roman"/>
          <w:sz w:val="24"/>
          <w:szCs w:val="24"/>
        </w:rPr>
        <w:t xml:space="preserve"> for the 2024-25 season, restricting the analysis to weekly counts of laboratory-confirmed RSV-associated hospital admissions among pediatric patients aged 0 to 4 years.</w:t>
      </w:r>
    </w:p>
    <w:p w14:paraId="31B54241" w14:textId="77777777" w:rsidR="00AE24A2" w:rsidRPr="00186843" w:rsidRDefault="00AE24A2">
      <w:pPr>
        <w:spacing w:line="240" w:lineRule="auto"/>
        <w:rPr>
          <w:rFonts w:ascii="Times New Roman" w:eastAsia="Times New Roman" w:hAnsi="Times New Roman" w:cs="Times New Roman"/>
          <w:b/>
          <w:bCs/>
          <w:sz w:val="24"/>
          <w:szCs w:val="24"/>
        </w:rPr>
      </w:pPr>
    </w:p>
    <w:p w14:paraId="11BB726F" w14:textId="77777777" w:rsidR="00AE24A2" w:rsidRPr="00186843" w:rsidRDefault="00000000">
      <w:pPr>
        <w:spacing w:line="24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To quantify the burden of RSV activity, we calculated the cumulative intensity of the season for each state. For NSSP, only the ratio of RSV visits to total ED visits is available. Thus, annual intensity was calculated as the sum of weekly RSV percentages across the 52-week season. For NHSN data, annual burden was calculated as the sum of weekly pediatric admission counts. We calculated the out-of-window fraction for each state and season by dividing the sum of RSV </w:t>
      </w:r>
      <w:r w:rsidRPr="00186843">
        <w:rPr>
          <w:rFonts w:ascii="Times New Roman" w:eastAsia="Times New Roman" w:hAnsi="Times New Roman" w:cs="Times New Roman"/>
          <w:sz w:val="24"/>
          <w:szCs w:val="24"/>
        </w:rPr>
        <w:lastRenderedPageBreak/>
        <w:t>burden (percentages or counts) occurring during the out-of-window weeks by the total annual burden.</w:t>
      </w:r>
    </w:p>
    <w:p w14:paraId="5F21D65A" w14:textId="77777777" w:rsidR="00AE24A2" w:rsidRPr="00186843" w:rsidRDefault="00AE24A2">
      <w:pPr>
        <w:spacing w:line="240" w:lineRule="auto"/>
        <w:rPr>
          <w:rFonts w:ascii="Times New Roman" w:eastAsia="Times New Roman" w:hAnsi="Times New Roman" w:cs="Times New Roman"/>
          <w:b/>
          <w:bCs/>
          <w:sz w:val="24"/>
          <w:szCs w:val="24"/>
        </w:rPr>
      </w:pPr>
    </w:p>
    <w:p w14:paraId="30292638" w14:textId="77777777" w:rsidR="00AE24A2" w:rsidRPr="00186843" w:rsidRDefault="00000000">
      <w:pPr>
        <w:spacing w:line="24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We also evaluated a state-specific dynamic onset–offset approach (see supplement).</w:t>
      </w:r>
    </w:p>
    <w:p w14:paraId="35ABFEEC" w14:textId="77777777" w:rsidR="00AE24A2" w:rsidRPr="00186843" w:rsidRDefault="00AE24A2">
      <w:pPr>
        <w:spacing w:line="240" w:lineRule="auto"/>
        <w:rPr>
          <w:rFonts w:ascii="Times New Roman" w:eastAsia="Times New Roman" w:hAnsi="Times New Roman" w:cs="Times New Roman"/>
          <w:sz w:val="24"/>
          <w:szCs w:val="24"/>
        </w:rPr>
      </w:pPr>
    </w:p>
    <w:p w14:paraId="225F6FA4" w14:textId="77777777" w:rsidR="00AE24A2" w:rsidRPr="00186843" w:rsidRDefault="00000000">
      <w:pPr>
        <w:spacing w:line="240" w:lineRule="auto"/>
        <w:rPr>
          <w:rFonts w:ascii="Times New Roman" w:eastAsia="Times New Roman" w:hAnsi="Times New Roman" w:cs="Times New Roman"/>
          <w:b/>
          <w:bCs/>
          <w:sz w:val="24"/>
          <w:szCs w:val="24"/>
        </w:rPr>
      </w:pPr>
      <w:r w:rsidRPr="00186843">
        <w:rPr>
          <w:rFonts w:ascii="Times New Roman" w:eastAsia="Times New Roman" w:hAnsi="Times New Roman" w:cs="Times New Roman"/>
          <w:b/>
          <w:bCs/>
          <w:sz w:val="24"/>
          <w:szCs w:val="24"/>
        </w:rPr>
        <w:t>Results</w:t>
      </w:r>
    </w:p>
    <w:p w14:paraId="424A9A21" w14:textId="77777777" w:rsidR="00AE24A2" w:rsidRPr="00186843" w:rsidRDefault="00AE24A2">
      <w:pPr>
        <w:spacing w:line="240" w:lineRule="auto"/>
        <w:rPr>
          <w:rFonts w:ascii="Times New Roman" w:eastAsia="Times New Roman" w:hAnsi="Times New Roman" w:cs="Times New Roman"/>
          <w:sz w:val="24"/>
          <w:szCs w:val="24"/>
        </w:rPr>
      </w:pPr>
    </w:p>
    <w:p w14:paraId="4307BCA1" w14:textId="77777777" w:rsidR="00AE24A2" w:rsidRPr="00186843" w:rsidRDefault="00000000">
      <w:pPr>
        <w:spacing w:line="24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Across states, a median of 5.8% (IQR: 4.7–8.5%) of RSV-associated ED visits (NSSP) occurred outside the October–March window in 2023-24, and 7.3% (IQR: 6.1–9.6%) in 2024-25. For RSV-associated hospitalizations (NHSN, 2024-25), the median was 5.2% (IQR: 4.4–7.7%). State-level variability was substantial (Fig. 1). Out-of-window fractions ranged from 2.5% to 18.2%, with regional values varying widely by season. Geographic patterns showed some variability between NSSP seasons but remained consistent between NSSP and NHSN data for 2024-25.</w:t>
      </w:r>
    </w:p>
    <w:p w14:paraId="1ADC41C2" w14:textId="77777777" w:rsidR="00AE24A2" w:rsidRPr="00186843" w:rsidRDefault="00AE24A2">
      <w:pPr>
        <w:spacing w:line="240" w:lineRule="auto"/>
        <w:jc w:val="center"/>
        <w:rPr>
          <w:rFonts w:ascii="Times New Roman" w:eastAsia="Times New Roman" w:hAnsi="Times New Roman" w:cs="Times New Roman"/>
          <w:sz w:val="24"/>
          <w:szCs w:val="24"/>
        </w:rPr>
      </w:pPr>
    </w:p>
    <w:tbl>
      <w:tblPr>
        <w:tblStyle w:val="a"/>
        <w:tblW w:w="86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30"/>
      </w:tblGrid>
      <w:tr w:rsidR="00AE24A2" w:rsidRPr="00186843" w14:paraId="62988D7F" w14:textId="77777777" w:rsidTr="004427CD">
        <w:trPr>
          <w:trHeight w:val="5285"/>
          <w:jc w:val="center"/>
        </w:trPr>
        <w:tc>
          <w:tcPr>
            <w:tcW w:w="8630" w:type="dxa"/>
            <w:tcMar>
              <w:top w:w="100" w:type="dxa"/>
              <w:left w:w="100" w:type="dxa"/>
              <w:bottom w:w="100" w:type="dxa"/>
              <w:right w:w="100" w:type="dxa"/>
            </w:tcMar>
          </w:tcPr>
          <w:p w14:paraId="0ED37E14" w14:textId="77777777" w:rsidR="00AE24A2" w:rsidRPr="00186843" w:rsidRDefault="00000000" w:rsidP="004427CD">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186843">
              <w:rPr>
                <w:rFonts w:ascii="Times New Roman" w:eastAsia="Times New Roman" w:hAnsi="Times New Roman" w:cs="Times New Roman"/>
                <w:noProof/>
                <w:sz w:val="24"/>
                <w:szCs w:val="24"/>
              </w:rPr>
              <w:drawing>
                <wp:inline distT="114300" distB="114300" distL="114300" distR="114300" wp14:anchorId="0C0BFB5F" wp14:editId="42B71C11">
                  <wp:extent cx="5429700" cy="3929109"/>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429700" cy="3929109"/>
                          </a:xfrm>
                          <a:prstGeom prst="rect">
                            <a:avLst/>
                          </a:prstGeom>
                          <a:ln/>
                        </pic:spPr>
                      </pic:pic>
                    </a:graphicData>
                  </a:graphic>
                </wp:inline>
              </w:drawing>
            </w:r>
          </w:p>
        </w:tc>
      </w:tr>
      <w:tr w:rsidR="00AE24A2" w:rsidRPr="00186843" w14:paraId="6EA233C4" w14:textId="77777777" w:rsidTr="004427CD">
        <w:trPr>
          <w:trHeight w:val="1193"/>
          <w:jc w:val="center"/>
        </w:trPr>
        <w:tc>
          <w:tcPr>
            <w:tcW w:w="8630" w:type="dxa"/>
            <w:tcMar>
              <w:top w:w="100" w:type="dxa"/>
              <w:left w:w="100" w:type="dxa"/>
              <w:bottom w:w="100" w:type="dxa"/>
              <w:right w:w="100" w:type="dxa"/>
            </w:tcMar>
          </w:tcPr>
          <w:p w14:paraId="11791EE0" w14:textId="77777777" w:rsidR="00AE24A2" w:rsidRPr="0018684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86843">
              <w:rPr>
                <w:rFonts w:ascii="Times New Roman" w:eastAsia="Times New Roman" w:hAnsi="Times New Roman" w:cs="Times New Roman"/>
                <w:b/>
                <w:bCs/>
                <w:sz w:val="24"/>
                <w:szCs w:val="24"/>
              </w:rPr>
              <w:t xml:space="preserve">Figure 1: Geographic distribution of RSV activity occurring outside the October–March </w:t>
            </w:r>
            <w:proofErr w:type="spellStart"/>
            <w:r w:rsidRPr="00186843">
              <w:rPr>
                <w:rFonts w:ascii="Times New Roman" w:eastAsia="Times New Roman" w:hAnsi="Times New Roman" w:cs="Times New Roman"/>
                <w:b/>
                <w:bCs/>
                <w:sz w:val="24"/>
                <w:szCs w:val="24"/>
              </w:rPr>
              <w:t>Nirsevimab</w:t>
            </w:r>
            <w:proofErr w:type="spellEnd"/>
            <w:r w:rsidRPr="00186843">
              <w:rPr>
                <w:rFonts w:ascii="Times New Roman" w:eastAsia="Times New Roman" w:hAnsi="Times New Roman" w:cs="Times New Roman"/>
                <w:b/>
                <w:bCs/>
                <w:sz w:val="24"/>
                <w:szCs w:val="24"/>
              </w:rPr>
              <w:t xml:space="preserve"> administration window. A.</w:t>
            </w:r>
            <w:r w:rsidRPr="00186843">
              <w:rPr>
                <w:rFonts w:ascii="Times New Roman" w:eastAsia="Times New Roman" w:hAnsi="Times New Roman" w:cs="Times New Roman"/>
                <w:sz w:val="24"/>
                <w:szCs w:val="24"/>
              </w:rPr>
              <w:t xml:space="preserve"> NSSP RSV-associated emergency department visit percentage, 2023-24 season. </w:t>
            </w:r>
            <w:r w:rsidRPr="00186843">
              <w:rPr>
                <w:rFonts w:ascii="Times New Roman" w:eastAsia="Times New Roman" w:hAnsi="Times New Roman" w:cs="Times New Roman"/>
                <w:b/>
                <w:bCs/>
                <w:sz w:val="24"/>
                <w:szCs w:val="24"/>
              </w:rPr>
              <w:t>B.</w:t>
            </w:r>
            <w:r w:rsidRPr="00186843">
              <w:rPr>
                <w:rFonts w:ascii="Times New Roman" w:eastAsia="Times New Roman" w:hAnsi="Times New Roman" w:cs="Times New Roman"/>
                <w:sz w:val="24"/>
                <w:szCs w:val="24"/>
              </w:rPr>
              <w:t xml:space="preserve"> NSSP RSV-associated emergency department visit percentage, 2024-25 season. </w:t>
            </w:r>
            <w:r w:rsidRPr="00186843">
              <w:rPr>
                <w:rFonts w:ascii="Times New Roman" w:eastAsia="Times New Roman" w:hAnsi="Times New Roman" w:cs="Times New Roman"/>
                <w:b/>
                <w:bCs/>
                <w:sz w:val="24"/>
                <w:szCs w:val="24"/>
              </w:rPr>
              <w:t xml:space="preserve">C. </w:t>
            </w:r>
            <w:r w:rsidRPr="00186843">
              <w:rPr>
                <w:rFonts w:ascii="Times New Roman" w:eastAsia="Times New Roman" w:hAnsi="Times New Roman" w:cs="Times New Roman"/>
                <w:sz w:val="24"/>
                <w:szCs w:val="24"/>
              </w:rPr>
              <w:t>NHSN RSV-associated hospital admissions, 2024-25 season. Darker shading indicates a higher fraction of RSV activity outside the window. States with no available data are gray.</w:t>
            </w:r>
          </w:p>
        </w:tc>
      </w:tr>
    </w:tbl>
    <w:p w14:paraId="5FA8CF7A" w14:textId="77777777" w:rsidR="00AE24A2" w:rsidRPr="00186843" w:rsidRDefault="00AE24A2">
      <w:pPr>
        <w:spacing w:line="240" w:lineRule="auto"/>
        <w:jc w:val="center"/>
        <w:rPr>
          <w:rFonts w:ascii="Times New Roman" w:eastAsia="Times New Roman" w:hAnsi="Times New Roman" w:cs="Times New Roman"/>
          <w:sz w:val="24"/>
          <w:szCs w:val="24"/>
        </w:rPr>
      </w:pPr>
    </w:p>
    <w:p w14:paraId="6A2C5D19" w14:textId="77777777" w:rsidR="00AE24A2" w:rsidRPr="00186843" w:rsidRDefault="00000000">
      <w:pPr>
        <w:spacing w:line="24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lastRenderedPageBreak/>
        <w:t>Alternative window definitions would have captured substantially more RSV activity (Fig. 2). The Baseline window (October–March) captured a median of 92.7% to 94.8% of activity across the datasets. The Early window (September–March) increased median coverage to 93.5%–95.9%. The Extended window (September–April) achieved approximately 97–98% median coverage (NSSP 23-24: 97.9%; NHSN 24-25: 98.1%). An example dynamic, state-specific onset–offset approach was able to reliably capture greater than 95% depending on the season and dataset. Full epidemic curves are available in the supplementary materials.</w:t>
      </w:r>
    </w:p>
    <w:p w14:paraId="42FC89DC" w14:textId="77777777" w:rsidR="00AE24A2" w:rsidRPr="00186843" w:rsidRDefault="00AE24A2">
      <w:pPr>
        <w:spacing w:line="240" w:lineRule="auto"/>
        <w:rPr>
          <w:rFonts w:ascii="Times New Roman" w:eastAsia="Times New Roman" w:hAnsi="Times New Roman" w:cs="Times New Roman"/>
          <w:sz w:val="24"/>
          <w:szCs w:val="24"/>
        </w:rPr>
      </w:pPr>
    </w:p>
    <w:tbl>
      <w:tblPr>
        <w:tblStyle w:val="a0"/>
        <w:tblW w:w="75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30"/>
      </w:tblGrid>
      <w:tr w:rsidR="00AE24A2" w:rsidRPr="00186843" w14:paraId="05F722E6" w14:textId="77777777" w:rsidTr="004427CD">
        <w:trPr>
          <w:trHeight w:val="4688"/>
          <w:jc w:val="center"/>
        </w:trPr>
        <w:tc>
          <w:tcPr>
            <w:tcW w:w="7530" w:type="dxa"/>
            <w:tcMar>
              <w:top w:w="100" w:type="dxa"/>
              <w:left w:w="100" w:type="dxa"/>
              <w:bottom w:w="100" w:type="dxa"/>
              <w:right w:w="100" w:type="dxa"/>
            </w:tcMar>
          </w:tcPr>
          <w:p w14:paraId="6D418779" w14:textId="77777777" w:rsidR="00AE24A2" w:rsidRPr="00186843"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186843">
              <w:rPr>
                <w:rFonts w:ascii="Times New Roman" w:eastAsia="Times New Roman" w:hAnsi="Times New Roman" w:cs="Times New Roman"/>
                <w:noProof/>
                <w:sz w:val="24"/>
                <w:szCs w:val="24"/>
              </w:rPr>
              <w:drawing>
                <wp:inline distT="114300" distB="114300" distL="114300" distR="114300" wp14:anchorId="05BC86A1" wp14:editId="2C8588C9">
                  <wp:extent cx="4406359" cy="352422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406359" cy="3524227"/>
                          </a:xfrm>
                          <a:prstGeom prst="rect">
                            <a:avLst/>
                          </a:prstGeom>
                          <a:ln/>
                        </pic:spPr>
                      </pic:pic>
                    </a:graphicData>
                  </a:graphic>
                </wp:inline>
              </w:drawing>
            </w:r>
          </w:p>
        </w:tc>
      </w:tr>
      <w:tr w:rsidR="00AE24A2" w:rsidRPr="00186843" w14:paraId="7C269C0B" w14:textId="77777777" w:rsidTr="004427CD">
        <w:trPr>
          <w:trHeight w:val="1165"/>
          <w:jc w:val="center"/>
        </w:trPr>
        <w:tc>
          <w:tcPr>
            <w:tcW w:w="7530" w:type="dxa"/>
            <w:tcMar>
              <w:top w:w="100" w:type="dxa"/>
              <w:left w:w="100" w:type="dxa"/>
              <w:bottom w:w="100" w:type="dxa"/>
              <w:right w:w="100" w:type="dxa"/>
            </w:tcMar>
          </w:tcPr>
          <w:p w14:paraId="75028148" w14:textId="77777777" w:rsidR="00AE24A2" w:rsidRPr="00186843"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sidRPr="00186843">
              <w:rPr>
                <w:rFonts w:ascii="Times New Roman" w:eastAsia="Times New Roman" w:hAnsi="Times New Roman" w:cs="Times New Roman"/>
                <w:b/>
                <w:bCs/>
                <w:sz w:val="24"/>
                <w:szCs w:val="24"/>
              </w:rPr>
              <w:t xml:space="preserve">Figure 2: Proportion of RSV activity captured under alternative </w:t>
            </w:r>
            <w:proofErr w:type="spellStart"/>
            <w:r w:rsidRPr="00186843">
              <w:rPr>
                <w:rFonts w:ascii="Times New Roman" w:eastAsia="Times New Roman" w:hAnsi="Times New Roman" w:cs="Times New Roman"/>
                <w:b/>
                <w:bCs/>
                <w:sz w:val="24"/>
                <w:szCs w:val="24"/>
              </w:rPr>
              <w:t>Nirsevimab</w:t>
            </w:r>
            <w:proofErr w:type="spellEnd"/>
            <w:r w:rsidRPr="00186843">
              <w:rPr>
                <w:rFonts w:ascii="Times New Roman" w:eastAsia="Times New Roman" w:hAnsi="Times New Roman" w:cs="Times New Roman"/>
                <w:b/>
                <w:bCs/>
                <w:sz w:val="24"/>
                <w:szCs w:val="24"/>
              </w:rPr>
              <w:t xml:space="preserve"> administration window scenarios.</w:t>
            </w:r>
            <w:r w:rsidRPr="00186843">
              <w:rPr>
                <w:rFonts w:ascii="Times New Roman" w:eastAsia="Times New Roman" w:hAnsi="Times New Roman" w:cs="Times New Roman"/>
                <w:sz w:val="24"/>
                <w:szCs w:val="24"/>
              </w:rPr>
              <w:t xml:space="preserve"> </w:t>
            </w:r>
            <w:r w:rsidRPr="00186843">
              <w:rPr>
                <w:rFonts w:ascii="Times New Roman" w:eastAsia="Times New Roman" w:hAnsi="Times New Roman" w:cs="Times New Roman"/>
                <w:b/>
                <w:bCs/>
                <w:sz w:val="24"/>
                <w:szCs w:val="24"/>
              </w:rPr>
              <w:t>Baseline:</w:t>
            </w:r>
            <w:r w:rsidRPr="00186843">
              <w:rPr>
                <w:rFonts w:ascii="Times New Roman" w:eastAsia="Times New Roman" w:hAnsi="Times New Roman" w:cs="Times New Roman"/>
                <w:sz w:val="24"/>
                <w:szCs w:val="24"/>
              </w:rPr>
              <w:t xml:space="preserve"> October–March; </w:t>
            </w:r>
            <w:r w:rsidRPr="00186843">
              <w:rPr>
                <w:rFonts w:ascii="Times New Roman" w:eastAsia="Times New Roman" w:hAnsi="Times New Roman" w:cs="Times New Roman"/>
                <w:b/>
                <w:bCs/>
                <w:sz w:val="24"/>
                <w:szCs w:val="24"/>
              </w:rPr>
              <w:t>Early:</w:t>
            </w:r>
            <w:r w:rsidRPr="00186843">
              <w:rPr>
                <w:rFonts w:ascii="Times New Roman" w:eastAsia="Times New Roman" w:hAnsi="Times New Roman" w:cs="Times New Roman"/>
                <w:sz w:val="24"/>
                <w:szCs w:val="24"/>
              </w:rPr>
              <w:t xml:space="preserve"> September–March; </w:t>
            </w:r>
            <w:r w:rsidRPr="00186843">
              <w:rPr>
                <w:rFonts w:ascii="Times New Roman" w:eastAsia="Times New Roman" w:hAnsi="Times New Roman" w:cs="Times New Roman"/>
                <w:b/>
                <w:bCs/>
                <w:sz w:val="24"/>
                <w:szCs w:val="24"/>
              </w:rPr>
              <w:t xml:space="preserve">Extended: </w:t>
            </w:r>
            <w:r w:rsidRPr="00186843">
              <w:rPr>
                <w:rFonts w:ascii="Times New Roman" w:eastAsia="Times New Roman" w:hAnsi="Times New Roman" w:cs="Times New Roman"/>
                <w:sz w:val="24"/>
                <w:szCs w:val="24"/>
              </w:rPr>
              <w:t xml:space="preserve">September–April; </w:t>
            </w:r>
            <w:r w:rsidRPr="00186843">
              <w:rPr>
                <w:rFonts w:ascii="Times New Roman" w:eastAsia="Times New Roman" w:hAnsi="Times New Roman" w:cs="Times New Roman"/>
                <w:b/>
                <w:bCs/>
                <w:sz w:val="24"/>
                <w:szCs w:val="24"/>
              </w:rPr>
              <w:t xml:space="preserve">Dynamic: </w:t>
            </w:r>
            <w:r w:rsidRPr="00186843">
              <w:rPr>
                <w:rFonts w:ascii="Times New Roman" w:eastAsia="Times New Roman" w:hAnsi="Times New Roman" w:cs="Times New Roman"/>
                <w:sz w:val="24"/>
                <w:szCs w:val="24"/>
              </w:rPr>
              <w:t xml:space="preserve">state-specific onset–offset. </w:t>
            </w:r>
            <w:r w:rsidRPr="00186843">
              <w:rPr>
                <w:rFonts w:ascii="Times New Roman" w:eastAsia="Times New Roman" w:hAnsi="Times New Roman" w:cs="Times New Roman"/>
                <w:b/>
                <w:bCs/>
                <w:sz w:val="24"/>
                <w:szCs w:val="24"/>
              </w:rPr>
              <w:t xml:space="preserve">A. </w:t>
            </w:r>
            <w:r w:rsidRPr="00186843">
              <w:rPr>
                <w:rFonts w:ascii="Times New Roman" w:eastAsia="Times New Roman" w:hAnsi="Times New Roman" w:cs="Times New Roman"/>
                <w:sz w:val="24"/>
                <w:szCs w:val="24"/>
              </w:rPr>
              <w:t xml:space="preserve">NSSP 2023-24. </w:t>
            </w:r>
            <w:r w:rsidRPr="00186843">
              <w:rPr>
                <w:rFonts w:ascii="Times New Roman" w:eastAsia="Times New Roman" w:hAnsi="Times New Roman" w:cs="Times New Roman"/>
                <w:b/>
                <w:bCs/>
                <w:sz w:val="24"/>
                <w:szCs w:val="24"/>
              </w:rPr>
              <w:t>B.</w:t>
            </w:r>
            <w:r w:rsidRPr="00186843">
              <w:rPr>
                <w:rFonts w:ascii="Times New Roman" w:eastAsia="Times New Roman" w:hAnsi="Times New Roman" w:cs="Times New Roman"/>
                <w:sz w:val="24"/>
                <w:szCs w:val="24"/>
              </w:rPr>
              <w:t xml:space="preserve"> NSSP 2024-25. </w:t>
            </w:r>
            <w:r w:rsidRPr="00186843">
              <w:rPr>
                <w:rFonts w:ascii="Times New Roman" w:eastAsia="Times New Roman" w:hAnsi="Times New Roman" w:cs="Times New Roman"/>
                <w:b/>
                <w:bCs/>
                <w:sz w:val="24"/>
                <w:szCs w:val="24"/>
              </w:rPr>
              <w:t>C.</w:t>
            </w:r>
            <w:r w:rsidRPr="00186843">
              <w:rPr>
                <w:rFonts w:ascii="Times New Roman" w:eastAsia="Times New Roman" w:hAnsi="Times New Roman" w:cs="Times New Roman"/>
                <w:sz w:val="24"/>
                <w:szCs w:val="24"/>
              </w:rPr>
              <w:t xml:space="preserve"> NHSN 2024-25. The Early window did not meaningfully change the vaccine coverage while an example Dynamic and Extended could significantly improve coverage.</w:t>
            </w:r>
          </w:p>
        </w:tc>
      </w:tr>
    </w:tbl>
    <w:p w14:paraId="703D399F" w14:textId="77777777" w:rsidR="00AE24A2" w:rsidRPr="00186843" w:rsidRDefault="00AE24A2">
      <w:pPr>
        <w:spacing w:line="240" w:lineRule="auto"/>
        <w:rPr>
          <w:rFonts w:ascii="Times New Roman" w:eastAsia="Times New Roman" w:hAnsi="Times New Roman" w:cs="Times New Roman"/>
          <w:sz w:val="24"/>
          <w:szCs w:val="24"/>
        </w:rPr>
      </w:pPr>
    </w:p>
    <w:p w14:paraId="77D86AB1" w14:textId="77777777" w:rsidR="00AE24A2" w:rsidRPr="00186843" w:rsidRDefault="00000000">
      <w:pPr>
        <w:spacing w:line="240" w:lineRule="auto"/>
        <w:rPr>
          <w:rFonts w:ascii="Times New Roman" w:eastAsia="Times New Roman" w:hAnsi="Times New Roman" w:cs="Times New Roman"/>
          <w:b/>
          <w:bCs/>
          <w:sz w:val="24"/>
          <w:szCs w:val="24"/>
        </w:rPr>
      </w:pPr>
      <w:r w:rsidRPr="00186843">
        <w:rPr>
          <w:rFonts w:ascii="Times New Roman" w:eastAsia="Times New Roman" w:hAnsi="Times New Roman" w:cs="Times New Roman"/>
          <w:b/>
          <w:bCs/>
          <w:sz w:val="24"/>
          <w:szCs w:val="24"/>
        </w:rPr>
        <w:t>Discussion</w:t>
      </w:r>
    </w:p>
    <w:p w14:paraId="4481F1BA" w14:textId="77777777" w:rsidR="00AE24A2" w:rsidRPr="00186843" w:rsidRDefault="00AE24A2">
      <w:pPr>
        <w:spacing w:line="240" w:lineRule="auto"/>
        <w:rPr>
          <w:rFonts w:ascii="Times New Roman" w:eastAsia="Times New Roman" w:hAnsi="Times New Roman" w:cs="Times New Roman"/>
          <w:b/>
          <w:bCs/>
          <w:sz w:val="24"/>
          <w:szCs w:val="24"/>
        </w:rPr>
      </w:pPr>
    </w:p>
    <w:p w14:paraId="482335ED" w14:textId="77777777" w:rsidR="00AE24A2" w:rsidRPr="00186843" w:rsidRDefault="00000000">
      <w:pPr>
        <w:spacing w:line="24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Our analysis highlights significant geographic variability consistent across two post-COVID seasons and independent surveillance systems. While previous studies have documented seasonality shifts or variability,</w:t>
      </w:r>
      <w:r w:rsidRPr="00186843">
        <w:rPr>
          <w:rFonts w:ascii="Times New Roman" w:eastAsia="Times New Roman" w:hAnsi="Times New Roman" w:cs="Times New Roman"/>
          <w:sz w:val="24"/>
          <w:szCs w:val="24"/>
          <w:vertAlign w:val="superscript"/>
        </w:rPr>
        <w:t>7,8,9</w:t>
      </w:r>
      <w:r w:rsidRPr="00186843">
        <w:rPr>
          <w:rFonts w:ascii="Times New Roman" w:eastAsia="Times New Roman" w:hAnsi="Times New Roman" w:cs="Times New Roman"/>
          <w:sz w:val="24"/>
          <w:szCs w:val="24"/>
        </w:rPr>
        <w:t xml:space="preserve"> our work quantifies the specific protection gap created by the standard October through March recommendation.</w:t>
      </w:r>
    </w:p>
    <w:p w14:paraId="09D89846" w14:textId="77777777" w:rsidR="00AE24A2" w:rsidRPr="00186843" w:rsidRDefault="00000000">
      <w:pPr>
        <w:spacing w:line="240" w:lineRule="auto"/>
        <w:ind w:firstLine="720"/>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These findings have immediate policy implications. Although current guidance encourages flexibility based on local epidemiology, state Medicaid programs covering </w:t>
      </w:r>
      <w:proofErr w:type="gramStart"/>
      <w:r w:rsidRPr="00186843">
        <w:rPr>
          <w:rFonts w:ascii="Times New Roman" w:eastAsia="Times New Roman" w:hAnsi="Times New Roman" w:cs="Times New Roman"/>
          <w:sz w:val="24"/>
          <w:szCs w:val="24"/>
        </w:rPr>
        <w:t>the majority of</w:t>
      </w:r>
      <w:proofErr w:type="gramEnd"/>
      <w:r w:rsidRPr="00186843">
        <w:rPr>
          <w:rFonts w:ascii="Times New Roman" w:eastAsia="Times New Roman" w:hAnsi="Times New Roman" w:cs="Times New Roman"/>
          <w:sz w:val="24"/>
          <w:szCs w:val="24"/>
        </w:rPr>
        <w:t xml:space="preserve"> eligible infants often lack the operational mechanisms or expertise to deviate from </w:t>
      </w:r>
      <w:r w:rsidRPr="00186843">
        <w:rPr>
          <w:rFonts w:ascii="Times New Roman" w:eastAsia="Times New Roman" w:hAnsi="Times New Roman" w:cs="Times New Roman"/>
          <w:sz w:val="24"/>
          <w:szCs w:val="24"/>
        </w:rPr>
        <w:lastRenderedPageBreak/>
        <w:t xml:space="preserve">fixed windows. This rigidity likely leaves some infants unprotected during early-season surges and late-season tail cases, despite </w:t>
      </w:r>
      <w:proofErr w:type="spellStart"/>
      <w:r w:rsidRPr="00186843">
        <w:rPr>
          <w:rFonts w:ascii="Times New Roman" w:eastAsia="Times New Roman" w:hAnsi="Times New Roman" w:cs="Times New Roman"/>
          <w:sz w:val="24"/>
          <w:szCs w:val="24"/>
        </w:rPr>
        <w:t>Nirsevimab’s</w:t>
      </w:r>
      <w:proofErr w:type="spellEnd"/>
      <w:r w:rsidRPr="00186843">
        <w:rPr>
          <w:rFonts w:ascii="Times New Roman" w:eastAsia="Times New Roman" w:hAnsi="Times New Roman" w:cs="Times New Roman"/>
          <w:sz w:val="24"/>
          <w:szCs w:val="24"/>
        </w:rPr>
        <w:t xml:space="preserve"> demonstrated efficacy against RSV hospitalization.</w:t>
      </w:r>
      <w:r w:rsidRPr="00186843">
        <w:rPr>
          <w:rFonts w:ascii="Times New Roman" w:eastAsia="Times New Roman" w:hAnsi="Times New Roman" w:cs="Times New Roman"/>
          <w:sz w:val="24"/>
          <w:szCs w:val="24"/>
          <w:vertAlign w:val="superscript"/>
        </w:rPr>
        <w:t>10</w:t>
      </w:r>
      <w:r w:rsidRPr="00186843">
        <w:rPr>
          <w:rFonts w:ascii="Times New Roman" w:eastAsia="Times New Roman" w:hAnsi="Times New Roman" w:cs="Times New Roman"/>
          <w:sz w:val="24"/>
          <w:szCs w:val="24"/>
        </w:rPr>
        <w:t xml:space="preserve"> We acknowledge limitations in this analysis, including reliance on aggregate surveillance data that cannot account for individual administration timing, do not quantify </w:t>
      </w:r>
      <w:proofErr w:type="spellStart"/>
      <w:r w:rsidRPr="00186843">
        <w:rPr>
          <w:rFonts w:ascii="Times New Roman" w:eastAsia="Times New Roman" w:hAnsi="Times New Roman" w:cs="Times New Roman"/>
          <w:sz w:val="24"/>
          <w:szCs w:val="24"/>
        </w:rPr>
        <w:t>Nirsevimab</w:t>
      </w:r>
      <w:proofErr w:type="spellEnd"/>
      <w:r w:rsidRPr="00186843">
        <w:rPr>
          <w:rFonts w:ascii="Times New Roman" w:eastAsia="Times New Roman" w:hAnsi="Times New Roman" w:cs="Times New Roman"/>
          <w:sz w:val="24"/>
          <w:szCs w:val="24"/>
        </w:rPr>
        <w:t xml:space="preserve"> uptake, and have broader age ranges than those recommended to receive </w:t>
      </w:r>
      <w:proofErr w:type="spellStart"/>
      <w:r w:rsidRPr="00186843">
        <w:rPr>
          <w:rFonts w:ascii="Times New Roman" w:eastAsia="Times New Roman" w:hAnsi="Times New Roman" w:cs="Times New Roman"/>
          <w:sz w:val="24"/>
          <w:szCs w:val="24"/>
        </w:rPr>
        <w:t>Nirsevimab</w:t>
      </w:r>
      <w:proofErr w:type="spellEnd"/>
      <w:r w:rsidRPr="00186843">
        <w:rPr>
          <w:rFonts w:ascii="Times New Roman" w:eastAsia="Times New Roman" w:hAnsi="Times New Roman" w:cs="Times New Roman"/>
          <w:sz w:val="24"/>
          <w:szCs w:val="24"/>
        </w:rPr>
        <w:t xml:space="preserve">. However, our analyses suggest that a fixed window would need to be extended to be both a month earlier and a month later (September–April) to more definitively capture the entire RSV season, which would raise questions about the durability of protection beyond 6 months and the need to </w:t>
      </w:r>
      <w:proofErr w:type="spellStart"/>
      <w:r w:rsidRPr="00186843">
        <w:rPr>
          <w:rFonts w:ascii="Times New Roman" w:eastAsia="Times New Roman" w:hAnsi="Times New Roman" w:cs="Times New Roman"/>
          <w:sz w:val="24"/>
          <w:szCs w:val="24"/>
        </w:rPr>
        <w:t>redose</w:t>
      </w:r>
      <w:proofErr w:type="spellEnd"/>
      <w:r w:rsidRPr="00186843">
        <w:rPr>
          <w:rFonts w:ascii="Times New Roman" w:eastAsia="Times New Roman" w:hAnsi="Times New Roman" w:cs="Times New Roman"/>
          <w:sz w:val="24"/>
          <w:szCs w:val="24"/>
        </w:rPr>
        <w:t xml:space="preserve"> for the following season. Thus, future research directed at data-driven approaches to the start and end of the administration window would be ideal.</w:t>
      </w:r>
    </w:p>
    <w:p w14:paraId="55565A5E" w14:textId="77777777" w:rsidR="00AE24A2" w:rsidRPr="00186843" w:rsidRDefault="00AE24A2">
      <w:pPr>
        <w:spacing w:line="240" w:lineRule="auto"/>
        <w:ind w:firstLine="720"/>
        <w:rPr>
          <w:rFonts w:ascii="Times New Roman" w:eastAsia="Times New Roman" w:hAnsi="Times New Roman" w:cs="Times New Roman"/>
          <w:sz w:val="24"/>
          <w:szCs w:val="24"/>
        </w:rPr>
      </w:pPr>
    </w:p>
    <w:p w14:paraId="6CD5B70A" w14:textId="77777777" w:rsidR="00AE24A2" w:rsidRPr="00186843" w:rsidRDefault="00000000">
      <w:pPr>
        <w:spacing w:line="240" w:lineRule="auto"/>
        <w:rPr>
          <w:rFonts w:ascii="Times New Roman" w:eastAsia="Times New Roman" w:hAnsi="Times New Roman" w:cs="Times New Roman"/>
          <w:b/>
          <w:bCs/>
          <w:sz w:val="24"/>
          <w:szCs w:val="24"/>
        </w:rPr>
      </w:pPr>
      <w:r w:rsidRPr="00186843">
        <w:rPr>
          <w:rFonts w:ascii="Times New Roman" w:eastAsia="Times New Roman" w:hAnsi="Times New Roman" w:cs="Times New Roman"/>
          <w:b/>
          <w:bCs/>
          <w:sz w:val="24"/>
          <w:szCs w:val="24"/>
        </w:rPr>
        <w:t>References</w:t>
      </w:r>
    </w:p>
    <w:p w14:paraId="5DDBF43D" w14:textId="77777777" w:rsidR="00AE24A2" w:rsidRPr="00186843" w:rsidRDefault="00AE24A2">
      <w:pPr>
        <w:spacing w:line="240" w:lineRule="auto"/>
        <w:rPr>
          <w:rFonts w:ascii="Times New Roman" w:eastAsia="Times New Roman" w:hAnsi="Times New Roman" w:cs="Times New Roman"/>
          <w:b/>
          <w:bCs/>
          <w:sz w:val="24"/>
          <w:szCs w:val="24"/>
        </w:rPr>
      </w:pPr>
    </w:p>
    <w:p w14:paraId="5A35C0DE"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Jones JM, Fleming-Dutra KE, Prill MM, et al. Use of </w:t>
      </w:r>
      <w:proofErr w:type="spellStart"/>
      <w:r w:rsidRPr="00186843">
        <w:rPr>
          <w:rFonts w:ascii="Times New Roman" w:eastAsia="Times New Roman" w:hAnsi="Times New Roman" w:cs="Times New Roman"/>
          <w:sz w:val="24"/>
          <w:szCs w:val="24"/>
        </w:rPr>
        <w:t>Nirsevimab</w:t>
      </w:r>
      <w:proofErr w:type="spellEnd"/>
      <w:r w:rsidRPr="00186843">
        <w:rPr>
          <w:rFonts w:ascii="Times New Roman" w:eastAsia="Times New Roman" w:hAnsi="Times New Roman" w:cs="Times New Roman"/>
          <w:sz w:val="24"/>
          <w:szCs w:val="24"/>
        </w:rPr>
        <w:t xml:space="preserve"> for the Prevention of Respiratory Syncytial Virus Disease Among Infants and Young Children: Recommendations of the Advisory Committee on Immunization Practices — United States, 2023. </w:t>
      </w:r>
      <w:r w:rsidRPr="00186843">
        <w:rPr>
          <w:rFonts w:ascii="Times New Roman" w:eastAsia="Times New Roman" w:hAnsi="Times New Roman" w:cs="Times New Roman"/>
          <w:i/>
          <w:iCs/>
          <w:sz w:val="24"/>
          <w:szCs w:val="24"/>
        </w:rPr>
        <w:t xml:space="preserve">MMWR </w:t>
      </w:r>
      <w:proofErr w:type="spellStart"/>
      <w:r w:rsidRPr="00186843">
        <w:rPr>
          <w:rFonts w:ascii="Times New Roman" w:eastAsia="Times New Roman" w:hAnsi="Times New Roman" w:cs="Times New Roman"/>
          <w:i/>
          <w:iCs/>
          <w:sz w:val="24"/>
          <w:szCs w:val="24"/>
        </w:rPr>
        <w:t>Morb</w:t>
      </w:r>
      <w:proofErr w:type="spellEnd"/>
      <w:r w:rsidRPr="00186843">
        <w:rPr>
          <w:rFonts w:ascii="Times New Roman" w:eastAsia="Times New Roman" w:hAnsi="Times New Roman" w:cs="Times New Roman"/>
          <w:i/>
          <w:iCs/>
          <w:sz w:val="24"/>
          <w:szCs w:val="24"/>
        </w:rPr>
        <w:t xml:space="preserve"> Mortal </w:t>
      </w:r>
      <w:proofErr w:type="spellStart"/>
      <w:r w:rsidRPr="00186843">
        <w:rPr>
          <w:rFonts w:ascii="Times New Roman" w:eastAsia="Times New Roman" w:hAnsi="Times New Roman" w:cs="Times New Roman"/>
          <w:i/>
          <w:iCs/>
          <w:sz w:val="24"/>
          <w:szCs w:val="24"/>
        </w:rPr>
        <w:t>Wkly</w:t>
      </w:r>
      <w:proofErr w:type="spellEnd"/>
      <w:r w:rsidRPr="00186843">
        <w:rPr>
          <w:rFonts w:ascii="Times New Roman" w:eastAsia="Times New Roman" w:hAnsi="Times New Roman" w:cs="Times New Roman"/>
          <w:i/>
          <w:iCs/>
          <w:sz w:val="24"/>
          <w:szCs w:val="24"/>
        </w:rPr>
        <w:t xml:space="preserve"> Rep.</w:t>
      </w:r>
      <w:r w:rsidRPr="00186843">
        <w:rPr>
          <w:rFonts w:ascii="Times New Roman" w:eastAsia="Times New Roman" w:hAnsi="Times New Roman" w:cs="Times New Roman"/>
          <w:sz w:val="24"/>
          <w:szCs w:val="24"/>
        </w:rPr>
        <w:t xml:space="preserve"> 2023;72.</w:t>
      </w:r>
    </w:p>
    <w:p w14:paraId="5B34F663"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O'Leary ST, Yonts AB, Gaviria-Agudelo C, Kimberlin DW, Paulsen GC. Summer 2023 ACIP Update: RSV Prevention and Updated Recommendations on Other Vaccines. </w:t>
      </w:r>
      <w:r w:rsidRPr="00186843">
        <w:rPr>
          <w:rFonts w:ascii="Times New Roman" w:eastAsia="Times New Roman" w:hAnsi="Times New Roman" w:cs="Times New Roman"/>
          <w:i/>
          <w:iCs/>
          <w:sz w:val="24"/>
          <w:szCs w:val="24"/>
        </w:rPr>
        <w:t>Pediatrics.</w:t>
      </w:r>
      <w:r w:rsidRPr="00186843">
        <w:rPr>
          <w:rFonts w:ascii="Times New Roman" w:eastAsia="Times New Roman" w:hAnsi="Times New Roman" w:cs="Times New Roman"/>
          <w:sz w:val="24"/>
          <w:szCs w:val="24"/>
        </w:rPr>
        <w:t xml:space="preserve"> 2023;</w:t>
      </w:r>
      <w:proofErr w:type="gramStart"/>
      <w:r w:rsidRPr="00186843">
        <w:rPr>
          <w:rFonts w:ascii="Times New Roman" w:eastAsia="Times New Roman" w:hAnsi="Times New Roman" w:cs="Times New Roman"/>
          <w:sz w:val="24"/>
          <w:szCs w:val="24"/>
        </w:rPr>
        <w:t>152:e</w:t>
      </w:r>
      <w:proofErr w:type="gramEnd"/>
      <w:r w:rsidRPr="00186843">
        <w:rPr>
          <w:rFonts w:ascii="Times New Roman" w:eastAsia="Times New Roman" w:hAnsi="Times New Roman" w:cs="Times New Roman"/>
          <w:sz w:val="24"/>
          <w:szCs w:val="24"/>
        </w:rPr>
        <w:t>2023063955.</w:t>
      </w:r>
    </w:p>
    <w:p w14:paraId="19DD29D4"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Rose EB, Wheatley A, Langley G, Gerber S, Haynes A. Respiratory Syncytial Virus Seasonality — United States, 2014-2017. </w:t>
      </w:r>
      <w:r w:rsidRPr="00186843">
        <w:rPr>
          <w:rFonts w:ascii="Times New Roman" w:eastAsia="Times New Roman" w:hAnsi="Times New Roman" w:cs="Times New Roman"/>
          <w:i/>
          <w:iCs/>
          <w:sz w:val="24"/>
          <w:szCs w:val="24"/>
        </w:rPr>
        <w:t xml:space="preserve">MMWR </w:t>
      </w:r>
      <w:proofErr w:type="spellStart"/>
      <w:r w:rsidRPr="00186843">
        <w:rPr>
          <w:rFonts w:ascii="Times New Roman" w:eastAsia="Times New Roman" w:hAnsi="Times New Roman" w:cs="Times New Roman"/>
          <w:i/>
          <w:iCs/>
          <w:sz w:val="24"/>
          <w:szCs w:val="24"/>
        </w:rPr>
        <w:t>Morb</w:t>
      </w:r>
      <w:proofErr w:type="spellEnd"/>
      <w:r w:rsidRPr="00186843">
        <w:rPr>
          <w:rFonts w:ascii="Times New Roman" w:eastAsia="Times New Roman" w:hAnsi="Times New Roman" w:cs="Times New Roman"/>
          <w:i/>
          <w:iCs/>
          <w:sz w:val="24"/>
          <w:szCs w:val="24"/>
        </w:rPr>
        <w:t xml:space="preserve"> Mortal </w:t>
      </w:r>
      <w:proofErr w:type="spellStart"/>
      <w:r w:rsidRPr="00186843">
        <w:rPr>
          <w:rFonts w:ascii="Times New Roman" w:eastAsia="Times New Roman" w:hAnsi="Times New Roman" w:cs="Times New Roman"/>
          <w:i/>
          <w:iCs/>
          <w:sz w:val="24"/>
          <w:szCs w:val="24"/>
        </w:rPr>
        <w:t>Wkly</w:t>
      </w:r>
      <w:proofErr w:type="spellEnd"/>
      <w:r w:rsidRPr="00186843">
        <w:rPr>
          <w:rFonts w:ascii="Times New Roman" w:eastAsia="Times New Roman" w:hAnsi="Times New Roman" w:cs="Times New Roman"/>
          <w:i/>
          <w:iCs/>
          <w:sz w:val="24"/>
          <w:szCs w:val="24"/>
        </w:rPr>
        <w:t xml:space="preserve"> Rep.</w:t>
      </w:r>
      <w:r w:rsidRPr="00186843">
        <w:rPr>
          <w:rFonts w:ascii="Times New Roman" w:eastAsia="Times New Roman" w:hAnsi="Times New Roman" w:cs="Times New Roman"/>
          <w:sz w:val="24"/>
          <w:szCs w:val="24"/>
        </w:rPr>
        <w:t xml:space="preserve"> 2018;67.</w:t>
      </w:r>
    </w:p>
    <w:p w14:paraId="549A7924"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Dewey G, Meyer AG, Garrido Garcia R, Santillana M. Uncovering the post-pandemic timing of influenza, RSV, and COVID-19 driving seasonal influenza-like illness in the US: a retrospective ecological study. </w:t>
      </w:r>
      <w:r w:rsidRPr="00186843">
        <w:rPr>
          <w:rFonts w:ascii="Times New Roman" w:eastAsia="Times New Roman" w:hAnsi="Times New Roman" w:cs="Times New Roman"/>
          <w:i/>
          <w:iCs/>
          <w:sz w:val="24"/>
          <w:szCs w:val="24"/>
        </w:rPr>
        <w:t>Lancet Reg Health Am.</w:t>
      </w:r>
      <w:r w:rsidRPr="00186843">
        <w:rPr>
          <w:rFonts w:ascii="Times New Roman" w:eastAsia="Times New Roman" w:hAnsi="Times New Roman" w:cs="Times New Roman"/>
          <w:sz w:val="24"/>
          <w:szCs w:val="24"/>
        </w:rPr>
        <w:t xml:space="preserve"> 2026;55.</w:t>
      </w:r>
    </w:p>
    <w:p w14:paraId="45262CB9"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Centers for Disease Control and Prevention. National Syndromic Surveillance Program (NSSP). Accessed January 16, 2026.</w:t>
      </w:r>
      <w:hyperlink r:id="rId7">
        <w:r w:rsidR="00AE24A2" w:rsidRPr="00186843">
          <w:rPr>
            <w:rFonts w:ascii="Times New Roman" w:eastAsia="Times New Roman" w:hAnsi="Times New Roman" w:cs="Times New Roman"/>
            <w:sz w:val="24"/>
            <w:szCs w:val="24"/>
          </w:rPr>
          <w:t xml:space="preserve"> </w:t>
        </w:r>
      </w:hyperlink>
      <w:hyperlink r:id="rId8">
        <w:r w:rsidR="00AE24A2" w:rsidRPr="00186843">
          <w:rPr>
            <w:rFonts w:ascii="Times New Roman" w:eastAsia="Times New Roman" w:hAnsi="Times New Roman" w:cs="Times New Roman"/>
            <w:color w:val="1155CC"/>
            <w:sz w:val="24"/>
            <w:szCs w:val="24"/>
            <w:u w:val="single"/>
          </w:rPr>
          <w:t>https://www.cdc.gov/nssp/</w:t>
        </w:r>
      </w:hyperlink>
    </w:p>
    <w:p w14:paraId="648E9C75"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Centers for Disease Control and Prevention, Division of Healthcare Quality Promotion. Weekly United States Hospital Respiratory Data (HRD) Metrics by Jurisdiction. National Healthcare Safety Network (NHSN). Accessed January 16, 2026.</w:t>
      </w:r>
      <w:hyperlink r:id="rId9">
        <w:r w:rsidR="00AE24A2" w:rsidRPr="00186843">
          <w:rPr>
            <w:rFonts w:ascii="Times New Roman" w:eastAsia="Times New Roman" w:hAnsi="Times New Roman" w:cs="Times New Roman"/>
            <w:sz w:val="24"/>
            <w:szCs w:val="24"/>
          </w:rPr>
          <w:t xml:space="preserve"> </w:t>
        </w:r>
      </w:hyperlink>
      <w:hyperlink r:id="rId10">
        <w:r w:rsidR="00AE24A2" w:rsidRPr="00186843">
          <w:rPr>
            <w:rFonts w:ascii="Times New Roman" w:eastAsia="Times New Roman" w:hAnsi="Times New Roman" w:cs="Times New Roman"/>
            <w:color w:val="1155CC"/>
            <w:sz w:val="24"/>
            <w:szCs w:val="24"/>
            <w:u w:val="single"/>
          </w:rPr>
          <w:t>https://www.cdc.gov/nhsn/</w:t>
        </w:r>
      </w:hyperlink>
    </w:p>
    <w:p w14:paraId="4E1519E2"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Mullins JA, Lamonte AC, Bresee JS, Anderson LJ. Substantial variability in community respiratory syncytial virus season timing. </w:t>
      </w:r>
      <w:proofErr w:type="spellStart"/>
      <w:r w:rsidRPr="00186843">
        <w:rPr>
          <w:rFonts w:ascii="Times New Roman" w:eastAsia="Times New Roman" w:hAnsi="Times New Roman" w:cs="Times New Roman"/>
          <w:i/>
          <w:iCs/>
          <w:sz w:val="24"/>
          <w:szCs w:val="24"/>
        </w:rPr>
        <w:t>Pediatr</w:t>
      </w:r>
      <w:proofErr w:type="spellEnd"/>
      <w:r w:rsidRPr="00186843">
        <w:rPr>
          <w:rFonts w:ascii="Times New Roman" w:eastAsia="Times New Roman" w:hAnsi="Times New Roman" w:cs="Times New Roman"/>
          <w:i/>
          <w:iCs/>
          <w:sz w:val="24"/>
          <w:szCs w:val="24"/>
        </w:rPr>
        <w:t xml:space="preserve"> Infect Dis J.</w:t>
      </w:r>
      <w:r w:rsidRPr="00186843">
        <w:rPr>
          <w:rFonts w:ascii="Times New Roman" w:eastAsia="Times New Roman" w:hAnsi="Times New Roman" w:cs="Times New Roman"/>
          <w:sz w:val="24"/>
          <w:szCs w:val="24"/>
        </w:rPr>
        <w:t xml:space="preserve"> </w:t>
      </w:r>
      <w:proofErr w:type="gramStart"/>
      <w:r w:rsidRPr="00186843">
        <w:rPr>
          <w:rFonts w:ascii="Times New Roman" w:eastAsia="Times New Roman" w:hAnsi="Times New Roman" w:cs="Times New Roman"/>
          <w:sz w:val="24"/>
          <w:szCs w:val="24"/>
        </w:rPr>
        <w:t>2003;22:857</w:t>
      </w:r>
      <w:proofErr w:type="gramEnd"/>
      <w:r w:rsidRPr="00186843">
        <w:rPr>
          <w:rFonts w:ascii="Times New Roman" w:eastAsia="Times New Roman" w:hAnsi="Times New Roman" w:cs="Times New Roman"/>
          <w:sz w:val="24"/>
          <w:szCs w:val="24"/>
        </w:rPr>
        <w:t>-862.</w:t>
      </w:r>
    </w:p>
    <w:p w14:paraId="1A8EC3BA"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Zachariah P, Shah S, Gao D, Simões EAF. Predictors of the duration of the respiratory syncytial virus season. </w:t>
      </w:r>
      <w:proofErr w:type="spellStart"/>
      <w:r w:rsidRPr="00186843">
        <w:rPr>
          <w:rFonts w:ascii="Times New Roman" w:eastAsia="Times New Roman" w:hAnsi="Times New Roman" w:cs="Times New Roman"/>
          <w:i/>
          <w:iCs/>
          <w:sz w:val="24"/>
          <w:szCs w:val="24"/>
        </w:rPr>
        <w:t>Pediatr</w:t>
      </w:r>
      <w:proofErr w:type="spellEnd"/>
      <w:r w:rsidRPr="00186843">
        <w:rPr>
          <w:rFonts w:ascii="Times New Roman" w:eastAsia="Times New Roman" w:hAnsi="Times New Roman" w:cs="Times New Roman"/>
          <w:i/>
          <w:iCs/>
          <w:sz w:val="24"/>
          <w:szCs w:val="24"/>
        </w:rPr>
        <w:t xml:space="preserve"> Infect Dis J.</w:t>
      </w:r>
      <w:r w:rsidRPr="00186843">
        <w:rPr>
          <w:rFonts w:ascii="Times New Roman" w:eastAsia="Times New Roman" w:hAnsi="Times New Roman" w:cs="Times New Roman"/>
          <w:sz w:val="24"/>
          <w:szCs w:val="24"/>
        </w:rPr>
        <w:t xml:space="preserve"> </w:t>
      </w:r>
      <w:proofErr w:type="gramStart"/>
      <w:r w:rsidRPr="00186843">
        <w:rPr>
          <w:rFonts w:ascii="Times New Roman" w:eastAsia="Times New Roman" w:hAnsi="Times New Roman" w:cs="Times New Roman"/>
          <w:sz w:val="24"/>
          <w:szCs w:val="24"/>
        </w:rPr>
        <w:t>2009;28:772</w:t>
      </w:r>
      <w:proofErr w:type="gramEnd"/>
      <w:r w:rsidRPr="00186843">
        <w:rPr>
          <w:rFonts w:ascii="Times New Roman" w:eastAsia="Times New Roman" w:hAnsi="Times New Roman" w:cs="Times New Roman"/>
          <w:sz w:val="24"/>
          <w:szCs w:val="24"/>
        </w:rPr>
        <w:t>-776.</w:t>
      </w:r>
    </w:p>
    <w:p w14:paraId="71F77B21"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proofErr w:type="spellStart"/>
      <w:r w:rsidRPr="00186843">
        <w:rPr>
          <w:rFonts w:ascii="Times New Roman" w:eastAsia="Times New Roman" w:hAnsi="Times New Roman" w:cs="Times New Roman"/>
          <w:sz w:val="24"/>
          <w:szCs w:val="24"/>
        </w:rPr>
        <w:t>Staadegaard</w:t>
      </w:r>
      <w:proofErr w:type="spellEnd"/>
      <w:r w:rsidRPr="00186843">
        <w:rPr>
          <w:rFonts w:ascii="Times New Roman" w:eastAsia="Times New Roman" w:hAnsi="Times New Roman" w:cs="Times New Roman"/>
          <w:sz w:val="24"/>
          <w:szCs w:val="24"/>
        </w:rPr>
        <w:t xml:space="preserve"> L, </w:t>
      </w:r>
      <w:proofErr w:type="spellStart"/>
      <w:r w:rsidRPr="00186843">
        <w:rPr>
          <w:rFonts w:ascii="Times New Roman" w:eastAsia="Times New Roman" w:hAnsi="Times New Roman" w:cs="Times New Roman"/>
          <w:sz w:val="24"/>
          <w:szCs w:val="24"/>
        </w:rPr>
        <w:t>Caini</w:t>
      </w:r>
      <w:proofErr w:type="spellEnd"/>
      <w:r w:rsidRPr="00186843">
        <w:rPr>
          <w:rFonts w:ascii="Times New Roman" w:eastAsia="Times New Roman" w:hAnsi="Times New Roman" w:cs="Times New Roman"/>
          <w:sz w:val="24"/>
          <w:szCs w:val="24"/>
        </w:rPr>
        <w:t xml:space="preserve"> S, Weidemann F, et al. Defining the seasonality of respiratory syncytial virus around the world: National and subnational surveillance data from 12 countries. </w:t>
      </w:r>
      <w:r w:rsidRPr="00186843">
        <w:rPr>
          <w:rFonts w:ascii="Times New Roman" w:eastAsia="Times New Roman" w:hAnsi="Times New Roman" w:cs="Times New Roman"/>
          <w:i/>
          <w:iCs/>
          <w:sz w:val="24"/>
          <w:szCs w:val="24"/>
        </w:rPr>
        <w:t>Influenza Other Respir Viruses</w:t>
      </w:r>
      <w:r w:rsidRPr="00186843">
        <w:rPr>
          <w:rFonts w:ascii="Times New Roman" w:eastAsia="Times New Roman" w:hAnsi="Times New Roman" w:cs="Times New Roman"/>
          <w:sz w:val="24"/>
          <w:szCs w:val="24"/>
        </w:rPr>
        <w:t xml:space="preserve">. </w:t>
      </w:r>
      <w:proofErr w:type="gramStart"/>
      <w:r w:rsidRPr="00186843">
        <w:rPr>
          <w:rFonts w:ascii="Times New Roman" w:eastAsia="Times New Roman" w:hAnsi="Times New Roman" w:cs="Times New Roman"/>
          <w:sz w:val="24"/>
          <w:szCs w:val="24"/>
        </w:rPr>
        <w:t>2021;15:732</w:t>
      </w:r>
      <w:proofErr w:type="gramEnd"/>
      <w:r w:rsidRPr="00186843">
        <w:rPr>
          <w:rFonts w:ascii="Times New Roman" w:eastAsia="Times New Roman" w:hAnsi="Times New Roman" w:cs="Times New Roman"/>
          <w:sz w:val="24"/>
          <w:szCs w:val="24"/>
        </w:rPr>
        <w:t>-741.</w:t>
      </w:r>
    </w:p>
    <w:p w14:paraId="3E3B828C" w14:textId="77777777" w:rsidR="00AE24A2" w:rsidRPr="00186843" w:rsidRDefault="00000000">
      <w:pPr>
        <w:numPr>
          <w:ilvl w:val="0"/>
          <w:numId w:val="1"/>
        </w:numPr>
        <w:spacing w:line="240" w:lineRule="auto"/>
        <w:rPr>
          <w:rFonts w:ascii="Times New Roman" w:eastAsia="Times New Roman" w:hAnsi="Times New Roman" w:cs="Times New Roman"/>
          <w:sz w:val="24"/>
          <w:szCs w:val="24"/>
        </w:rPr>
      </w:pPr>
      <w:r w:rsidRPr="00186843">
        <w:rPr>
          <w:rFonts w:ascii="Times New Roman" w:eastAsia="Times New Roman" w:hAnsi="Times New Roman" w:cs="Times New Roman"/>
          <w:sz w:val="24"/>
          <w:szCs w:val="24"/>
        </w:rPr>
        <w:t xml:space="preserve">Hammitt LL, Dagan R, Yuan Y, et al. </w:t>
      </w:r>
      <w:proofErr w:type="spellStart"/>
      <w:r w:rsidRPr="00186843">
        <w:rPr>
          <w:rFonts w:ascii="Times New Roman" w:eastAsia="Times New Roman" w:hAnsi="Times New Roman" w:cs="Times New Roman"/>
          <w:sz w:val="24"/>
          <w:szCs w:val="24"/>
        </w:rPr>
        <w:t>Nirsevimab</w:t>
      </w:r>
      <w:proofErr w:type="spellEnd"/>
      <w:r w:rsidRPr="00186843">
        <w:rPr>
          <w:rFonts w:ascii="Times New Roman" w:eastAsia="Times New Roman" w:hAnsi="Times New Roman" w:cs="Times New Roman"/>
          <w:sz w:val="24"/>
          <w:szCs w:val="24"/>
        </w:rPr>
        <w:t xml:space="preserve"> for Prevention of RSV in Healthy Late-Preterm and Term Infants. </w:t>
      </w:r>
      <w:r w:rsidRPr="00186843">
        <w:rPr>
          <w:rFonts w:ascii="Times New Roman" w:eastAsia="Times New Roman" w:hAnsi="Times New Roman" w:cs="Times New Roman"/>
          <w:i/>
          <w:iCs/>
          <w:sz w:val="24"/>
          <w:szCs w:val="24"/>
        </w:rPr>
        <w:t>N Engl J Med.</w:t>
      </w:r>
      <w:r w:rsidRPr="00186843">
        <w:rPr>
          <w:rFonts w:ascii="Times New Roman" w:eastAsia="Times New Roman" w:hAnsi="Times New Roman" w:cs="Times New Roman"/>
          <w:sz w:val="24"/>
          <w:szCs w:val="24"/>
        </w:rPr>
        <w:t xml:space="preserve"> </w:t>
      </w:r>
      <w:proofErr w:type="gramStart"/>
      <w:r w:rsidRPr="00186843">
        <w:rPr>
          <w:rFonts w:ascii="Times New Roman" w:eastAsia="Times New Roman" w:hAnsi="Times New Roman" w:cs="Times New Roman"/>
          <w:sz w:val="24"/>
          <w:szCs w:val="24"/>
        </w:rPr>
        <w:t>2022;386:837</w:t>
      </w:r>
      <w:proofErr w:type="gramEnd"/>
      <w:r w:rsidRPr="00186843">
        <w:rPr>
          <w:rFonts w:ascii="Times New Roman" w:eastAsia="Times New Roman" w:hAnsi="Times New Roman" w:cs="Times New Roman"/>
          <w:sz w:val="24"/>
          <w:szCs w:val="24"/>
        </w:rPr>
        <w:t>-846.</w:t>
      </w:r>
    </w:p>
    <w:sectPr w:rsidR="00AE24A2" w:rsidRPr="0018684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AA9B58F-99A4-6249-91F1-0D5C566044F8}"/>
    <w:embedBold r:id="rId2" w:fontKey="{366BB606-3F09-0741-AF1E-D0E2CB5D3039}"/>
    <w:embedItalic r:id="rId3" w:fontKey="{C02CA94A-FD52-EF44-96B0-23E3B5B397BE}"/>
  </w:font>
  <w:font w:name="Arial">
    <w:panose1 w:val="020B0604020202020204"/>
    <w:charset w:val="00"/>
    <w:family w:val="swiss"/>
    <w:pitch w:val="variable"/>
    <w:sig w:usb0="E0002AFF" w:usb1="C0007843" w:usb2="00000009" w:usb3="00000000" w:csb0="000001FF" w:csb1="00000000"/>
    <w:embedRegular r:id="rId4" w:fontKey="{E3680761-A4FA-834E-B7D2-9C8DC17072F7}"/>
    <w:embedItalic r:id="rId5" w:fontKey="{BE8C5D49-DEE2-D947-A586-AA35B5DC0DCB}"/>
  </w:font>
  <w:font w:name="Calibri">
    <w:panose1 w:val="020F0502020204030204"/>
    <w:charset w:val="00"/>
    <w:family w:val="swiss"/>
    <w:pitch w:val="variable"/>
    <w:sig w:usb0="E4002EFF" w:usb1="C200247B" w:usb2="00000009" w:usb3="00000000" w:csb0="000001FF" w:csb1="00000000"/>
    <w:embedRegular r:id="rId6" w:fontKey="{75019CFB-95DB-D847-846D-1DE499CCA8E6}"/>
  </w:font>
  <w:font w:name="Cambria">
    <w:panose1 w:val="02040503050406030204"/>
    <w:charset w:val="00"/>
    <w:family w:val="roman"/>
    <w:pitch w:val="variable"/>
    <w:sig w:usb0="E00006FF" w:usb1="420024FF" w:usb2="02000000" w:usb3="00000000" w:csb0="0000019F" w:csb1="00000000"/>
    <w:embedRegular r:id="rId7" w:fontKey="{2D985363-DA0F-2B48-9B15-EC97CCC9EE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70DA6"/>
    <w:multiLevelType w:val="multilevel"/>
    <w:tmpl w:val="93769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56441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4A2"/>
    <w:rsid w:val="00186843"/>
    <w:rsid w:val="004427CD"/>
    <w:rsid w:val="00AE24A2"/>
    <w:rsid w:val="00DF21A7"/>
    <w:rsid w:val="00F12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2A58ED"/>
  <w15:docId w15:val="{E8BBD9D6-01B6-974D-B39F-348835227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dc.gov/nssp/" TargetMode="External"/><Relationship Id="rId3" Type="http://schemas.openxmlformats.org/officeDocument/2006/relationships/settings" Target="settings.xml"/><Relationship Id="rId7" Type="http://schemas.openxmlformats.org/officeDocument/2006/relationships/hyperlink" Target="https://www.cdc.gov/nss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cdc.gov/nhsn/" TargetMode="External"/><Relationship Id="rId4" Type="http://schemas.openxmlformats.org/officeDocument/2006/relationships/webSettings" Target="webSettings.xml"/><Relationship Id="rId9" Type="http://schemas.openxmlformats.org/officeDocument/2006/relationships/hyperlink" Target="https://www.cdc.gov/nhs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1297</Words>
  <Characters>7397</Characters>
  <Application>Microsoft Office Word</Application>
  <DocSecurity>0</DocSecurity>
  <Lines>61</Lines>
  <Paragraphs>17</Paragraphs>
  <ScaleCrop>false</ScaleCrop>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Austin Meyer</cp:lastModifiedBy>
  <cp:revision>3</cp:revision>
  <dcterms:created xsi:type="dcterms:W3CDTF">2026-01-23T20:02:00Z</dcterms:created>
  <dcterms:modified xsi:type="dcterms:W3CDTF">2026-03-26T21:14:00Z</dcterms:modified>
</cp:coreProperties>
</file>