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11F7C" w14:textId="77777777" w:rsidR="00AE24A2" w:rsidRPr="00186843" w:rsidRDefault="00000000">
      <w:pP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Quantifying the Protection Gap: RSV Activity Outside the Recommended RSV Prophylaxis Administration Window</w:t>
      </w:r>
    </w:p>
    <w:p w14:paraId="7E619E53" w14:textId="77777777" w:rsidR="00AE24A2" w:rsidRPr="00186843" w:rsidRDefault="00AE24A2">
      <w:pPr>
        <w:spacing w:line="240" w:lineRule="auto"/>
        <w:rPr>
          <w:rFonts w:ascii="Times New Roman" w:eastAsia="Times New Roman" w:hAnsi="Times New Roman" w:cs="Times New Roman"/>
          <w:b/>
          <w:bCs/>
          <w:sz w:val="26"/>
          <w:szCs w:val="26"/>
        </w:rPr>
      </w:pPr>
    </w:p>
    <w:p w14:paraId="0203E4E5" w14:textId="77777777" w:rsidR="00AE24A2" w:rsidRPr="00186843" w:rsidRDefault="00000000">
      <w:pPr>
        <w:spacing w:line="24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Austin G. Meyer, MD, PhD, MS, MPH, MS</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George Dewey, PhD, MPH</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Stephanie Blasick, DO</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Christopher Hovland, MD</w:t>
      </w:r>
      <w:r>
        <w:rPr>
          <w:rFonts w:ascii="Times New Roman" w:eastAsia="Times New Roman" w:hAnsi="Times New Roman" w:cs="Times New Roman"/>
          <w:sz w:val="24"/>
          <w:szCs w:val="24"/>
          <w:vertAlign w:val="superscript"/>
        </w:rPr>
        <w:t>2,3</w:t>
      </w:r>
      <w:r>
        <w:rPr>
          <w:rFonts w:ascii="Times New Roman" w:eastAsia="Times New Roman" w:hAnsi="Times New Roman" w:cs="Times New Roman"/>
          <w:sz w:val="24"/>
          <w:szCs w:val="24"/>
        </w:rPr>
        <w:t>; Mauricio Santillana, PhD, MS</w:t>
      </w:r>
      <w:r>
        <w:rPr>
          <w:rFonts w:ascii="Times New Roman" w:eastAsia="Times New Roman" w:hAnsi="Times New Roman" w:cs="Times New Roman"/>
          <w:sz w:val="24"/>
          <w:szCs w:val="24"/>
          <w:vertAlign w:val="superscript"/>
        </w:rPr>
        <w:t>4</w:t>
      </w:r>
    </w:p>
    <w:p w14:paraId="6A70D9B7" w14:textId="77777777" w:rsidR="00AE24A2" w:rsidRPr="00186843" w:rsidRDefault="00AE24A2">
      <w:pPr>
        <w:spacing w:line="240" w:lineRule="auto"/>
        <w:rPr>
          <w:rFonts w:ascii="Times New Roman" w:eastAsia="Times New Roman" w:hAnsi="Times New Roman" w:cs="Times New Roman"/>
          <w:vertAlign w:val="superscript"/>
        </w:rPr>
      </w:pPr>
    </w:p>
    <w:p w14:paraId="065D27FD" w14:textId="77777777" w:rsidR="00AE24A2" w:rsidRPr="00186843" w:rsidRDefault="00000000">
      <w:pPr>
        <w:spacing w:line="240" w:lineRule="auto"/>
        <w:rPr>
          <w:rFonts w:ascii="Times New Roman" w:eastAsia="Times New Roman" w:hAnsi="Times New Roman" w:cs="Times New Roman"/>
        </w:rPr>
      </w:pPr>
      <w:r>
        <w:rPr>
          <w:rFonts w:ascii="Times New Roman" w:eastAsia="Times New Roman" w:hAnsi="Times New Roman" w:cs="Times New Roman"/>
          <w:vertAlign w:val="superscript"/>
        </w:rPr>
        <w:t>1</w:t>
      </w:r>
      <w:r>
        <w:rPr>
          <w:rFonts w:ascii="Times New Roman" w:eastAsia="Times New Roman" w:hAnsi="Times New Roman" w:cs="Times New Roman"/>
        </w:rPr>
        <w:t>Division of Pediatric Hospital Medicine, Department of Pediatrics, Baylor Scott and White Health, Temple, TX.</w:t>
      </w:r>
    </w:p>
    <w:p w14:paraId="3ED3CB9C" w14:textId="77777777" w:rsidR="00AE24A2" w:rsidRPr="00186843" w:rsidRDefault="00000000">
      <w:pPr>
        <w:spacing w:line="240" w:lineRule="auto"/>
        <w:rPr>
          <w:rFonts w:ascii="Times New Roman" w:eastAsia="Times New Roman" w:hAnsi="Times New Roman" w:cs="Times New Roman"/>
        </w:rPr>
      </w:pPr>
      <w:r>
        <w:rPr>
          <w:rFonts w:ascii="Times New Roman" w:eastAsia="Times New Roman" w:hAnsi="Times New Roman" w:cs="Times New Roman"/>
          <w:vertAlign w:val="superscript"/>
        </w:rPr>
        <w:t>2</w:t>
      </w:r>
      <w:r>
        <w:rPr>
          <w:rFonts w:ascii="Times New Roman" w:eastAsia="Times New Roman" w:hAnsi="Times New Roman" w:cs="Times New Roman"/>
        </w:rPr>
        <w:t>Division of Primary Care Pediatrics, Department of Pediatrics, Baylor Scott and White Health, Temple, TX.</w:t>
      </w:r>
    </w:p>
    <w:p w14:paraId="5E36EA13" w14:textId="77777777" w:rsidR="00AE24A2" w:rsidRPr="00186843" w:rsidRDefault="00000000">
      <w:pPr>
        <w:spacing w:line="240" w:lineRule="auto"/>
        <w:rPr>
          <w:rFonts w:ascii="Times New Roman" w:eastAsia="Times New Roman" w:hAnsi="Times New Roman" w:cs="Times New Roman"/>
        </w:rPr>
      </w:pPr>
      <w:r>
        <w:rPr>
          <w:rFonts w:ascii="Times New Roman" w:eastAsia="Times New Roman" w:hAnsi="Times New Roman" w:cs="Times New Roman"/>
          <w:vertAlign w:val="superscript"/>
        </w:rPr>
        <w:t>3</w:t>
      </w:r>
      <w:r>
        <w:rPr>
          <w:rFonts w:ascii="Times New Roman" w:eastAsia="Times New Roman" w:hAnsi="Times New Roman" w:cs="Times New Roman"/>
        </w:rPr>
        <w:t>Department of Pediatrics, Baylor College of Medicine, Temple, TX.</w:t>
      </w:r>
    </w:p>
    <w:p w14:paraId="7BBEC2E6" w14:textId="77777777" w:rsidR="00AE24A2" w:rsidRPr="00186843" w:rsidRDefault="00000000">
      <w:pPr>
        <w:spacing w:line="240" w:lineRule="auto"/>
        <w:rPr>
          <w:rFonts w:ascii="Times New Roman" w:eastAsia="Times New Roman" w:hAnsi="Times New Roman" w:cs="Times New Roman"/>
        </w:rPr>
      </w:pPr>
      <w:r>
        <w:rPr>
          <w:rFonts w:ascii="Times New Roman" w:eastAsia="Times New Roman" w:hAnsi="Times New Roman" w:cs="Times New Roman"/>
          <w:vertAlign w:val="superscript"/>
        </w:rPr>
        <w:t>4</w:t>
      </w:r>
      <w:r>
        <w:rPr>
          <w:rFonts w:ascii="Times New Roman" w:eastAsia="Times New Roman" w:hAnsi="Times New Roman" w:cs="Times New Roman"/>
        </w:rPr>
        <w:t>MIGHTE Lab, Department of Physics, Northeastern University, Boston, MA.</w:t>
      </w:r>
    </w:p>
    <w:p w14:paraId="6047F640" w14:textId="77777777" w:rsidR="00AE24A2" w:rsidRPr="00186843" w:rsidRDefault="00AE24A2">
      <w:pPr>
        <w:spacing w:line="240" w:lineRule="auto"/>
        <w:rPr>
          <w:rFonts w:ascii="Times New Roman" w:eastAsia="Times New Roman" w:hAnsi="Times New Roman" w:cs="Times New Roman"/>
        </w:rPr>
      </w:pPr>
    </w:p>
    <w:p w14:paraId="43BEE977" w14:textId="77777777" w:rsidR="00AE24A2" w:rsidRPr="00186843" w:rsidRDefault="00000000">
      <w:pPr>
        <w:spacing w:line="240" w:lineRule="auto"/>
        <w:rPr>
          <w:rFonts w:ascii="Times New Roman" w:eastAsia="Times New Roman" w:hAnsi="Times New Roman" w:cs="Times New Roman"/>
        </w:rPr>
      </w:pPr>
      <w:r>
        <w:rPr>
          <w:rFonts w:ascii="Times New Roman" w:eastAsia="Times New Roman" w:hAnsi="Times New Roman" w:cs="Times New Roman"/>
          <w:vertAlign w:val="superscript"/>
        </w:rPr>
        <w:t>*</w:t>
      </w:r>
      <w:r>
        <w:rPr>
          <w:rFonts w:ascii="Times New Roman" w:eastAsia="Times New Roman" w:hAnsi="Times New Roman" w:cs="Times New Roman"/>
        </w:rPr>
        <w:t>Address correspondence to: Austin Meyer, MD, PhD, MS, MPH, MS, Division of Pediatric Hospital Medicine, Department of Pediatrics, Baylor Scott and White, Temple, TX, USA. austin.g.meyer@gmail.com</w:t>
      </w:r>
    </w:p>
    <w:p w14:paraId="0E0F4982" w14:textId="77777777" w:rsidR="00AE24A2" w:rsidRPr="00186843" w:rsidRDefault="00AE24A2">
      <w:pPr>
        <w:spacing w:line="240" w:lineRule="auto"/>
        <w:rPr>
          <w:rFonts w:ascii="Times New Roman" w:eastAsia="Times New Roman" w:hAnsi="Times New Roman" w:cs="Times New Roman"/>
          <w:b/>
          <w:bCs/>
          <w:sz w:val="26"/>
          <w:szCs w:val="26"/>
        </w:rPr>
      </w:pPr>
    </w:p>
    <w:p w14:paraId="7B83BA71" w14:textId="77777777" w:rsidR="00AE24A2" w:rsidRPr="00186843"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0794866D" w14:textId="77777777" w:rsidR="00AE24A2" w:rsidRPr="00186843" w:rsidRDefault="00AE24A2">
      <w:pPr>
        <w:spacing w:line="240" w:lineRule="auto"/>
        <w:rPr>
          <w:rFonts w:ascii="Times New Roman" w:eastAsia="Times New Roman" w:hAnsi="Times New Roman" w:cs="Times New Roman"/>
          <w:b/>
          <w:bCs/>
          <w:sz w:val="24"/>
          <w:szCs w:val="24"/>
        </w:rPr>
      </w:pPr>
    </w:p>
    <w:p w14:paraId="67F5C35C" w14:textId="77777777" w:rsidR="00AE24A2" w:rsidRPr="00186843"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Long-acting monoclonal antibodies for respiratory syncytial virus (RSV) prevention, including nirsevimab and the recently approved clesrovimab, are recommended for all infants less than 8 months of age entering their first RSV season, with administration advised from October through March in most of the continental United States.</w:t>
      </w:r>
      <w:r>
        <w:rPr>
          <w:rFonts w:ascii="Times New Roman" w:eastAsia="Times New Roman" w:hAnsi="Times New Roman" w:cs="Times New Roman"/>
          <w:sz w:val="24"/>
          <w:szCs w:val="24"/>
          <w:vertAlign w:val="superscript"/>
        </w:rPr>
        <w:t>1,2</w:t>
      </w:r>
      <w:r>
        <w:rPr>
          <w:rFonts w:ascii="Times New Roman" w:eastAsia="Times New Roman" w:hAnsi="Times New Roman" w:cs="Times New Roman"/>
          <w:sz w:val="24"/>
          <w:szCs w:val="24"/>
        </w:rPr>
        <w:t xml:space="preserve"> This recommendation is based on historical RSV seasonality data and operational simplicity;</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however, the granular data available in the post-COVID era shows the epidemiology of RSV is highly variable.</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While current guidance acknowledges flexibility based on local epidemiology,</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state Medicaid and Vaccines for Children programs, which cover most eligible infants, generally adhere to this fixed administration window. However, the fraction of RSV burden falling outside this window has not been quantified using contemporary national surveillance data. Therefore, we analyzed national syndromic and hospital surveillance data to quantify RSV activity outside the October-March window and characterize geographic variability.</w:t>
      </w:r>
    </w:p>
    <w:p w14:paraId="5A54905D" w14:textId="77777777" w:rsidR="00AE24A2" w:rsidRPr="00186843" w:rsidRDefault="00AE24A2">
      <w:pPr>
        <w:spacing w:line="240" w:lineRule="auto"/>
        <w:rPr>
          <w:rFonts w:ascii="Times New Roman" w:eastAsia="Times New Roman" w:hAnsi="Times New Roman" w:cs="Times New Roman"/>
          <w:sz w:val="24"/>
          <w:szCs w:val="24"/>
        </w:rPr>
      </w:pPr>
    </w:p>
    <w:p w14:paraId="793327DB" w14:textId="77777777" w:rsidR="00AE24A2" w:rsidRPr="00186843"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Methods</w:t>
      </w:r>
    </w:p>
    <w:p w14:paraId="3A8D083A" w14:textId="77777777" w:rsidR="00AE24A2" w:rsidRPr="00186843" w:rsidRDefault="00AE24A2">
      <w:pPr>
        <w:spacing w:line="240" w:lineRule="auto"/>
        <w:rPr>
          <w:rFonts w:ascii="Times New Roman" w:eastAsia="Times New Roman" w:hAnsi="Times New Roman" w:cs="Times New Roman"/>
          <w:b/>
          <w:bCs/>
          <w:sz w:val="24"/>
          <w:szCs w:val="24"/>
        </w:rPr>
      </w:pPr>
    </w:p>
    <w:p w14:paraId="4F8162B9" w14:textId="77777777" w:rsidR="00AE24A2" w:rsidRPr="00186843"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We analyzed respiratory surveillance data from two national systems with distinct populations and metrics. We utilized the National Syndromic Surveillance Program (NSSP)</w:t>
      </w:r>
      <w:r>
        <w:rPr>
          <w:rFonts w:ascii="Times New Roman" w:eastAsia="Times New Roman" w:hAnsi="Times New Roman" w:cs="Times New Roman"/>
          <w:sz w:val="24"/>
          <w:szCs w:val="24"/>
          <w:vertAlign w:val="superscript"/>
        </w:rPr>
        <w:t>5</w:t>
      </w:r>
      <w:r>
        <w:rPr>
          <w:rFonts w:ascii="Times New Roman" w:eastAsia="Times New Roman" w:hAnsi="Times New Roman" w:cs="Times New Roman"/>
          <w:sz w:val="24"/>
          <w:szCs w:val="24"/>
        </w:rPr>
        <w:t xml:space="preserve"> to assess the percentage of total emergency department visits associated with RSV across all age groups for the 2023-24 and 2024-25 seasons. Additionally, we analyzed data from the National Healthcare Safety Network (NHSN)</w:t>
      </w:r>
      <w:r>
        <w:rPr>
          <w:rFonts w:ascii="Times New Roman" w:eastAsia="Times New Roman" w:hAnsi="Times New Roman" w:cs="Times New Roman"/>
          <w:sz w:val="24"/>
          <w:szCs w:val="24"/>
          <w:vertAlign w:val="superscript"/>
        </w:rPr>
        <w:t>6</w:t>
      </w:r>
      <w:r>
        <w:rPr>
          <w:rFonts w:ascii="Times New Roman" w:eastAsia="Times New Roman" w:hAnsi="Times New Roman" w:cs="Times New Roman"/>
          <w:sz w:val="24"/>
          <w:szCs w:val="24"/>
        </w:rPr>
        <w:t xml:space="preserve"> for the 2024-25 season, restricting the analysis to weekly counts of laboratory-confirmed RSV-associated hospital admissions among pediatric patients aged 0 to 4 years.</w:t>
      </w:r>
    </w:p>
    <w:p w14:paraId="31B54241" w14:textId="77777777" w:rsidR="00AE24A2" w:rsidRPr="00186843" w:rsidRDefault="00AE24A2">
      <w:pPr>
        <w:spacing w:line="240" w:lineRule="auto"/>
        <w:rPr>
          <w:rFonts w:ascii="Times New Roman" w:eastAsia="Times New Roman" w:hAnsi="Times New Roman" w:cs="Times New Roman"/>
          <w:b/>
          <w:bCs/>
          <w:sz w:val="24"/>
          <w:szCs w:val="24"/>
        </w:rPr>
      </w:pPr>
    </w:p>
    <w:p w14:paraId="11BB726F" w14:textId="77777777" w:rsidR="00AE24A2" w:rsidRPr="00186843"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quantify the burden of RSV activity, we calculated the cumulative intensity of the season for each state. For NSSP, only the ratio of RSV visits to total ED visits is available. Thus, annual intensity was calculated as the sum of weekly RSV percentages across the 52-week season. For NHSN data, annual burden was calculated as the sum of weekly pediatric admission counts. We calculated the out-of-window fraction for each state and season by dividing the sum of RSV </w:t>
      </w:r>
      <w:r>
        <w:rPr>
          <w:rFonts w:ascii="Times New Roman" w:eastAsia="Times New Roman" w:hAnsi="Times New Roman" w:cs="Times New Roman"/>
          <w:sz w:val="24"/>
          <w:szCs w:val="24"/>
        </w:rPr>
        <w:lastRenderedPageBreak/>
        <w:t>burden (percentages or counts) occurring during the out-of-window weeks by the total annual burden.</w:t>
      </w:r>
    </w:p>
    <w:p w14:paraId="5F21D65A" w14:textId="77777777" w:rsidR="00AE24A2" w:rsidRPr="00186843" w:rsidRDefault="00AE24A2">
      <w:pPr>
        <w:spacing w:line="240" w:lineRule="auto"/>
        <w:rPr>
          <w:rFonts w:ascii="Times New Roman" w:eastAsia="Times New Roman" w:hAnsi="Times New Roman" w:cs="Times New Roman"/>
          <w:b/>
          <w:bCs/>
          <w:sz w:val="24"/>
          <w:szCs w:val="24"/>
        </w:rPr>
      </w:pPr>
    </w:p>
    <w:p w14:paraId="30292638" w14:textId="77777777" w:rsidR="00AE24A2" w:rsidRPr="00186843"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also evaluated a state-specific dynamic onset-offset approach (see supplement).</w:t>
      </w:r>
    </w:p>
    <w:p w14:paraId="35ABFEEC" w14:textId="77777777" w:rsidR="00AE24A2" w:rsidRPr="00186843" w:rsidRDefault="00AE24A2">
      <w:pPr>
        <w:spacing w:line="240" w:lineRule="auto"/>
        <w:rPr>
          <w:rFonts w:ascii="Times New Roman" w:eastAsia="Times New Roman" w:hAnsi="Times New Roman" w:cs="Times New Roman"/>
          <w:sz w:val="24"/>
          <w:szCs w:val="24"/>
        </w:rPr>
      </w:pPr>
    </w:p>
    <w:p w14:paraId="225F6FA4" w14:textId="77777777" w:rsidR="00AE24A2" w:rsidRPr="00186843"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424A9A21" w14:textId="77777777" w:rsidR="00AE24A2" w:rsidRPr="00186843" w:rsidRDefault="00AE24A2">
      <w:pPr>
        <w:spacing w:line="240" w:lineRule="auto"/>
        <w:rPr>
          <w:rFonts w:ascii="Times New Roman" w:eastAsia="Times New Roman" w:hAnsi="Times New Roman" w:cs="Times New Roman"/>
          <w:sz w:val="24"/>
          <w:szCs w:val="24"/>
        </w:rPr>
      </w:pPr>
    </w:p>
    <w:p w14:paraId="731C4BA9" w14:textId="77777777" w:rsidR="00BA2C00" w:rsidRDefault="00000000" w:rsidP="00BA2C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Across states, a median of 5.8% (IQR: 4.7-8.5%) of RSV-associated ED visits (NSSP) occurred outside the October-March window in 2023-24, and 7.3% (IQR: 6.1-9.6%) in 2024-25. For RSV-associated hospitalizations (NHSN, 2024-25), the median was 5.2% (IQR: 4.4-7.7%). State-level variability was substantial (Fig. 1). Out-of-window fractions ranged from 2.5% to 18.2%, with regional values varying widely by season. Geographic patterns showed some variability between NSSP seasons but remained consistent between NSSP and NHSN data for 2024-25.</w:t>
      </w:r>
    </w:p>
    <w:p w14:paraId="5FA8CF7A" w14:textId="66D0CB83" w:rsidR="00AE24A2" w:rsidRPr="00186843" w:rsidRDefault="00BA2C00" w:rsidP="00BA2C00">
      <w:pPr>
        <w:spacing w:line="24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 xml:space="preserve"> </w:t>
      </w:r>
    </w:p>
    <w:p w14:paraId="6207A88B" w14:textId="77777777" w:rsidR="00BA2C00" w:rsidRDefault="00000000" w:rsidP="00BA2C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window definitions would have captured substantially more RSV activity (Fig. 2). The Baseline window (October-March) captured a median of 92.7% to 94.8% of activity across the datasets. The Early window (September-March) increased median coverage to 93.5%-95.9%. The Extended window (September-April) achieved approximately 97-98% median coverage (NSSP 23-24: 97.9%; NHSN 24-25: 98.1%). An example dynamic, state-specific onset-offset approach was able to reliably capture greater than 95% depending on the season and dataset. Full epidemic curves are available in the supplementary materials.</w:t>
      </w:r>
    </w:p>
    <w:p w14:paraId="703D399F" w14:textId="1387F67C" w:rsidR="00AE24A2" w:rsidRPr="00186843" w:rsidRDefault="00BA2C00" w:rsidP="00BA2C00">
      <w:pPr>
        <w:spacing w:line="24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 xml:space="preserve"> </w:t>
      </w:r>
    </w:p>
    <w:p w14:paraId="77D86AB1" w14:textId="77777777" w:rsidR="00AE24A2" w:rsidRPr="00186843"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Discussion</w:t>
      </w:r>
    </w:p>
    <w:p w14:paraId="4481F1BA" w14:textId="77777777" w:rsidR="00AE24A2" w:rsidRPr="00186843" w:rsidRDefault="00AE24A2">
      <w:pPr>
        <w:spacing w:line="240" w:lineRule="auto"/>
        <w:rPr>
          <w:rFonts w:ascii="Times New Roman" w:eastAsia="Times New Roman" w:hAnsi="Times New Roman" w:cs="Times New Roman"/>
          <w:b/>
          <w:bCs/>
          <w:sz w:val="24"/>
          <w:szCs w:val="24"/>
        </w:rPr>
      </w:pPr>
    </w:p>
    <w:p w14:paraId="482335ED" w14:textId="77777777" w:rsidR="00AE24A2" w:rsidRPr="00186843"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 analysis highlights significant geographic variability consistent across two post-COVID seasons and independent surveillance systems. While previous studies have documented seasonality shifts or variability,</w:t>
      </w:r>
      <w:r>
        <w:rPr>
          <w:rFonts w:ascii="Times New Roman" w:eastAsia="Times New Roman" w:hAnsi="Times New Roman" w:cs="Times New Roman"/>
          <w:sz w:val="24"/>
          <w:szCs w:val="24"/>
          <w:vertAlign w:val="superscript"/>
        </w:rPr>
        <w:t>7,8,9</w:t>
      </w:r>
      <w:r>
        <w:rPr>
          <w:rFonts w:ascii="Times New Roman" w:eastAsia="Times New Roman" w:hAnsi="Times New Roman" w:cs="Times New Roman"/>
          <w:sz w:val="24"/>
          <w:szCs w:val="24"/>
        </w:rPr>
        <w:t xml:space="preserve"> our work quantifies the specific protection gap created by the standard October through March recommendation.</w:t>
      </w:r>
    </w:p>
    <w:p w14:paraId="09D89846" w14:textId="728509B9" w:rsidR="00AE24A2" w:rsidRPr="00186843"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These findings have immediate policy implications. Although current guidance encourages flexibility based on local epidemiology, state Medicaid programs covering the majority of eligible infants often lack the operational mechanisms or expertise to deviate from fixed windows. This rigidity likely leaves some infants unprotected during early-season surges and late-season tail cases, despite the demonstrated efficacy of long-acting monoclonal antibodies against RSV hospitalization.</w:t>
      </w:r>
      <w:r>
        <w:rPr>
          <w:rFonts w:ascii="Times New Roman" w:eastAsia="Times New Roman" w:hAnsi="Times New Roman" w:cs="Times New Roman"/>
          <w:sz w:val="24"/>
          <w:szCs w:val="24"/>
          <w:vertAlign w:val="superscript"/>
        </w:rPr>
        <w:t>10</w:t>
      </w:r>
      <w:r>
        <w:rPr>
          <w:rFonts w:ascii="Times New Roman" w:eastAsia="Times New Roman" w:hAnsi="Times New Roman" w:cs="Times New Roman"/>
          <w:sz w:val="24"/>
          <w:szCs w:val="24"/>
        </w:rPr>
        <w:t xml:space="preserve"> We acknowledge limitations in this analysis, including reliance on aggregate surveillance data that cannot account for individual administration timing, do not quantify monoclonal antibody uptake, and have broader age ranges than those recommended to receive prophylaxis. Additionally, we do not perform a cost-effectiveness or number-needed-to-treat analysis, which would further inform whether adjusting the window is justified for states with modest out-of-window burden. However, our analyses suggest that a fixed window would need to be extended to be both a month earlier and a month later (September-April) to more definitively capture the entire RSV season. </w:t>
      </w:r>
      <w:r w:rsidR="00770F83">
        <w:rPr>
          <w:rFonts w:ascii="Times New Roman" w:eastAsia="Times New Roman" w:hAnsi="Times New Roman" w:cs="Times New Roman"/>
          <w:sz w:val="24"/>
          <w:szCs w:val="24"/>
        </w:rPr>
        <w:t>Fortunately, r</w:t>
      </w:r>
      <w:r>
        <w:rPr>
          <w:rFonts w:ascii="Times New Roman" w:eastAsia="Times New Roman" w:hAnsi="Times New Roman" w:cs="Times New Roman"/>
          <w:sz w:val="24"/>
          <w:szCs w:val="24"/>
        </w:rPr>
        <w:t>ecent data demonstrate that nirsevimab maintains efficacy through at least 150-180 days (half-life ~71 days)</w:t>
      </w:r>
      <w:r w:rsidR="00542114">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t>11,12</w:t>
      </w:r>
      <w:r>
        <w:rPr>
          <w:rFonts w:ascii="Times New Roman" w:eastAsia="Times New Roman" w:hAnsi="Times New Roman" w:cs="Times New Roman"/>
          <w:sz w:val="24"/>
          <w:szCs w:val="24"/>
        </w:rPr>
        <w:t xml:space="preserve"> </w:t>
      </w:r>
      <w:r w:rsidR="00542114">
        <w:rPr>
          <w:rFonts w:ascii="Times New Roman" w:eastAsia="Times New Roman" w:hAnsi="Times New Roman" w:cs="Times New Roman"/>
          <w:sz w:val="24"/>
          <w:szCs w:val="24"/>
        </w:rPr>
        <w:t xml:space="preserve">Therefore, </w:t>
      </w:r>
      <w:r>
        <w:rPr>
          <w:rFonts w:ascii="Times New Roman" w:eastAsia="Times New Roman" w:hAnsi="Times New Roman" w:cs="Times New Roman"/>
          <w:sz w:val="24"/>
          <w:szCs w:val="24"/>
        </w:rPr>
        <w:t xml:space="preserve">an extended window may be feasible for nirsevimab, though further study is needed. However, clesrovimab has a substantially shorter half-life (~44 days), and an 8-month window would likely exceed its durable protection period, raising questions about waning efficacy and the need to redose for the following season. These seasonal timing considerations </w:t>
      </w:r>
      <w:r>
        <w:rPr>
          <w:rFonts w:ascii="Times New Roman" w:eastAsia="Times New Roman" w:hAnsi="Times New Roman" w:cs="Times New Roman"/>
          <w:sz w:val="24"/>
          <w:szCs w:val="24"/>
        </w:rPr>
        <w:lastRenderedPageBreak/>
        <w:t>also apply to maternal RSV vaccination (Abrysvo), which has an even narrower recommended administration window of September through January, and parallel challenges seen with influenza vaccine timing</w:t>
      </w:r>
      <w:r w:rsidR="00FE4AF3">
        <w:rPr>
          <w:rFonts w:ascii="Times New Roman" w:eastAsia="Times New Roman" w:hAnsi="Times New Roman" w:cs="Times New Roman"/>
          <w:sz w:val="24"/>
          <w:szCs w:val="24"/>
        </w:rPr>
        <w:t xml:space="preserve"> due to waning immunity</w:t>
      </w:r>
      <w:r>
        <w:rPr>
          <w:rFonts w:ascii="Times New Roman" w:eastAsia="Times New Roman" w:hAnsi="Times New Roman" w:cs="Times New Roman"/>
          <w:sz w:val="24"/>
          <w:szCs w:val="24"/>
        </w:rPr>
        <w:t>. Thus, future research directed at data-driven, potentially dynamic approaches to the start and end of the administration window would be ideal.</w:t>
      </w:r>
    </w:p>
    <w:p w14:paraId="55565A5E" w14:textId="77777777" w:rsidR="00AE24A2" w:rsidRPr="00186843" w:rsidRDefault="00AE24A2">
      <w:pPr>
        <w:spacing w:line="240" w:lineRule="auto"/>
        <w:ind w:firstLine="720"/>
        <w:rPr>
          <w:rFonts w:ascii="Times New Roman" w:eastAsia="Times New Roman" w:hAnsi="Times New Roman" w:cs="Times New Roman"/>
          <w:sz w:val="24"/>
          <w:szCs w:val="24"/>
        </w:rPr>
      </w:pPr>
    </w:p>
    <w:p w14:paraId="6CD5B70A" w14:textId="77777777" w:rsidR="00AE24A2" w:rsidRPr="00186843"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5DDBF43D" w14:textId="77777777" w:rsidR="00AE24A2" w:rsidRPr="00186843" w:rsidRDefault="00AE24A2">
      <w:pPr>
        <w:spacing w:line="240" w:lineRule="auto"/>
        <w:rPr>
          <w:rFonts w:ascii="Times New Roman" w:eastAsia="Times New Roman" w:hAnsi="Times New Roman" w:cs="Times New Roman"/>
          <w:b/>
          <w:bCs/>
          <w:sz w:val="24"/>
          <w:szCs w:val="24"/>
        </w:rPr>
      </w:pPr>
    </w:p>
    <w:p w14:paraId="5A35C0DE"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Jones JM, Fleming-Dutra KE, Prill MM, et al. Use of Nirsevimab for the Prevention of Respiratory Syncytial Virus Disease Among Infants and Young Children: Recommendations of the Advisory Committee on Immunization Practices -United States, 2023. </w:t>
      </w:r>
      <w:r>
        <w:rPr>
          <w:rFonts w:ascii="Times New Roman" w:eastAsia="Times New Roman" w:hAnsi="Times New Roman" w:cs="Times New Roman"/>
          <w:i/>
          <w:iCs/>
          <w:sz w:val="24"/>
          <w:szCs w:val="24"/>
        </w:rPr>
        <w:t>MMWR Morb Mortal Wkly Rep.</w:t>
      </w:r>
      <w:r>
        <w:rPr>
          <w:rFonts w:ascii="Times New Roman" w:eastAsia="Times New Roman" w:hAnsi="Times New Roman" w:cs="Times New Roman"/>
          <w:sz w:val="24"/>
          <w:szCs w:val="24"/>
        </w:rPr>
        <w:t xml:space="preserve"> 2023;72.</w:t>
      </w:r>
    </w:p>
    <w:p w14:paraId="5B34F663"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O'Leary ST, Yonts AB, Gaviria-Agudelo C, Kimberlin DW, Paulsen GC. Summer 2023 ACIP Update: RSV Prevention and Updated Recommendations on Other Vaccines. </w:t>
      </w:r>
      <w:r>
        <w:rPr>
          <w:rFonts w:ascii="Times New Roman" w:eastAsia="Times New Roman" w:hAnsi="Times New Roman" w:cs="Times New Roman"/>
          <w:i/>
          <w:iCs/>
          <w:sz w:val="24"/>
          <w:szCs w:val="24"/>
        </w:rPr>
        <w:t>Pediatrics.</w:t>
      </w:r>
      <w:r>
        <w:rPr>
          <w:rFonts w:ascii="Times New Roman" w:eastAsia="Times New Roman" w:hAnsi="Times New Roman" w:cs="Times New Roman"/>
          <w:sz w:val="24"/>
          <w:szCs w:val="24"/>
        </w:rPr>
        <w:t xml:space="preserve"> 2023;152:e2023063955.</w:t>
      </w:r>
    </w:p>
    <w:p w14:paraId="19DD29D4"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Rose EB, Wheatley A, Langley G, Gerber S, Haynes A. Respiratory Syncytial Virus Seasonality -United States, 2014-2017. </w:t>
      </w:r>
      <w:r>
        <w:rPr>
          <w:rFonts w:ascii="Times New Roman" w:eastAsia="Times New Roman" w:hAnsi="Times New Roman" w:cs="Times New Roman"/>
          <w:i/>
          <w:iCs/>
          <w:sz w:val="24"/>
          <w:szCs w:val="24"/>
        </w:rPr>
        <w:t>MMWR Morb Mortal Wkly Rep.</w:t>
      </w:r>
      <w:r>
        <w:rPr>
          <w:rFonts w:ascii="Times New Roman" w:eastAsia="Times New Roman" w:hAnsi="Times New Roman" w:cs="Times New Roman"/>
          <w:sz w:val="24"/>
          <w:szCs w:val="24"/>
        </w:rPr>
        <w:t xml:space="preserve"> 2018;67.</w:t>
      </w:r>
    </w:p>
    <w:p w14:paraId="549A7924"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Dewey G, Meyer AG, Garrido Garcia R, Santillana M. Uncovering the post-pandemic timing of influenza, RSV, and COVID-19 driving seasonal influenza-like illness in the US: a retrospective ecological study. </w:t>
      </w:r>
      <w:r>
        <w:rPr>
          <w:rFonts w:ascii="Times New Roman" w:eastAsia="Times New Roman" w:hAnsi="Times New Roman" w:cs="Times New Roman"/>
          <w:i/>
          <w:iCs/>
          <w:sz w:val="24"/>
          <w:szCs w:val="24"/>
        </w:rPr>
        <w:t>Lancet Reg Health Am.</w:t>
      </w:r>
      <w:r>
        <w:rPr>
          <w:rFonts w:ascii="Times New Roman" w:eastAsia="Times New Roman" w:hAnsi="Times New Roman" w:cs="Times New Roman"/>
          <w:sz w:val="24"/>
          <w:szCs w:val="24"/>
        </w:rPr>
        <w:t xml:space="preserve"> 2026;55.</w:t>
      </w:r>
    </w:p>
    <w:p w14:paraId="45262CB9"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Centers for Disease Control and Prevention. National Syndromic Surveillance Program (NSSP). Accessed January 16, 2026.</w:t>
      </w:r>
      <w:hyperlink r:id="rId5">
        <w:r w:rsidR="00AE24A2">
          <w:rPr>
            <w:rFonts w:ascii="Times New Roman" w:eastAsia="Times New Roman" w:hAnsi="Times New Roman" w:cs="Times New Roman"/>
            <w:sz w:val="24"/>
            <w:szCs w:val="24"/>
          </w:rPr>
          <w:t xml:space="preserve"> </w:t>
        </w:r>
      </w:hyperlink>
      <w:hyperlink r:id="rId6">
        <w:r w:rsidR="00AE24A2">
          <w:rPr>
            <w:rFonts w:ascii="Times New Roman" w:eastAsia="Times New Roman" w:hAnsi="Times New Roman" w:cs="Times New Roman"/>
            <w:color w:val="1155CC"/>
            <w:sz w:val="24"/>
            <w:szCs w:val="24"/>
            <w:u w:val="single"/>
          </w:rPr>
          <w:t>https://www.cdc.gov/nssp/</w:t>
        </w:r>
      </w:hyperlink>
    </w:p>
    <w:p w14:paraId="648E9C75"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Centers for Disease Control and Prevention, Division of Healthcare Quality Promotion. Weekly United States Hospital Respiratory Data (HRD) Metrics by Jurisdiction. National Healthcare Safety Network (NHSN). Accessed January 16, 2026.</w:t>
      </w:r>
      <w:hyperlink r:id="rId7">
        <w:r w:rsidR="00AE24A2">
          <w:rPr>
            <w:rFonts w:ascii="Times New Roman" w:eastAsia="Times New Roman" w:hAnsi="Times New Roman" w:cs="Times New Roman"/>
            <w:sz w:val="24"/>
            <w:szCs w:val="24"/>
          </w:rPr>
          <w:t xml:space="preserve"> </w:t>
        </w:r>
      </w:hyperlink>
      <w:hyperlink r:id="rId8">
        <w:r w:rsidR="00AE24A2">
          <w:rPr>
            <w:rFonts w:ascii="Times New Roman" w:eastAsia="Times New Roman" w:hAnsi="Times New Roman" w:cs="Times New Roman"/>
            <w:color w:val="1155CC"/>
            <w:sz w:val="24"/>
            <w:szCs w:val="24"/>
            <w:u w:val="single"/>
          </w:rPr>
          <w:t>https://www.cdc.gov/nhsn/</w:t>
        </w:r>
      </w:hyperlink>
    </w:p>
    <w:p w14:paraId="4E1519E2"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Mullins JA, Lamonte AC, Bresee JS, Anderson LJ. Substantial variability in community respiratory syncytial virus season timing. </w:t>
      </w:r>
      <w:r>
        <w:rPr>
          <w:rFonts w:ascii="Times New Roman" w:eastAsia="Times New Roman" w:hAnsi="Times New Roman" w:cs="Times New Roman"/>
          <w:i/>
          <w:iCs/>
          <w:sz w:val="24"/>
          <w:szCs w:val="24"/>
        </w:rPr>
        <w:t>Pediatr Infect Dis J.</w:t>
      </w:r>
      <w:r>
        <w:rPr>
          <w:rFonts w:ascii="Times New Roman" w:eastAsia="Times New Roman" w:hAnsi="Times New Roman" w:cs="Times New Roman"/>
          <w:sz w:val="24"/>
          <w:szCs w:val="24"/>
        </w:rPr>
        <w:t xml:space="preserve"> 2003;22:857-862.</w:t>
      </w:r>
    </w:p>
    <w:p w14:paraId="1A8EC3BA"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Zachariah P, Shah S, Gao D, Simões EAF. Predictors of the duration of the respiratory syncytial virus season. </w:t>
      </w:r>
      <w:r>
        <w:rPr>
          <w:rFonts w:ascii="Times New Roman" w:eastAsia="Times New Roman" w:hAnsi="Times New Roman" w:cs="Times New Roman"/>
          <w:i/>
          <w:iCs/>
          <w:sz w:val="24"/>
          <w:szCs w:val="24"/>
        </w:rPr>
        <w:t>Pediatr Infect Dis J.</w:t>
      </w:r>
      <w:r>
        <w:rPr>
          <w:rFonts w:ascii="Times New Roman" w:eastAsia="Times New Roman" w:hAnsi="Times New Roman" w:cs="Times New Roman"/>
          <w:sz w:val="24"/>
          <w:szCs w:val="24"/>
        </w:rPr>
        <w:t xml:space="preserve"> 2009;28:772-776.</w:t>
      </w:r>
    </w:p>
    <w:p w14:paraId="71F77B21"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Staadegaard L, Caini S, Weidemann F, et al. Defining the seasonality of respiratory syncytial virus around the world: National and subnational surveillance data from 12 countries. </w:t>
      </w:r>
      <w:r>
        <w:rPr>
          <w:rFonts w:ascii="Times New Roman" w:eastAsia="Times New Roman" w:hAnsi="Times New Roman" w:cs="Times New Roman"/>
          <w:i/>
          <w:iCs/>
          <w:sz w:val="24"/>
          <w:szCs w:val="24"/>
        </w:rPr>
        <w:t>Influenza Other Respir Viruses</w:t>
      </w:r>
      <w:r>
        <w:rPr>
          <w:rFonts w:ascii="Times New Roman" w:eastAsia="Times New Roman" w:hAnsi="Times New Roman" w:cs="Times New Roman"/>
          <w:sz w:val="24"/>
          <w:szCs w:val="24"/>
        </w:rPr>
        <w:t>. 2021;15:732-741.</w:t>
      </w:r>
    </w:p>
    <w:p w14:paraId="3E3B828C"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Hammitt LL, Dagan R, Yuan Y, et al. Nirsevimab for Prevention of RSV in Healthy Late-Preterm and Term Infants. </w:t>
      </w:r>
      <w:r>
        <w:rPr>
          <w:rFonts w:ascii="Times New Roman" w:eastAsia="Times New Roman" w:hAnsi="Times New Roman" w:cs="Times New Roman"/>
          <w:i/>
          <w:iCs/>
          <w:sz w:val="24"/>
          <w:szCs w:val="24"/>
        </w:rPr>
        <w:t>N Engl J Med.</w:t>
      </w:r>
      <w:r>
        <w:rPr>
          <w:rFonts w:ascii="Times New Roman" w:eastAsia="Times New Roman" w:hAnsi="Times New Roman" w:cs="Times New Roman"/>
          <w:sz w:val="24"/>
          <w:szCs w:val="24"/>
        </w:rPr>
        <w:t xml:space="preserve"> 2022;386:837-846.</w:t>
      </w:r>
    </w:p>
    <w:p w14:paraId="1A411F7C" w14:textId="35CAA0F1" w:rsidR="00AE24A2" w:rsidRPr="00186843"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Munro APS, Drysdale S, Cathie K, et al. 180-day efficacy of nirsevimab against hospitalisation for respiratory syncytial virus lower respiratory tract infections in infants (HARMONIE): a randomised, controlled, phase 3b trial. </w:t>
      </w:r>
      <w:r>
        <w:rPr>
          <w:rFonts w:ascii="Times New Roman" w:eastAsia="Times New Roman" w:hAnsi="Times New Roman" w:cs="Times New Roman"/>
          <w:i/>
          <w:iCs/>
          <w:sz w:val="24"/>
          <w:szCs w:val="24"/>
        </w:rPr>
        <w:t>Lancet Child Adolesc Health.</w:t>
      </w:r>
      <w:r>
        <w:rPr>
          <w:rFonts w:ascii="Times New Roman" w:eastAsia="Times New Roman" w:hAnsi="Times New Roman" w:cs="Times New Roman"/>
          <w:sz w:val="24"/>
          <w:szCs w:val="24"/>
        </w:rPr>
        <w:t xml:space="preserve"> </w:t>
      </w:r>
      <w:r w:rsidR="00E95814" w:rsidRPr="00E95814">
        <w:rPr>
          <w:rFonts w:ascii="Times New Roman" w:eastAsia="Times New Roman" w:hAnsi="Times New Roman" w:cs="Times New Roman"/>
          <w:sz w:val="24"/>
          <w:szCs w:val="24"/>
        </w:rPr>
        <w:t>2025;9(6):404-412</w:t>
      </w:r>
      <w:r>
        <w:rPr>
          <w:rFonts w:ascii="Times New Roman" w:eastAsia="Times New Roman" w:hAnsi="Times New Roman" w:cs="Times New Roman"/>
          <w:sz w:val="24"/>
          <w:szCs w:val="24"/>
        </w:rPr>
        <w:t>.</w:t>
      </w:r>
    </w:p>
    <w:p w14:paraId="2B511F7C" w14:textId="38CBF4DB" w:rsidR="00AE24A2" w:rsidRDefault="0079234B" w:rsidP="0079234B">
      <w:pPr>
        <w:numPr>
          <w:ilvl w:val="0"/>
          <w:numId w:val="1"/>
        </w:numPr>
        <w:spacing w:line="240" w:lineRule="auto"/>
        <w:rPr>
          <w:rFonts w:ascii="Times New Roman" w:eastAsia="Times New Roman" w:hAnsi="Times New Roman" w:cs="Times New Roman"/>
          <w:sz w:val="24"/>
          <w:szCs w:val="24"/>
        </w:rPr>
      </w:pPr>
      <w:r w:rsidRPr="0079234B">
        <w:rPr>
          <w:rFonts w:ascii="Times New Roman" w:eastAsia="Times New Roman" w:hAnsi="Times New Roman" w:cs="Times New Roman"/>
          <w:sz w:val="24"/>
          <w:szCs w:val="24"/>
        </w:rPr>
        <w:t xml:space="preserve">Moline HL, Tannis A, Goldstein L, et al. Effectiveness and Impact of Maternal RSV Immunization and </w:t>
      </w:r>
      <w:proofErr w:type="spellStart"/>
      <w:r w:rsidRPr="0079234B">
        <w:rPr>
          <w:rFonts w:ascii="Times New Roman" w:eastAsia="Times New Roman" w:hAnsi="Times New Roman" w:cs="Times New Roman"/>
          <w:sz w:val="24"/>
          <w:szCs w:val="24"/>
        </w:rPr>
        <w:t>Nirsevimab</w:t>
      </w:r>
      <w:proofErr w:type="spellEnd"/>
      <w:r w:rsidRPr="0079234B">
        <w:rPr>
          <w:rFonts w:ascii="Times New Roman" w:eastAsia="Times New Roman" w:hAnsi="Times New Roman" w:cs="Times New Roman"/>
          <w:sz w:val="24"/>
          <w:szCs w:val="24"/>
        </w:rPr>
        <w:t xml:space="preserve"> on Medically Attended RSV in US Children. JAMA </w:t>
      </w:r>
      <w:proofErr w:type="spellStart"/>
      <w:r w:rsidRPr="0079234B">
        <w:rPr>
          <w:rFonts w:ascii="Times New Roman" w:eastAsia="Times New Roman" w:hAnsi="Times New Roman" w:cs="Times New Roman"/>
          <w:sz w:val="24"/>
          <w:szCs w:val="24"/>
        </w:rPr>
        <w:t>Pediatr</w:t>
      </w:r>
      <w:proofErr w:type="spellEnd"/>
      <w:r w:rsidRPr="0079234B">
        <w:rPr>
          <w:rFonts w:ascii="Times New Roman" w:eastAsia="Times New Roman" w:hAnsi="Times New Roman" w:cs="Times New Roman"/>
          <w:sz w:val="24"/>
          <w:szCs w:val="24"/>
        </w:rPr>
        <w:t>. 2026;180(3):314-324.</w:t>
      </w:r>
    </w:p>
    <w:p w14:paraId="58FCB9CC" w14:textId="77777777" w:rsidR="003C08D3" w:rsidRDefault="003C08D3" w:rsidP="003C08D3">
      <w:pPr>
        <w:spacing w:line="240" w:lineRule="auto"/>
        <w:rPr>
          <w:rFonts w:ascii="Times New Roman" w:eastAsia="Times New Roman" w:hAnsi="Times New Roman" w:cs="Times New Roman"/>
          <w:sz w:val="24"/>
          <w:szCs w:val="24"/>
        </w:rPr>
      </w:pPr>
    </w:p>
    <w:p w14:paraId="65AD5E04" w14:textId="00DD122C" w:rsidR="003C08D3" w:rsidRPr="003C08D3" w:rsidRDefault="003C08D3" w:rsidP="003C08D3">
      <w:pPr>
        <w:spacing w:line="240" w:lineRule="auto"/>
        <w:rPr>
          <w:rFonts w:ascii="Times New Roman" w:eastAsia="Times New Roman" w:hAnsi="Times New Roman" w:cs="Times New Roman"/>
          <w:b/>
          <w:bCs/>
          <w:sz w:val="24"/>
          <w:szCs w:val="24"/>
        </w:rPr>
      </w:pPr>
      <w:r w:rsidRPr="003C08D3">
        <w:rPr>
          <w:rFonts w:ascii="Times New Roman" w:eastAsia="Times New Roman" w:hAnsi="Times New Roman" w:cs="Times New Roman"/>
          <w:b/>
          <w:bCs/>
          <w:sz w:val="24"/>
          <w:szCs w:val="24"/>
        </w:rPr>
        <w:t>Figures</w:t>
      </w:r>
    </w:p>
    <w:p w14:paraId="48C1DA78" w14:textId="77777777" w:rsidR="003C08D3" w:rsidRDefault="003C08D3" w:rsidP="003C08D3">
      <w:pPr>
        <w:spacing w:line="240" w:lineRule="auto"/>
        <w:rPr>
          <w:rFonts w:ascii="Times New Roman" w:eastAsia="Times New Roman" w:hAnsi="Times New Roman" w:cs="Times New Roman"/>
          <w:sz w:val="24"/>
          <w:szCs w:val="24"/>
        </w:rPr>
      </w:pPr>
    </w:p>
    <w:p w14:paraId="07F298D0" w14:textId="77777777" w:rsidR="003C08D3" w:rsidRPr="00186843" w:rsidRDefault="003C08D3" w:rsidP="003C08D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1: Geographic distribution of RSV activity occurring outside the October-March </w:t>
      </w:r>
      <w:r>
        <w:rPr>
          <w:rFonts w:ascii="Times New Roman" w:eastAsia="Times New Roman" w:hAnsi="Times New Roman" w:cs="Times New Roman"/>
          <w:b/>
          <w:bCs/>
          <w:sz w:val="24"/>
          <w:szCs w:val="24"/>
        </w:rPr>
        <w:lastRenderedPageBreak/>
        <w:t>recommended RSV prophylaxis administration window. A.</w:t>
      </w:r>
      <w:r>
        <w:rPr>
          <w:rFonts w:ascii="Times New Roman" w:eastAsia="Times New Roman" w:hAnsi="Times New Roman" w:cs="Times New Roman"/>
          <w:sz w:val="24"/>
          <w:szCs w:val="24"/>
        </w:rPr>
        <w:t xml:space="preserve"> NSSP RSV-associated emergency department visit percentage, 2023-24 season.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NSSP RSV-associated emergency department visit percentage, 2024-25 season. </w:t>
      </w:r>
      <w:r>
        <w:rPr>
          <w:rFonts w:ascii="Times New Roman" w:eastAsia="Times New Roman" w:hAnsi="Times New Roman" w:cs="Times New Roman"/>
          <w:b/>
          <w:bCs/>
          <w:sz w:val="24"/>
          <w:szCs w:val="24"/>
        </w:rPr>
        <w:t xml:space="preserve">C. </w:t>
      </w:r>
      <w:r>
        <w:rPr>
          <w:rFonts w:ascii="Times New Roman" w:eastAsia="Times New Roman" w:hAnsi="Times New Roman" w:cs="Times New Roman"/>
          <w:sz w:val="24"/>
          <w:szCs w:val="24"/>
        </w:rPr>
        <w:t>NHSN RSV-associated hospital admissions, 2024-25 season. Darker shading indicates a higher fraction of RSV activity outside the window. States with no available data are gray.</w:t>
      </w:r>
    </w:p>
    <w:p w14:paraId="6F84C2EE" w14:textId="77777777" w:rsidR="003C08D3" w:rsidRDefault="003C08D3" w:rsidP="003C08D3">
      <w:pPr>
        <w:spacing w:line="240" w:lineRule="auto"/>
        <w:rPr>
          <w:rFonts w:ascii="Times New Roman" w:eastAsia="Times New Roman" w:hAnsi="Times New Roman" w:cs="Times New Roman"/>
          <w:sz w:val="24"/>
          <w:szCs w:val="24"/>
        </w:rPr>
      </w:pPr>
    </w:p>
    <w:p w14:paraId="704FB930" w14:textId="77777777" w:rsidR="003C08D3" w:rsidRPr="00186843" w:rsidRDefault="003C08D3" w:rsidP="003C08D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2: Proportion of RSV activity captured under alternative RSV prophylaxis administration window scenarios.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Baseline:</w:t>
      </w:r>
      <w:r>
        <w:rPr>
          <w:rFonts w:ascii="Times New Roman" w:eastAsia="Times New Roman" w:hAnsi="Times New Roman" w:cs="Times New Roman"/>
          <w:sz w:val="24"/>
          <w:szCs w:val="24"/>
        </w:rPr>
        <w:t xml:space="preserve"> October-March; </w:t>
      </w:r>
      <w:r>
        <w:rPr>
          <w:rFonts w:ascii="Times New Roman" w:eastAsia="Times New Roman" w:hAnsi="Times New Roman" w:cs="Times New Roman"/>
          <w:b/>
          <w:bCs/>
          <w:sz w:val="24"/>
          <w:szCs w:val="24"/>
        </w:rPr>
        <w:t>Early:</w:t>
      </w:r>
      <w:r>
        <w:rPr>
          <w:rFonts w:ascii="Times New Roman" w:eastAsia="Times New Roman" w:hAnsi="Times New Roman" w:cs="Times New Roman"/>
          <w:sz w:val="24"/>
          <w:szCs w:val="24"/>
        </w:rPr>
        <w:t xml:space="preserve"> September-March; </w:t>
      </w:r>
      <w:r>
        <w:rPr>
          <w:rFonts w:ascii="Times New Roman" w:eastAsia="Times New Roman" w:hAnsi="Times New Roman" w:cs="Times New Roman"/>
          <w:b/>
          <w:bCs/>
          <w:sz w:val="24"/>
          <w:szCs w:val="24"/>
        </w:rPr>
        <w:t xml:space="preserve">Extended: </w:t>
      </w:r>
      <w:r>
        <w:rPr>
          <w:rFonts w:ascii="Times New Roman" w:eastAsia="Times New Roman" w:hAnsi="Times New Roman" w:cs="Times New Roman"/>
          <w:sz w:val="24"/>
          <w:szCs w:val="24"/>
        </w:rPr>
        <w:t xml:space="preserve">September-April; </w:t>
      </w:r>
      <w:r>
        <w:rPr>
          <w:rFonts w:ascii="Times New Roman" w:eastAsia="Times New Roman" w:hAnsi="Times New Roman" w:cs="Times New Roman"/>
          <w:b/>
          <w:bCs/>
          <w:sz w:val="24"/>
          <w:szCs w:val="24"/>
        </w:rPr>
        <w:t xml:space="preserve">Dynamic: </w:t>
      </w:r>
      <w:r>
        <w:rPr>
          <w:rFonts w:ascii="Times New Roman" w:eastAsia="Times New Roman" w:hAnsi="Times New Roman" w:cs="Times New Roman"/>
          <w:sz w:val="24"/>
          <w:szCs w:val="24"/>
        </w:rPr>
        <w:t xml:space="preserve">state-specific onset-offset. </w:t>
      </w:r>
      <w:r>
        <w:rPr>
          <w:rFonts w:ascii="Times New Roman" w:eastAsia="Times New Roman" w:hAnsi="Times New Roman" w:cs="Times New Roman"/>
          <w:b/>
          <w:bCs/>
          <w:sz w:val="24"/>
          <w:szCs w:val="24"/>
        </w:rPr>
        <w:t xml:space="preserve">A. </w:t>
      </w:r>
      <w:r>
        <w:rPr>
          <w:rFonts w:ascii="Times New Roman" w:eastAsia="Times New Roman" w:hAnsi="Times New Roman" w:cs="Times New Roman"/>
          <w:sz w:val="24"/>
          <w:szCs w:val="24"/>
        </w:rPr>
        <w:t xml:space="preserve">NSSP 2023-24.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NSSP 2024-25. </w:t>
      </w: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NHSN 2024-25. The Early window did not meaningfully change the vaccine coverage while an example Dynamic and Extended could significantly improve coverage.</w:t>
      </w:r>
    </w:p>
    <w:p w14:paraId="5659E9B5" w14:textId="77777777" w:rsidR="003C08D3" w:rsidRPr="00186843" w:rsidRDefault="003C08D3" w:rsidP="003C08D3">
      <w:pPr>
        <w:spacing w:line="240" w:lineRule="auto"/>
        <w:rPr>
          <w:rFonts w:ascii="Times New Roman" w:eastAsia="Times New Roman" w:hAnsi="Times New Roman" w:cs="Times New Roman"/>
          <w:sz w:val="24"/>
          <w:szCs w:val="24"/>
        </w:rPr>
      </w:pPr>
    </w:p>
    <w:sectPr w:rsidR="003C08D3" w:rsidRPr="0018684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B87E4FC-FA0B-224A-B740-74380E0279EC}"/>
    <w:embedBold r:id="rId2" w:fontKey="{E4007F8C-18B8-9E4F-BAFE-594D8131B7CD}"/>
    <w:embedItalic r:id="rId3" w:fontKey="{331DC685-D347-C047-B0A6-7E5F2761F4C5}"/>
  </w:font>
  <w:font w:name="Arial">
    <w:panose1 w:val="020B0604020202020204"/>
    <w:charset w:val="00"/>
    <w:family w:val="swiss"/>
    <w:pitch w:val="variable"/>
    <w:sig w:usb0="E0002AFF" w:usb1="C0007843" w:usb2="00000009" w:usb3="00000000" w:csb0="000001FF" w:csb1="00000000"/>
    <w:embedRegular r:id="rId4" w:fontKey="{C6E31A9D-B9AC-4840-BB2E-245B1B634E1A}"/>
    <w:embedItalic r:id="rId5" w:fontKey="{1AD3C978-C829-FE48-BC43-32613C7F8AC9}"/>
  </w:font>
  <w:font w:name="Calibri">
    <w:panose1 w:val="020F0502020204030204"/>
    <w:charset w:val="00"/>
    <w:family w:val="swiss"/>
    <w:pitch w:val="variable"/>
    <w:sig w:usb0="E4002EFF" w:usb1="C200247B" w:usb2="00000009" w:usb3="00000000" w:csb0="000001FF" w:csb1="00000000"/>
    <w:embedRegular r:id="rId6" w:fontKey="{15E9B0E0-F10E-7F49-9048-0EAB7F821060}"/>
  </w:font>
  <w:font w:name="Cambria">
    <w:panose1 w:val="02040503050406030204"/>
    <w:charset w:val="00"/>
    <w:family w:val="roman"/>
    <w:pitch w:val="variable"/>
    <w:sig w:usb0="E00006FF" w:usb1="420024FF" w:usb2="02000000" w:usb3="00000000" w:csb0="0000019F" w:csb1="00000000"/>
    <w:embedRegular r:id="rId7" w:fontKey="{A23D81E7-5E38-584D-9CFC-15D6B8F073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70DA6"/>
    <w:multiLevelType w:val="multilevel"/>
    <w:tmpl w:val="93769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56441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4A2"/>
    <w:rsid w:val="00186843"/>
    <w:rsid w:val="003C08D3"/>
    <w:rsid w:val="004427CD"/>
    <w:rsid w:val="00542114"/>
    <w:rsid w:val="00770F83"/>
    <w:rsid w:val="0079234B"/>
    <w:rsid w:val="007C4ABB"/>
    <w:rsid w:val="00901BE6"/>
    <w:rsid w:val="00AE24A2"/>
    <w:rsid w:val="00BA2C00"/>
    <w:rsid w:val="00DF21A7"/>
    <w:rsid w:val="00E95814"/>
    <w:rsid w:val="00F1212D"/>
    <w:rsid w:val="00FE4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2A58ED"/>
  <w15:docId w15:val="{E8BBD9D6-01B6-974D-B39F-348835227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dc.gov/nhsn/" TargetMode="External"/><Relationship Id="rId3" Type="http://schemas.openxmlformats.org/officeDocument/2006/relationships/settings" Target="settings.xml"/><Relationship Id="rId7" Type="http://schemas.openxmlformats.org/officeDocument/2006/relationships/hyperlink" Target="https://www.cdc.gov/nhs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dc.gov/nssp/" TargetMode="External"/><Relationship Id="rId5" Type="http://schemas.openxmlformats.org/officeDocument/2006/relationships/hyperlink" Target="https://www.cdc.gov/nss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1514</Words>
  <Characters>8631</Characters>
  <Application>Microsoft Office Word</Application>
  <DocSecurity>0</DocSecurity>
  <Lines>71</Lines>
  <Paragraphs>20</Paragraphs>
  <ScaleCrop>false</ScaleCrop>
  <Company/>
  <LinksUpToDate>false</LinksUpToDate>
  <CharactersWithSpaces>10125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Austin Meyer</cp:lastModifiedBy>
  <cp:revision>2</cp:revision>
  <dcterms:created xsi:type="dcterms:W3CDTF">2026-03-27T12:39:00Z</dcterms:created>
  <dcterms:modified xsi:type="dcterms:W3CDTF">2026-03-27T12:39:00Z</dcterms:modified>
</cp:coreProperties>
</file>