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DA8D3" w14:textId="77777777" w:rsidR="00F85903" w:rsidRDefault="00000000">
      <w:pPr>
        <w:spacing w:after="240"/>
        <w:jc w:val="center"/>
      </w:pPr>
      <w:r>
        <w:rPr>
          <w:b/>
          <w:bCs/>
          <w:sz w:val="32"/>
          <w:szCs w:val="32"/>
        </w:rPr>
        <w:t>Response to Reviewers</w:t>
      </w:r>
    </w:p>
    <w:p w14:paraId="3A4277BA" w14:textId="77777777" w:rsidR="00F85903" w:rsidRDefault="00000000">
      <w:pPr>
        <w:spacing w:after="120"/>
        <w:jc w:val="center"/>
      </w:pPr>
      <w:r>
        <w:rPr>
          <w:sz w:val="24"/>
          <w:szCs w:val="24"/>
        </w:rPr>
        <w:t>Quantifying the Protection Gap: RSV Activity Outside the Recommended RSV Prophylaxis Administration Window</w:t>
      </w:r>
    </w:p>
    <w:p w14:paraId="22F7E294" w14:textId="77777777" w:rsidR="00F85903" w:rsidRDefault="00000000">
      <w:pPr>
        <w:spacing w:after="360"/>
        <w:jc w:val="center"/>
      </w:pPr>
      <w:r>
        <w:rPr>
          <w:sz w:val="24"/>
          <w:szCs w:val="24"/>
        </w:rPr>
        <w:t>Meyer et al.</w:t>
      </w:r>
    </w:p>
    <w:p w14:paraId="1ABC1099" w14:textId="77777777" w:rsidR="00F85903" w:rsidRDefault="00000000">
      <w:pPr>
        <w:spacing w:after="120" w:line="276" w:lineRule="auto"/>
      </w:pPr>
      <w:r>
        <w:rPr>
          <w:sz w:val="24"/>
          <w:szCs w:val="24"/>
        </w:rPr>
        <w:t>We thank the Associate Editor and Reviewers for their thoughtful and constructive comments. We have carefully considered each point and revised the manuscript accordingly. Below we provide a point-by-point response. Reviewer comments are shown in italics, and our responses follow in plain text.</w:t>
      </w:r>
    </w:p>
    <w:p w14:paraId="3BD58657" w14:textId="77777777" w:rsidR="00F85903" w:rsidRDefault="00000000">
      <w:pPr>
        <w:spacing w:before="360" w:after="120" w:line="276" w:lineRule="auto"/>
      </w:pPr>
      <w:r>
        <w:rPr>
          <w:b/>
          <w:bCs/>
          <w:sz w:val="28"/>
          <w:szCs w:val="28"/>
          <w:u w:val="single"/>
        </w:rPr>
        <w:t>Associate Editor</w:t>
      </w:r>
    </w:p>
    <w:p w14:paraId="098F7965" w14:textId="77777777" w:rsidR="00F85903" w:rsidRDefault="00000000">
      <w:pPr>
        <w:spacing w:after="80" w:line="276" w:lineRule="auto"/>
        <w:ind w:left="360"/>
      </w:pPr>
      <w:r>
        <w:rPr>
          <w:i/>
          <w:iCs/>
          <w:sz w:val="24"/>
          <w:szCs w:val="24"/>
        </w:rPr>
        <w:t>In addition to comments from the reviewers, please consider adding how maternal RSV vaccination could be considered in terms of RSV seasonality.</w:t>
      </w:r>
    </w:p>
    <w:p w14:paraId="6030DD99" w14:textId="77777777" w:rsidR="00F85903" w:rsidRDefault="00000000">
      <w:pPr>
        <w:spacing w:after="120" w:line="276" w:lineRule="auto"/>
      </w:pPr>
      <w:r>
        <w:rPr>
          <w:b/>
          <w:bCs/>
          <w:sz w:val="24"/>
          <w:szCs w:val="24"/>
        </w:rPr>
        <w:t xml:space="preserve">Response: </w:t>
      </w:r>
      <w:r>
        <w:rPr>
          <w:sz w:val="24"/>
          <w:szCs w:val="24"/>
        </w:rPr>
        <w:t>Thank you for this important suggestion. We have added a sentence to the Discussion noting that these seasonal timing considerations also apply to maternal RSV vaccination (</w:t>
      </w:r>
      <w:proofErr w:type="spellStart"/>
      <w:r>
        <w:rPr>
          <w:sz w:val="24"/>
          <w:szCs w:val="24"/>
        </w:rPr>
        <w:t>Abrysvo</w:t>
      </w:r>
      <w:proofErr w:type="spellEnd"/>
      <w:r>
        <w:rPr>
          <w:sz w:val="24"/>
          <w:szCs w:val="24"/>
        </w:rPr>
        <w:t xml:space="preserve">), which has an even narrower recommended administration window of September through January (compared with October through March for monoclonal antibody prophylaxis). </w:t>
      </w:r>
      <w:proofErr w:type="gramStart"/>
      <w:r>
        <w:rPr>
          <w:sz w:val="24"/>
          <w:szCs w:val="24"/>
        </w:rPr>
        <w:t>This further underscores</w:t>
      </w:r>
      <w:proofErr w:type="gramEnd"/>
      <w:r>
        <w:rPr>
          <w:sz w:val="24"/>
          <w:szCs w:val="24"/>
        </w:rPr>
        <w:t xml:space="preserve"> the broader relevance of our findings beyond monoclonal antibody prophylaxis alone.</w:t>
      </w:r>
    </w:p>
    <w:p w14:paraId="4DB2227A" w14:textId="77777777" w:rsidR="00F85903" w:rsidRDefault="00000000">
      <w:pPr>
        <w:spacing w:after="120" w:line="276" w:lineRule="auto"/>
      </w:pPr>
      <w:r>
        <w:rPr>
          <w:i/>
          <w:iCs/>
          <w:sz w:val="24"/>
          <w:szCs w:val="24"/>
        </w:rPr>
        <w:t xml:space="preserve">Manuscript change: </w:t>
      </w:r>
      <w:r>
        <w:rPr>
          <w:sz w:val="24"/>
          <w:szCs w:val="24"/>
        </w:rPr>
        <w:t>Added to Discussion paragraph 2: “These seasonal timing considerations also apply to maternal RSV vaccination (</w:t>
      </w:r>
      <w:proofErr w:type="spellStart"/>
      <w:r>
        <w:rPr>
          <w:sz w:val="24"/>
          <w:szCs w:val="24"/>
        </w:rPr>
        <w:t>Abrysvo</w:t>
      </w:r>
      <w:proofErr w:type="spellEnd"/>
      <w:r>
        <w:rPr>
          <w:sz w:val="24"/>
          <w:szCs w:val="24"/>
        </w:rPr>
        <w:t>), which has an even narrower recommended administration window of September through January, and parallel challenges seen with influenza vaccine timing.”</w:t>
      </w:r>
    </w:p>
    <w:p w14:paraId="45E191BD" w14:textId="77777777" w:rsidR="00F85903" w:rsidRDefault="00000000">
      <w:pPr>
        <w:spacing w:before="360" w:after="120" w:line="276" w:lineRule="auto"/>
      </w:pPr>
      <w:r>
        <w:rPr>
          <w:b/>
          <w:bCs/>
          <w:sz w:val="28"/>
          <w:szCs w:val="28"/>
          <w:u w:val="single"/>
        </w:rPr>
        <w:t>Reviewer 1</w:t>
      </w:r>
    </w:p>
    <w:p w14:paraId="79A0DD51" w14:textId="77777777" w:rsidR="00F85903" w:rsidRDefault="00000000">
      <w:pPr>
        <w:spacing w:before="240" w:after="120" w:line="276" w:lineRule="auto"/>
      </w:pPr>
      <w:r>
        <w:rPr>
          <w:b/>
          <w:bCs/>
          <w:sz w:val="26"/>
          <w:szCs w:val="26"/>
        </w:rPr>
        <w:t>Comment 1: Durability of protection</w:t>
      </w:r>
    </w:p>
    <w:p w14:paraId="2B576E94" w14:textId="77777777" w:rsidR="00F85903" w:rsidRDefault="00000000">
      <w:pPr>
        <w:spacing w:after="80" w:line="276" w:lineRule="auto"/>
        <w:ind w:left="360"/>
      </w:pPr>
      <w:r>
        <w:rPr>
          <w:i/>
          <w:iCs/>
          <w:sz w:val="24"/>
          <w:szCs w:val="24"/>
        </w:rPr>
        <w:t xml:space="preserve">Could further explain page 4, line 9/10 - ‘would raise questions about the durability of protection beyond 6 months and the need to </w:t>
      </w:r>
      <w:proofErr w:type="spellStart"/>
      <w:r>
        <w:rPr>
          <w:i/>
          <w:iCs/>
          <w:sz w:val="24"/>
          <w:szCs w:val="24"/>
        </w:rPr>
        <w:t>redose</w:t>
      </w:r>
      <w:proofErr w:type="spellEnd"/>
      <w:r>
        <w:rPr>
          <w:i/>
          <w:iCs/>
          <w:sz w:val="24"/>
          <w:szCs w:val="24"/>
        </w:rPr>
        <w:t xml:space="preserve"> for the following season.’</w:t>
      </w:r>
    </w:p>
    <w:p w14:paraId="5439EADF" w14:textId="53A90A2C" w:rsidR="00F85903" w:rsidRDefault="00000000">
      <w:pPr>
        <w:spacing w:after="120" w:line="276" w:lineRule="auto"/>
      </w:pPr>
      <w:r>
        <w:rPr>
          <w:b/>
          <w:bCs/>
          <w:sz w:val="24"/>
          <w:szCs w:val="24"/>
        </w:rPr>
        <w:t xml:space="preserve">Response: </w:t>
      </w:r>
      <w:r>
        <w:rPr>
          <w:sz w:val="24"/>
          <w:szCs w:val="24"/>
        </w:rPr>
        <w:t xml:space="preserve">We appreciate this request for clarification. We have substantially expanded this sentence with product-specific pharmacokinetic and efficacy data. </w:t>
      </w:r>
      <w:proofErr w:type="spellStart"/>
      <w:r>
        <w:rPr>
          <w:sz w:val="24"/>
          <w:szCs w:val="24"/>
        </w:rPr>
        <w:t>Nirsevimab</w:t>
      </w:r>
      <w:proofErr w:type="spellEnd"/>
      <w:r>
        <w:rPr>
          <w:sz w:val="24"/>
          <w:szCs w:val="24"/>
        </w:rPr>
        <w:t xml:space="preserve"> has a terminal half-life of approximately 71 days, and recent data from the HARMONIE phase 3b trial demonstrate sustained efficacy of 82.7% against RSV-associated hospitalization through 180 days (Munro et al., Lancet Child </w:t>
      </w:r>
      <w:proofErr w:type="spellStart"/>
      <w:r>
        <w:rPr>
          <w:sz w:val="24"/>
          <w:szCs w:val="24"/>
        </w:rPr>
        <w:t>Adolesc</w:t>
      </w:r>
      <w:proofErr w:type="spellEnd"/>
      <w:r>
        <w:rPr>
          <w:sz w:val="24"/>
          <w:szCs w:val="24"/>
        </w:rPr>
        <w:t xml:space="preserve"> Health 2025). Real-world data from the 2024-25 season corroborate this, with </w:t>
      </w:r>
      <w:proofErr w:type="spellStart"/>
      <w:r>
        <w:rPr>
          <w:sz w:val="24"/>
          <w:szCs w:val="24"/>
        </w:rPr>
        <w:t>nirsevimab</w:t>
      </w:r>
      <w:proofErr w:type="spellEnd"/>
      <w:r>
        <w:rPr>
          <w:sz w:val="24"/>
          <w:szCs w:val="24"/>
        </w:rPr>
        <w:t xml:space="preserve"> remaining 77% effective against RSV-associated hospitalization at 130 to 210 days after receipt (Molin</w:t>
      </w:r>
      <w:r w:rsidR="0038680B">
        <w:rPr>
          <w:sz w:val="24"/>
          <w:szCs w:val="24"/>
        </w:rPr>
        <w:t>e</w:t>
      </w:r>
      <w:r>
        <w:rPr>
          <w:sz w:val="24"/>
          <w:szCs w:val="24"/>
        </w:rPr>
        <w:t xml:space="preserve"> et al., JAMA </w:t>
      </w:r>
      <w:proofErr w:type="spellStart"/>
      <w:r>
        <w:rPr>
          <w:sz w:val="24"/>
          <w:szCs w:val="24"/>
        </w:rPr>
        <w:t>Pediatr</w:t>
      </w:r>
      <w:proofErr w:type="spellEnd"/>
      <w:r>
        <w:rPr>
          <w:sz w:val="24"/>
          <w:szCs w:val="24"/>
        </w:rPr>
        <w:t xml:space="preserve"> 2026). These data suggest an extended window may be feasible for </w:t>
      </w:r>
      <w:proofErr w:type="spellStart"/>
      <w:r>
        <w:rPr>
          <w:sz w:val="24"/>
          <w:szCs w:val="24"/>
        </w:rPr>
        <w:t>nirsevimab</w:t>
      </w:r>
      <w:proofErr w:type="spellEnd"/>
      <w:r>
        <w:rPr>
          <w:sz w:val="24"/>
          <w:szCs w:val="24"/>
        </w:rPr>
        <w:t xml:space="preserve">, though further study is needed. </w:t>
      </w:r>
      <w:r>
        <w:rPr>
          <w:sz w:val="24"/>
          <w:szCs w:val="24"/>
        </w:rPr>
        <w:lastRenderedPageBreak/>
        <w:t xml:space="preserve">However, the recently approved </w:t>
      </w:r>
      <w:proofErr w:type="spellStart"/>
      <w:r>
        <w:rPr>
          <w:sz w:val="24"/>
          <w:szCs w:val="24"/>
        </w:rPr>
        <w:t>clesrovimab</w:t>
      </w:r>
      <w:proofErr w:type="spellEnd"/>
      <w:r>
        <w:rPr>
          <w:sz w:val="24"/>
          <w:szCs w:val="24"/>
        </w:rPr>
        <w:t xml:space="preserve"> has a substantially shorter half-life of approximately 44 days, meaning an 8-month window would likely exceed its durable protection period. We have added references 11 and 12 to support these statements.</w:t>
      </w:r>
    </w:p>
    <w:p w14:paraId="4CF45550" w14:textId="639A79B5" w:rsidR="00F85903" w:rsidRDefault="00000000">
      <w:pPr>
        <w:spacing w:after="120" w:line="276" w:lineRule="auto"/>
      </w:pPr>
      <w:r>
        <w:rPr>
          <w:i/>
          <w:iCs/>
          <w:sz w:val="24"/>
          <w:szCs w:val="24"/>
        </w:rPr>
        <w:t xml:space="preserve">Manuscript change: </w:t>
      </w:r>
      <w:r>
        <w:rPr>
          <w:sz w:val="24"/>
          <w:szCs w:val="24"/>
        </w:rPr>
        <w:t>Revised Discussion paragraph 2: “</w:t>
      </w:r>
      <w:r w:rsidR="00A73451">
        <w:rPr>
          <w:sz w:val="24"/>
          <w:szCs w:val="24"/>
        </w:rPr>
        <w:t>Fortunately,</w:t>
      </w:r>
      <w:r>
        <w:rPr>
          <w:sz w:val="24"/>
          <w:szCs w:val="24"/>
        </w:rPr>
        <w:t xml:space="preserve"> recent data demonstrate that </w:t>
      </w:r>
      <w:proofErr w:type="spellStart"/>
      <w:r>
        <w:rPr>
          <w:sz w:val="24"/>
          <w:szCs w:val="24"/>
        </w:rPr>
        <w:t>nirsevimab</w:t>
      </w:r>
      <w:proofErr w:type="spellEnd"/>
      <w:r>
        <w:rPr>
          <w:sz w:val="24"/>
          <w:szCs w:val="24"/>
        </w:rPr>
        <w:t xml:space="preserve"> maintains efficacy through at least 150-180 days (half-life ~71 days)</w:t>
      </w:r>
      <w:r w:rsidR="00A73451">
        <w:rPr>
          <w:sz w:val="24"/>
          <w:szCs w:val="24"/>
        </w:rPr>
        <w:t>. Therefore,</w:t>
      </w:r>
      <w:r>
        <w:rPr>
          <w:sz w:val="24"/>
          <w:szCs w:val="24"/>
        </w:rPr>
        <w:t xml:space="preserve"> an extended window may be feasible for </w:t>
      </w:r>
      <w:proofErr w:type="spellStart"/>
      <w:r>
        <w:rPr>
          <w:sz w:val="24"/>
          <w:szCs w:val="24"/>
        </w:rPr>
        <w:t>nirsevimab</w:t>
      </w:r>
      <w:proofErr w:type="spellEnd"/>
      <w:r>
        <w:rPr>
          <w:sz w:val="24"/>
          <w:szCs w:val="24"/>
        </w:rPr>
        <w:t xml:space="preserve">, though further study is needed. However, </w:t>
      </w:r>
      <w:proofErr w:type="spellStart"/>
      <w:r>
        <w:rPr>
          <w:sz w:val="24"/>
          <w:szCs w:val="24"/>
        </w:rPr>
        <w:t>clesrovimab</w:t>
      </w:r>
      <w:proofErr w:type="spellEnd"/>
      <w:r>
        <w:rPr>
          <w:sz w:val="24"/>
          <w:szCs w:val="24"/>
        </w:rPr>
        <w:t xml:space="preserve"> has a substantially shorter half-life (~44 days), and an 8-month window would likely exceed its durable protection period, raising questions about waning efficacy and the need to </w:t>
      </w:r>
      <w:proofErr w:type="spellStart"/>
      <w:r>
        <w:rPr>
          <w:sz w:val="24"/>
          <w:szCs w:val="24"/>
        </w:rPr>
        <w:t>redose</w:t>
      </w:r>
      <w:proofErr w:type="spellEnd"/>
      <w:r>
        <w:rPr>
          <w:sz w:val="24"/>
          <w:szCs w:val="24"/>
        </w:rPr>
        <w:t xml:space="preserve"> for the following season.” Added references 11 (HARMONIE trial) and 12 (Molina et al.).</w:t>
      </w:r>
    </w:p>
    <w:p w14:paraId="5479B1E8" w14:textId="77777777" w:rsidR="00F85903" w:rsidRDefault="00000000">
      <w:pPr>
        <w:spacing w:before="240" w:after="120" w:line="276" w:lineRule="auto"/>
      </w:pPr>
      <w:r>
        <w:rPr>
          <w:b/>
          <w:bCs/>
          <w:sz w:val="26"/>
          <w:szCs w:val="26"/>
        </w:rPr>
        <w:t>Comment 2: Comparison to other diseases (e.g., flu)</w:t>
      </w:r>
    </w:p>
    <w:p w14:paraId="5BAAF4EF" w14:textId="77777777" w:rsidR="00F85903" w:rsidRDefault="00000000">
      <w:pPr>
        <w:spacing w:after="80" w:line="276" w:lineRule="auto"/>
        <w:ind w:left="360"/>
      </w:pPr>
      <w:r>
        <w:rPr>
          <w:i/>
          <w:iCs/>
          <w:sz w:val="24"/>
          <w:szCs w:val="24"/>
        </w:rPr>
        <w:t>Is it possible to compare to other diseases - i.e., when flu vaccines are available?</w:t>
      </w:r>
    </w:p>
    <w:p w14:paraId="488364FE" w14:textId="77777777" w:rsidR="00F85903" w:rsidRDefault="00000000">
      <w:pPr>
        <w:spacing w:after="120" w:line="276" w:lineRule="auto"/>
      </w:pPr>
      <w:r>
        <w:rPr>
          <w:b/>
          <w:bCs/>
          <w:sz w:val="24"/>
          <w:szCs w:val="24"/>
        </w:rPr>
        <w:t xml:space="preserve">Response: </w:t>
      </w:r>
      <w:r>
        <w:rPr>
          <w:sz w:val="24"/>
          <w:szCs w:val="24"/>
        </w:rPr>
        <w:t>Thank you for this suggestion. The challenge of optimizing administration timing relative to seasonal disease activity is not unique to RSV prophylaxis. The most direct parallel is influenza vaccination, where intraseasonal waning of vaccine effectiveness has been well documented. Systematic reviews and meta-analyses have demonstrated progressive declines in influenza vaccine effectiveness over the course of a single season (Ferdinands et al., J Infect Dis 2017; Young et al., Lancet Microbe 2025). This evidence led ACIP to specifically recommend against July and August influenza vaccination for most adults, particularly those 65 years and older, due to concern that protection would wane before the end of the influenza season. ACIP instead advises September or October as the optimal vaccination window (</w:t>
      </w:r>
      <w:proofErr w:type="spellStart"/>
      <w:r>
        <w:rPr>
          <w:sz w:val="24"/>
          <w:szCs w:val="24"/>
        </w:rPr>
        <w:t>Grohskopf</w:t>
      </w:r>
      <w:proofErr w:type="spellEnd"/>
      <w:r>
        <w:rPr>
          <w:sz w:val="24"/>
          <w:szCs w:val="24"/>
        </w:rPr>
        <w:t xml:space="preserve"> et al., MMWR 2024). This is fundamentally the same tension we highlight for RSV: administering too early risks waning protection at the season’s end, while administering too late risks missing early-season cases. We have added a brief note in the Discussion referencing this parallel. A more detailed comparison is beyond the scope of this research letter.</w:t>
      </w:r>
    </w:p>
    <w:p w14:paraId="73C63AE3" w14:textId="0B1DE862" w:rsidR="00F85903" w:rsidRDefault="00000000">
      <w:pPr>
        <w:spacing w:after="120" w:line="276" w:lineRule="auto"/>
      </w:pPr>
      <w:r>
        <w:rPr>
          <w:i/>
          <w:iCs/>
          <w:sz w:val="24"/>
          <w:szCs w:val="24"/>
        </w:rPr>
        <w:t xml:space="preserve">Manuscript change: </w:t>
      </w:r>
      <w:r>
        <w:rPr>
          <w:sz w:val="24"/>
          <w:szCs w:val="24"/>
        </w:rPr>
        <w:t>Added to Discussion paragraph 2, within the sentence about maternal RSV vaccination: “...and parallel challenges seen with influenza vaccine timing</w:t>
      </w:r>
      <w:r w:rsidR="00AA3D0A">
        <w:rPr>
          <w:sz w:val="24"/>
          <w:szCs w:val="24"/>
        </w:rPr>
        <w:t xml:space="preserve"> due to waning immunity</w:t>
      </w:r>
      <w:r>
        <w:rPr>
          <w:sz w:val="24"/>
          <w:szCs w:val="24"/>
        </w:rPr>
        <w:t>.”</w:t>
      </w:r>
    </w:p>
    <w:p w14:paraId="16CE15C5" w14:textId="77777777" w:rsidR="00F85903" w:rsidRDefault="00000000">
      <w:pPr>
        <w:spacing w:before="240" w:after="120" w:line="276" w:lineRule="auto"/>
      </w:pPr>
      <w:r>
        <w:rPr>
          <w:b/>
          <w:bCs/>
          <w:sz w:val="26"/>
          <w:szCs w:val="26"/>
        </w:rPr>
        <w:t>Comment 3: Reference for goal capture %</w:t>
      </w:r>
    </w:p>
    <w:p w14:paraId="7B25F16B" w14:textId="77777777" w:rsidR="00F85903" w:rsidRDefault="00000000">
      <w:pPr>
        <w:spacing w:after="80" w:line="276" w:lineRule="auto"/>
        <w:ind w:left="360"/>
      </w:pPr>
      <w:r>
        <w:rPr>
          <w:i/>
          <w:iCs/>
          <w:sz w:val="24"/>
          <w:szCs w:val="24"/>
        </w:rPr>
        <w:t>Any reference re goal capture %?</w:t>
      </w:r>
    </w:p>
    <w:p w14:paraId="79AB8151" w14:textId="77777777" w:rsidR="00F85903" w:rsidRDefault="00000000">
      <w:pPr>
        <w:spacing w:after="120" w:line="276" w:lineRule="auto"/>
      </w:pPr>
      <w:r>
        <w:rPr>
          <w:b/>
          <w:bCs/>
          <w:sz w:val="24"/>
          <w:szCs w:val="24"/>
        </w:rPr>
        <w:t xml:space="preserve">Response: </w:t>
      </w:r>
      <w:r>
        <w:rPr>
          <w:sz w:val="24"/>
          <w:szCs w:val="24"/>
        </w:rPr>
        <w:t>To our knowledge, there is no established benchmark in the literature for what fraction of the RSV season an administration window should capture. Our analysis was designed to quantify the gap descriptively rather than compare against a predefined target. We believe establishing such a threshold would be an important area for future consensus work, but it is beyond the scope of this descriptive analysis. We have not added a specific target to the manuscript, as we do not want to imply a threshold that has not been formally established.</w:t>
      </w:r>
    </w:p>
    <w:p w14:paraId="438CEC66" w14:textId="77777777" w:rsidR="00F85903" w:rsidRDefault="00000000">
      <w:pPr>
        <w:spacing w:after="120" w:line="276" w:lineRule="auto"/>
      </w:pPr>
      <w:r>
        <w:rPr>
          <w:i/>
          <w:iCs/>
          <w:sz w:val="24"/>
          <w:szCs w:val="24"/>
        </w:rPr>
        <w:lastRenderedPageBreak/>
        <w:t xml:space="preserve">Manuscript change: </w:t>
      </w:r>
      <w:r>
        <w:rPr>
          <w:sz w:val="24"/>
          <w:szCs w:val="24"/>
        </w:rPr>
        <w:t>No change. We believe the data as presented (median ~5-7% out-of-window, up to 18% in some states) allows readers to draw their own conclusions about adequacy.</w:t>
      </w:r>
    </w:p>
    <w:p w14:paraId="1055D528" w14:textId="77777777" w:rsidR="00F85903" w:rsidRDefault="00000000">
      <w:pPr>
        <w:spacing w:before="240" w:after="120" w:line="276" w:lineRule="auto"/>
      </w:pPr>
      <w:r>
        <w:rPr>
          <w:b/>
          <w:bCs/>
          <w:sz w:val="26"/>
          <w:szCs w:val="26"/>
        </w:rPr>
        <w:t>Comment 4: Cost / number needed to treat</w:t>
      </w:r>
    </w:p>
    <w:p w14:paraId="47DF19AD" w14:textId="77777777" w:rsidR="00F85903" w:rsidRDefault="00000000">
      <w:pPr>
        <w:spacing w:after="80" w:line="276" w:lineRule="auto"/>
        <w:ind w:left="360"/>
      </w:pPr>
      <w:r>
        <w:rPr>
          <w:i/>
          <w:iCs/>
          <w:sz w:val="24"/>
          <w:szCs w:val="24"/>
        </w:rPr>
        <w:t>Limitation - no discussion re cost, number needed to treat.</w:t>
      </w:r>
    </w:p>
    <w:p w14:paraId="54E8D9E3" w14:textId="77777777" w:rsidR="00F85903" w:rsidRDefault="00000000">
      <w:pPr>
        <w:spacing w:after="120" w:line="276" w:lineRule="auto"/>
      </w:pPr>
      <w:r>
        <w:rPr>
          <w:b/>
          <w:bCs/>
          <w:sz w:val="24"/>
          <w:szCs w:val="24"/>
        </w:rPr>
        <w:t xml:space="preserve">Response: </w:t>
      </w:r>
      <w:r>
        <w:rPr>
          <w:sz w:val="24"/>
          <w:szCs w:val="24"/>
        </w:rPr>
        <w:t>We agree that a cost-effectiveness or number-needed-to-treat analysis would be a valuable complement to these findings. Given the constraints of the research letter format, a full economic analysis is beyond scope. We have, however, added an explicit acknowledgment of this limitation to the Discussion. We believe our descriptive findings provide the epidemiologic foundation upon which future cost-effectiveness analyses could be built.</w:t>
      </w:r>
    </w:p>
    <w:p w14:paraId="03FBC3B8" w14:textId="77777777" w:rsidR="00F85903" w:rsidRDefault="00000000">
      <w:pPr>
        <w:spacing w:after="120" w:line="276" w:lineRule="auto"/>
      </w:pPr>
      <w:r>
        <w:rPr>
          <w:i/>
          <w:iCs/>
          <w:sz w:val="24"/>
          <w:szCs w:val="24"/>
        </w:rPr>
        <w:t xml:space="preserve">Manuscript change: </w:t>
      </w:r>
      <w:r>
        <w:rPr>
          <w:sz w:val="24"/>
          <w:szCs w:val="24"/>
        </w:rPr>
        <w:t>Added to Discussion paragraph 2 (limitations): “Additionally, we do not perform a cost-effectiveness or number-needed-to-treat analysis, which would further inform whether adjusting the window is justified for states with modest out-of-window burden.”</w:t>
      </w:r>
    </w:p>
    <w:p w14:paraId="6C900CAF" w14:textId="77777777" w:rsidR="00F85903" w:rsidRDefault="00000000">
      <w:pPr>
        <w:spacing w:before="360" w:after="120" w:line="276" w:lineRule="auto"/>
      </w:pPr>
      <w:r>
        <w:rPr>
          <w:b/>
          <w:bCs/>
          <w:sz w:val="28"/>
          <w:szCs w:val="28"/>
          <w:u w:val="single"/>
        </w:rPr>
        <w:t>Reviewer 2</w:t>
      </w:r>
    </w:p>
    <w:p w14:paraId="6D43812B" w14:textId="77777777" w:rsidR="00F85903" w:rsidRDefault="00000000">
      <w:pPr>
        <w:spacing w:before="240" w:after="120" w:line="276" w:lineRule="auto"/>
      </w:pPr>
      <w:r>
        <w:rPr>
          <w:b/>
          <w:bCs/>
          <w:sz w:val="26"/>
          <w:szCs w:val="26"/>
        </w:rPr>
        <w:t>Comment 1: Implementation concerns (confusion, waning efficacy)</w:t>
      </w:r>
    </w:p>
    <w:p w14:paraId="51BF4887" w14:textId="77777777" w:rsidR="00F85903" w:rsidRDefault="00000000">
      <w:pPr>
        <w:spacing w:after="80" w:line="276" w:lineRule="auto"/>
        <w:ind w:left="360"/>
      </w:pPr>
      <w:r>
        <w:rPr>
          <w:i/>
          <w:iCs/>
          <w:sz w:val="24"/>
          <w:szCs w:val="24"/>
        </w:rPr>
        <w:t xml:space="preserve">These observations are interesting but raise questions about how they might impact implementation of RSV prophylaxis. Trying to begin earlier or extend prophylaxis may create confusion. Also, earlier administration based on long-acting monoclonal antibody </w:t>
      </w:r>
      <w:proofErr w:type="spellStart"/>
      <w:r>
        <w:rPr>
          <w:i/>
          <w:iCs/>
          <w:sz w:val="24"/>
          <w:szCs w:val="24"/>
        </w:rPr>
        <w:t>half life</w:t>
      </w:r>
      <w:proofErr w:type="spellEnd"/>
      <w:r>
        <w:rPr>
          <w:i/>
          <w:iCs/>
          <w:sz w:val="24"/>
          <w:szCs w:val="24"/>
        </w:rPr>
        <w:t xml:space="preserve"> may then lead to decreased efficacy and increased risk at the end of the season.</w:t>
      </w:r>
    </w:p>
    <w:p w14:paraId="324E5143" w14:textId="77777777" w:rsidR="00F85903" w:rsidRDefault="00000000">
      <w:pPr>
        <w:spacing w:after="120" w:line="276" w:lineRule="auto"/>
      </w:pPr>
      <w:r>
        <w:rPr>
          <w:b/>
          <w:bCs/>
          <w:sz w:val="24"/>
          <w:szCs w:val="24"/>
        </w:rPr>
        <w:t xml:space="preserve">Response: </w:t>
      </w:r>
      <w:r>
        <w:rPr>
          <w:sz w:val="24"/>
          <w:szCs w:val="24"/>
        </w:rPr>
        <w:t xml:space="preserve">We appreciate these thoughtful implementation concerns. We have addressed this by providing product-specific pharmacokinetic context. For </w:t>
      </w:r>
      <w:proofErr w:type="spellStart"/>
      <w:r>
        <w:rPr>
          <w:sz w:val="24"/>
          <w:szCs w:val="24"/>
        </w:rPr>
        <w:t>nirsevimab</w:t>
      </w:r>
      <w:proofErr w:type="spellEnd"/>
      <w:r>
        <w:rPr>
          <w:sz w:val="24"/>
          <w:szCs w:val="24"/>
        </w:rPr>
        <w:t xml:space="preserve"> (half-life ~71 days), recent trial and real-world data demonstrate sustained efficacy through at least 150-180 days, suggesting an extended window may be feasible for this product, though further study is needed. The reviewer’s concern is particularly relevant for </w:t>
      </w:r>
      <w:proofErr w:type="spellStart"/>
      <w:r>
        <w:rPr>
          <w:sz w:val="24"/>
          <w:szCs w:val="24"/>
        </w:rPr>
        <w:t>clesrovimab</w:t>
      </w:r>
      <w:proofErr w:type="spellEnd"/>
      <w:r>
        <w:rPr>
          <w:sz w:val="24"/>
          <w:szCs w:val="24"/>
        </w:rPr>
        <w:t xml:space="preserve"> (half-life ~44 days), where earlier dosing would more substantially increase the risk of waning protection at the tail end of the season. We have also emphasized that a dynamic, data-driven approach, rather than simply extending the fixed window, may be the most promising path forward and could avoid the confusion of a one-size-fits-all expansion.</w:t>
      </w:r>
    </w:p>
    <w:p w14:paraId="0190589A" w14:textId="77777777" w:rsidR="00F85903" w:rsidRDefault="00000000">
      <w:pPr>
        <w:spacing w:after="120" w:line="276" w:lineRule="auto"/>
      </w:pPr>
      <w:r>
        <w:rPr>
          <w:i/>
          <w:iCs/>
          <w:sz w:val="24"/>
          <w:szCs w:val="24"/>
        </w:rPr>
        <w:t xml:space="preserve">Manuscript change: </w:t>
      </w:r>
      <w:r>
        <w:rPr>
          <w:sz w:val="24"/>
          <w:szCs w:val="24"/>
        </w:rPr>
        <w:t>The expanded durability discussion with product-specific half-lives (see Reviewer 1, Comment 1) and the concluding sentence about “data-driven, potentially dynamic approaches” directly address these concerns.</w:t>
      </w:r>
    </w:p>
    <w:p w14:paraId="19A3B695" w14:textId="77777777" w:rsidR="00F85903" w:rsidRDefault="00000000">
      <w:pPr>
        <w:spacing w:before="240" w:after="120" w:line="276" w:lineRule="auto"/>
      </w:pPr>
      <w:r>
        <w:rPr>
          <w:b/>
          <w:bCs/>
          <w:sz w:val="26"/>
          <w:szCs w:val="26"/>
        </w:rPr>
        <w:t>Comment 2: NNT / cost-benefit analysis</w:t>
      </w:r>
    </w:p>
    <w:p w14:paraId="38A0332B" w14:textId="77777777" w:rsidR="00F85903" w:rsidRDefault="00000000">
      <w:pPr>
        <w:spacing w:after="80" w:line="276" w:lineRule="auto"/>
        <w:ind w:left="360"/>
      </w:pPr>
      <w:r>
        <w:rPr>
          <w:i/>
          <w:iCs/>
          <w:sz w:val="24"/>
          <w:szCs w:val="24"/>
        </w:rPr>
        <w:lastRenderedPageBreak/>
        <w:t>Based on the percentages outside the October to March window, a number needed to treat cost benefit analysis might be helpful in determining the potential benefit of adjusting prophylaxis based on local real time epidemiology.</w:t>
      </w:r>
    </w:p>
    <w:p w14:paraId="74D7D112" w14:textId="77777777" w:rsidR="00F85903" w:rsidRDefault="00000000">
      <w:pPr>
        <w:spacing w:after="120" w:line="276" w:lineRule="auto"/>
      </w:pPr>
      <w:r>
        <w:rPr>
          <w:b/>
          <w:bCs/>
          <w:sz w:val="24"/>
          <w:szCs w:val="24"/>
        </w:rPr>
        <w:t xml:space="preserve">Response: </w:t>
      </w:r>
      <w:r>
        <w:rPr>
          <w:sz w:val="24"/>
          <w:szCs w:val="24"/>
        </w:rPr>
        <w:t>We fully agree and have acknowledged this as a limitation and important future direction (see our response to Reviewer 1, Comment 4 above). The epidemiologic data we present here are intended to provide the foundation for exactly this type of analysis.</w:t>
      </w:r>
    </w:p>
    <w:p w14:paraId="167C9CF9" w14:textId="77777777" w:rsidR="00F85903" w:rsidRDefault="00000000">
      <w:pPr>
        <w:spacing w:after="120" w:line="276" w:lineRule="auto"/>
      </w:pPr>
      <w:r>
        <w:rPr>
          <w:i/>
          <w:iCs/>
          <w:sz w:val="24"/>
          <w:szCs w:val="24"/>
        </w:rPr>
        <w:t xml:space="preserve">Manuscript change: </w:t>
      </w:r>
      <w:r>
        <w:rPr>
          <w:sz w:val="24"/>
          <w:szCs w:val="24"/>
        </w:rPr>
        <w:t>See Reviewer 1, Comment 4 above.</w:t>
      </w:r>
    </w:p>
    <w:p w14:paraId="459EB27B" w14:textId="77777777" w:rsidR="00F85903" w:rsidRDefault="00000000">
      <w:pPr>
        <w:spacing w:before="240" w:after="120" w:line="276" w:lineRule="auto"/>
      </w:pPr>
      <w:r>
        <w:rPr>
          <w:b/>
          <w:bCs/>
          <w:sz w:val="26"/>
          <w:szCs w:val="26"/>
        </w:rPr>
        <w:t>Comment 3: Generalize terminology</w:t>
      </w:r>
    </w:p>
    <w:p w14:paraId="7431F119" w14:textId="77777777" w:rsidR="00F85903" w:rsidRDefault="00000000">
      <w:pPr>
        <w:spacing w:after="80" w:line="276" w:lineRule="auto"/>
        <w:ind w:left="360"/>
      </w:pPr>
      <w:r>
        <w:rPr>
          <w:i/>
          <w:iCs/>
          <w:sz w:val="24"/>
          <w:szCs w:val="24"/>
        </w:rPr>
        <w:t>There are now 2 FDA approved long-acting monoclonal antibodies (</w:t>
      </w:r>
      <w:proofErr w:type="spellStart"/>
      <w:r>
        <w:rPr>
          <w:i/>
          <w:iCs/>
          <w:sz w:val="24"/>
          <w:szCs w:val="24"/>
        </w:rPr>
        <w:t>nirsevimab</w:t>
      </w:r>
      <w:proofErr w:type="spellEnd"/>
      <w:r>
        <w:rPr>
          <w:i/>
          <w:iCs/>
          <w:sz w:val="24"/>
          <w:szCs w:val="24"/>
        </w:rPr>
        <w:t xml:space="preserve"> and </w:t>
      </w:r>
      <w:proofErr w:type="spellStart"/>
      <w:r>
        <w:rPr>
          <w:i/>
          <w:iCs/>
          <w:sz w:val="24"/>
          <w:szCs w:val="24"/>
        </w:rPr>
        <w:t>clesrovimab</w:t>
      </w:r>
      <w:proofErr w:type="spellEnd"/>
      <w:r>
        <w:rPr>
          <w:i/>
          <w:iCs/>
          <w:sz w:val="24"/>
          <w:szCs w:val="24"/>
        </w:rPr>
        <w:t xml:space="preserve">) with the same indication for RSV prophylaxis. Thus, maybe the </w:t>
      </w:r>
      <w:proofErr w:type="spellStart"/>
      <w:r>
        <w:rPr>
          <w:i/>
          <w:iCs/>
          <w:sz w:val="24"/>
          <w:szCs w:val="24"/>
        </w:rPr>
        <w:t>nirsevimab</w:t>
      </w:r>
      <w:proofErr w:type="spellEnd"/>
      <w:r>
        <w:rPr>
          <w:i/>
          <w:iCs/>
          <w:sz w:val="24"/>
          <w:szCs w:val="24"/>
        </w:rPr>
        <w:t xml:space="preserve"> might be replaced with “long-acting anti-RSV monoclonal antibody prophylaxis.”</w:t>
      </w:r>
    </w:p>
    <w:p w14:paraId="3AFB32CF" w14:textId="77777777" w:rsidR="00F85903" w:rsidRDefault="00000000">
      <w:pPr>
        <w:spacing w:after="120" w:line="276" w:lineRule="auto"/>
      </w:pPr>
      <w:r>
        <w:rPr>
          <w:b/>
          <w:bCs/>
          <w:sz w:val="24"/>
          <w:szCs w:val="24"/>
        </w:rPr>
        <w:t xml:space="preserve">Response: </w:t>
      </w:r>
      <w:r>
        <w:rPr>
          <w:sz w:val="24"/>
          <w:szCs w:val="24"/>
        </w:rPr>
        <w:t xml:space="preserve">Excellent point. Given the June 2025 FDA approval of </w:t>
      </w:r>
      <w:proofErr w:type="spellStart"/>
      <w:r>
        <w:rPr>
          <w:sz w:val="24"/>
          <w:szCs w:val="24"/>
        </w:rPr>
        <w:t>clesrovimab</w:t>
      </w:r>
      <w:proofErr w:type="spellEnd"/>
      <w:r>
        <w:rPr>
          <w:sz w:val="24"/>
          <w:szCs w:val="24"/>
        </w:rPr>
        <w:t xml:space="preserve"> (</w:t>
      </w:r>
      <w:proofErr w:type="spellStart"/>
      <w:r>
        <w:rPr>
          <w:sz w:val="24"/>
          <w:szCs w:val="24"/>
        </w:rPr>
        <w:t>Enflonsia</w:t>
      </w:r>
      <w:proofErr w:type="spellEnd"/>
      <w:r>
        <w:rPr>
          <w:sz w:val="24"/>
          <w:szCs w:val="24"/>
        </w:rPr>
        <w:t>), we have revised the manuscript to use more general terminology where appropriate. Specifically, we have: (1) updated the title to reference “Recommended RSV Prophylaxis” rather than “</w:t>
      </w:r>
      <w:proofErr w:type="spellStart"/>
      <w:r>
        <w:rPr>
          <w:sz w:val="24"/>
          <w:szCs w:val="24"/>
        </w:rPr>
        <w:t>Nirsevimab</w:t>
      </w:r>
      <w:proofErr w:type="spellEnd"/>
      <w:r>
        <w:rPr>
          <w:sz w:val="24"/>
          <w:szCs w:val="24"/>
        </w:rPr>
        <w:t xml:space="preserve">”; (2) revised the Introduction to reference both </w:t>
      </w:r>
      <w:proofErr w:type="spellStart"/>
      <w:r>
        <w:rPr>
          <w:sz w:val="24"/>
          <w:szCs w:val="24"/>
        </w:rPr>
        <w:t>nirsevimab</w:t>
      </w:r>
      <w:proofErr w:type="spellEnd"/>
      <w:r>
        <w:rPr>
          <w:sz w:val="24"/>
          <w:szCs w:val="24"/>
        </w:rPr>
        <w:t xml:space="preserve"> and </w:t>
      </w:r>
      <w:proofErr w:type="spellStart"/>
      <w:r>
        <w:rPr>
          <w:sz w:val="24"/>
          <w:szCs w:val="24"/>
        </w:rPr>
        <w:t>clesrovimab</w:t>
      </w:r>
      <w:proofErr w:type="spellEnd"/>
      <w:r>
        <w:rPr>
          <w:sz w:val="24"/>
          <w:szCs w:val="24"/>
        </w:rPr>
        <w:t xml:space="preserve"> as long-acting monoclonal antibodies; (3) updated figure captions and Discussion text to use “long-acting monoclonal antibodies” or “RSV prophylaxis” where appropriate. We have retained specific product names where clinically relevant (e.g., when discussing product-specific pharmacokinetic data and in reference citations).</w:t>
      </w:r>
    </w:p>
    <w:p w14:paraId="51D90A3D" w14:textId="77777777" w:rsidR="00F85903" w:rsidRDefault="00000000">
      <w:pPr>
        <w:spacing w:after="120" w:line="276" w:lineRule="auto"/>
      </w:pPr>
      <w:r>
        <w:rPr>
          <w:i/>
          <w:iCs/>
          <w:sz w:val="24"/>
          <w:szCs w:val="24"/>
        </w:rPr>
        <w:t xml:space="preserve">Manuscript changes: </w:t>
      </w:r>
      <w:r>
        <w:rPr>
          <w:sz w:val="24"/>
          <w:szCs w:val="24"/>
        </w:rPr>
        <w:t xml:space="preserve">Title changed from “...Outside the </w:t>
      </w:r>
      <w:proofErr w:type="spellStart"/>
      <w:r>
        <w:rPr>
          <w:sz w:val="24"/>
          <w:szCs w:val="24"/>
        </w:rPr>
        <w:t>Nirsevimab</w:t>
      </w:r>
      <w:proofErr w:type="spellEnd"/>
      <w:r>
        <w:rPr>
          <w:sz w:val="24"/>
          <w:szCs w:val="24"/>
        </w:rPr>
        <w:t xml:space="preserve"> Administration Window” to “...Outside the Recommended RSV Prophylaxis Administration Window.” Introduction revised to mention both products. Figure captions, supplement, and Discussion updated throughout.</w:t>
      </w:r>
    </w:p>
    <w:sectPr w:rsidR="00F859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1A0"/>
    <w:multiLevelType w:val="hybridMultilevel"/>
    <w:tmpl w:val="AC968E3A"/>
    <w:lvl w:ilvl="0" w:tplc="BB762FE2">
      <w:start w:val="1"/>
      <w:numFmt w:val="bullet"/>
      <w:lvlText w:val="●"/>
      <w:lvlJc w:val="left"/>
      <w:pPr>
        <w:ind w:left="720" w:hanging="360"/>
      </w:pPr>
    </w:lvl>
    <w:lvl w:ilvl="1" w:tplc="52200A0C">
      <w:start w:val="1"/>
      <w:numFmt w:val="bullet"/>
      <w:lvlText w:val="○"/>
      <w:lvlJc w:val="left"/>
      <w:pPr>
        <w:ind w:left="1440" w:hanging="360"/>
      </w:pPr>
    </w:lvl>
    <w:lvl w:ilvl="2" w:tplc="DB82A8A6">
      <w:start w:val="1"/>
      <w:numFmt w:val="bullet"/>
      <w:lvlText w:val="■"/>
      <w:lvlJc w:val="left"/>
      <w:pPr>
        <w:ind w:left="2160" w:hanging="360"/>
      </w:pPr>
    </w:lvl>
    <w:lvl w:ilvl="3" w:tplc="5A18D1BE">
      <w:start w:val="1"/>
      <w:numFmt w:val="bullet"/>
      <w:lvlText w:val="●"/>
      <w:lvlJc w:val="left"/>
      <w:pPr>
        <w:ind w:left="2880" w:hanging="360"/>
      </w:pPr>
    </w:lvl>
    <w:lvl w:ilvl="4" w:tplc="1DA24FFC">
      <w:start w:val="1"/>
      <w:numFmt w:val="bullet"/>
      <w:lvlText w:val="○"/>
      <w:lvlJc w:val="left"/>
      <w:pPr>
        <w:ind w:left="3600" w:hanging="360"/>
      </w:pPr>
    </w:lvl>
    <w:lvl w:ilvl="5" w:tplc="C944D07C">
      <w:start w:val="1"/>
      <w:numFmt w:val="bullet"/>
      <w:lvlText w:val="■"/>
      <w:lvlJc w:val="left"/>
      <w:pPr>
        <w:ind w:left="4320" w:hanging="360"/>
      </w:pPr>
    </w:lvl>
    <w:lvl w:ilvl="6" w:tplc="A9F00A40">
      <w:start w:val="1"/>
      <w:numFmt w:val="bullet"/>
      <w:lvlText w:val="●"/>
      <w:lvlJc w:val="left"/>
      <w:pPr>
        <w:ind w:left="5040" w:hanging="360"/>
      </w:pPr>
    </w:lvl>
    <w:lvl w:ilvl="7" w:tplc="BC2C94F4">
      <w:start w:val="1"/>
      <w:numFmt w:val="bullet"/>
      <w:lvlText w:val="●"/>
      <w:lvlJc w:val="left"/>
      <w:pPr>
        <w:ind w:left="5760" w:hanging="360"/>
      </w:pPr>
    </w:lvl>
    <w:lvl w:ilvl="8" w:tplc="BB9A7EE2">
      <w:start w:val="1"/>
      <w:numFmt w:val="bullet"/>
      <w:lvlText w:val="●"/>
      <w:lvlJc w:val="left"/>
      <w:pPr>
        <w:ind w:left="6480" w:hanging="360"/>
      </w:pPr>
    </w:lvl>
  </w:abstractNum>
  <w:num w:numId="1" w16cid:durableId="680156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903"/>
    <w:rsid w:val="000E63E1"/>
    <w:rsid w:val="0038680B"/>
    <w:rsid w:val="00573804"/>
    <w:rsid w:val="00A73451"/>
    <w:rsid w:val="00AA3D0A"/>
    <w:rsid w:val="00DF21A7"/>
    <w:rsid w:val="00F85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752BC4"/>
  <w15:docId w15:val="{10EF4504-E1C4-2C4F-A29E-63724226A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1418</Words>
  <Characters>8083</Characters>
  <Application>Microsoft Office Word</Application>
  <DocSecurity>0</DocSecurity>
  <Lines>67</Lines>
  <Paragraphs>18</Paragraphs>
  <ScaleCrop>false</ScaleCrop>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Austin Meyer</cp:lastModifiedBy>
  <cp:revision>6</cp:revision>
  <dcterms:created xsi:type="dcterms:W3CDTF">2026-03-27T02:34:00Z</dcterms:created>
  <dcterms:modified xsi:type="dcterms:W3CDTF">2026-03-27T02:57:00Z</dcterms:modified>
</cp:coreProperties>
</file>