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PREP Statistics – Lecture 25–26 (Part 2): Question Plan &amp; Rationale</w:t>
      </w:r>
    </w:p>
    <w:p>
      <w:r>
        <w:t>This plan removes the 10 questions covered in Lecture 1 (Original Q# 4, 5, 1, 2, 3, 8, 9, 6, 7, 26) and sequences a new set of 10 questions to build from measurement validity into hypothesis testing, test selection, effect size, confidence intervals, and survival analysis.</w:t>
      </w:r>
    </w:p>
    <w:p>
      <w:pPr>
        <w:pStyle w:val="Heading1"/>
      </w:pPr>
      <w:r>
        <w:t>Part 1: Validity &amp; Reliability (Measurement Foundations)</w:t>
      </w:r>
    </w:p>
    <w:p>
      <w:pPr>
        <w:pStyle w:val="ListNumber"/>
      </w:pPr>
      <w:r>
        <w:t>Question 11: Reliability vs Validity (Inter‑rater reliability)</w:t>
      </w:r>
    </w:p>
    <w:p>
      <w:r>
        <w:t>We open Lecture 2 by tightening measurement foundations—how consistent are tools between raters—before talking about whether results generalize.</w:t>
      </w:r>
    </w:p>
    <w:p>
      <w:r>
        <w:t>Key teaching hooks:</w:t>
      </w:r>
    </w:p>
    <w:p>
      <w:r>
        <w:t>• Differentiate reliability (repeatability) vs validity (truth).</w:t>
      </w:r>
    </w:p>
    <w:p>
      <w:r>
        <w:t>• Name three reliability types: test–retest, internal consistency, inter‑rater.</w:t>
      </w:r>
    </w:p>
    <w:p>
      <w:r>
        <w:t>Where it appears in the deck: introduce as a clinical vignette, give think‑time, then reveal answer and teaching points.</w:t>
      </w:r>
    </w:p>
    <w:p>
      <w:pPr>
        <w:pStyle w:val="ListNumber"/>
      </w:pPr>
      <w:r>
        <w:t>Question 12: External Validity (Generalizability)</w:t>
      </w:r>
    </w:p>
    <w:p>
      <w:r>
        <w:t>Immediately after reliability, we ask: do results apply to our patients? This sets up external vs internal validity trade‑offs.</w:t>
      </w:r>
    </w:p>
    <w:p>
      <w:r>
        <w:t>Key teaching hooks:</w:t>
      </w:r>
    </w:p>
    <w:p>
      <w:r>
        <w:t>• Contrast external vs internal validity; why RCTs may trade breadth for rigor.</w:t>
      </w:r>
    </w:p>
    <w:p>
      <w:r>
        <w:t>• Map the vignette to generalizability limits (setting, eligibility).</w:t>
      </w:r>
    </w:p>
    <w:p>
      <w:r>
        <w:t>Where it appears in the deck: introduce as a clinical vignette, give think‑time, then reveal answer and teaching points.</w:t>
      </w:r>
    </w:p>
    <w:p>
      <w:pPr>
        <w:pStyle w:val="Heading1"/>
      </w:pPr>
      <w:r>
        <w:t>Part 2: Hypothesis Testing &amp; Error (What “significant” means)</w:t>
      </w:r>
    </w:p>
    <w:p>
      <w:pPr>
        <w:pStyle w:val="ListNumber"/>
      </w:pPr>
      <w:r>
        <w:t>Question 21: P‑values &amp; Rejecting the Null</w:t>
      </w:r>
    </w:p>
    <w:p>
      <w:r>
        <w:t>With validity in place, we revisit hypothesis testing—what a p‑value means and, critically, what it does not.</w:t>
      </w:r>
    </w:p>
    <w:p>
      <w:r>
        <w:t>Key teaching hooks:</w:t>
      </w:r>
    </w:p>
    <w:p>
      <w:r>
        <w:t>• P is P(Data | H0), not P(H0 | Data).</w:t>
      </w:r>
    </w:p>
    <w:p>
      <w:r>
        <w:t>• P&lt;0.05 ≠ effect size; bring up magnitude vs significance.</w:t>
      </w:r>
    </w:p>
    <w:p>
      <w:r>
        <w:t>Where it appears in the deck: introduce as a clinical vignette, give think‑time, then reveal answer and teaching points.</w:t>
      </w:r>
    </w:p>
    <w:p>
      <w:pPr>
        <w:pStyle w:val="ListNumber"/>
      </w:pPr>
      <w:r>
        <w:t>Question 17: Power &amp; Type II Error (β)</w:t>
      </w:r>
    </w:p>
    <w:p>
      <w:r>
        <w:t>From p‑values to power: how study design choices (sample size/effect size) change the chance of missing a real effect (β).</w:t>
      </w:r>
    </w:p>
    <w:p>
      <w:r>
        <w:t>Key teaching hooks:</w:t>
      </w:r>
    </w:p>
    <w:p>
      <w:r>
        <w:t>• Power = 1−β; how low power inflates false‑negative risk.</w:t>
      </w:r>
    </w:p>
    <w:p>
      <w:r>
        <w:t>• Levers: sample size, α, effect size, variance.</w:t>
      </w:r>
    </w:p>
    <w:p>
      <w:r>
        <w:t>Where it appears in the deck: introduce as a clinical vignette, give think‑time, then reveal answer and teaching points.</w:t>
      </w:r>
    </w:p>
    <w:p>
      <w:pPr>
        <w:pStyle w:val="ListNumber"/>
      </w:pPr>
      <w:r>
        <w:t>Question 13: Type I vs Type II Errors—Null not rejected</w:t>
      </w:r>
    </w:p>
    <w:p>
      <w:r>
        <w:t>A second look at Type I/II errors using a different vignette reinforces the error taxonomy residents will see in papers.</w:t>
      </w:r>
    </w:p>
    <w:p>
      <w:r>
        <w:t>Key teaching hooks:</w:t>
      </w:r>
    </w:p>
    <w:p>
      <w:r>
        <w:t>• Type II error when failing to reject H0 though a difference exists.</w:t>
      </w:r>
    </w:p>
    <w:p>
      <w:r>
        <w:t>• Link to repeat‑study success with larger N.</w:t>
      </w:r>
    </w:p>
    <w:p>
      <w:r>
        <w:t>Where it appears in the deck: introduce as a clinical vignette, give think‑time, then reveal answer and teaching points.</w:t>
      </w:r>
    </w:p>
    <w:p>
      <w:pPr>
        <w:pStyle w:val="Heading1"/>
      </w:pPr>
      <w:r>
        <w:t>Part 3: Choosing the Right Test</w:t>
      </w:r>
    </w:p>
    <w:p>
      <w:pPr>
        <w:pStyle w:val="ListNumber"/>
      </w:pPr>
      <w:r>
        <w:t>Question 28: Comparing &gt;2 Means (ANOVA)</w:t>
      </w:r>
    </w:p>
    <w:p>
      <w:r>
        <w:t>We move into test selection—when there are &gt;2 groups and a continuous outcome, ANOVA is the workhorse.</w:t>
      </w:r>
    </w:p>
    <w:p>
      <w:r>
        <w:t>Key teaching hooks:</w:t>
      </w:r>
    </w:p>
    <w:p>
      <w:r>
        <w:t>• &gt;2 groups + continuous outcome ⇒ ANOVA (normality assumption).</w:t>
      </w:r>
    </w:p>
    <w:p>
      <w:r>
        <w:t>• When non‑parametric: Kruskal–Wallis.</w:t>
      </w:r>
    </w:p>
    <w:p>
      <w:r>
        <w:t>Where it appears in the deck: introduce as a clinical vignette, give think‑time, then reveal answer and teaching points.</w:t>
      </w:r>
    </w:p>
    <w:p>
      <w:pPr>
        <w:pStyle w:val="ListNumber"/>
      </w:pPr>
      <w:r>
        <w:t>Question 34: Comparing Proportions (Chi‑square)</w:t>
      </w:r>
    </w:p>
    <w:p>
      <w:r>
        <w:t>Then the parallel for categorical outcomes: chi‑square for independent groups and proportions.</w:t>
      </w:r>
    </w:p>
    <w:p>
      <w:r>
        <w:t>Key teaching hooks:</w:t>
      </w:r>
    </w:p>
    <w:p>
      <w:r>
        <w:t>• Independent groups + categorical outcome ⇒ χ² (or Fisher if small counts).</w:t>
      </w:r>
    </w:p>
    <w:p>
      <w:r>
        <w:t>• Differentiate χ² vs McNemar (paired).</w:t>
      </w:r>
    </w:p>
    <w:p>
      <w:r>
        <w:t>Where it appears in the deck: introduce as a clinical vignette, give think‑time, then reveal answer and teaching points.</w:t>
      </w:r>
    </w:p>
    <w:p>
      <w:pPr>
        <w:pStyle w:val="Heading1"/>
      </w:pPr>
      <w:r>
        <w:t>Part 4: Effect Size &amp; Precision</w:t>
      </w:r>
    </w:p>
    <w:p>
      <w:pPr>
        <w:pStyle w:val="ListNumber"/>
      </w:pPr>
      <w:r>
        <w:t>Question 29: Effect Size: Absolute Risk Reduction &amp; NNT</w:t>
      </w:r>
    </w:p>
    <w:p>
      <w:r>
        <w:t>After significance, we teach clinical significance with effect size—ARR and the intuitive NNT.</w:t>
      </w:r>
    </w:p>
    <w:p>
      <w:r>
        <w:t>Key teaching hooks:</w:t>
      </w:r>
    </w:p>
    <w:p>
      <w:r>
        <w:t>• Compute ARR then NNT = 1/ARR.</w:t>
      </w:r>
    </w:p>
    <w:p>
      <w:r>
        <w:t>• Discuss time horizon and patient‑important outcomes.</w:t>
      </w:r>
    </w:p>
    <w:p>
      <w:r>
        <w:t>Where it appears in the deck: introduce as a clinical vignette, give think‑time, then reveal answer and teaching points.</w:t>
      </w:r>
    </w:p>
    <w:p>
      <w:pPr>
        <w:pStyle w:val="ListNumber"/>
      </w:pPr>
      <w:r>
        <w:t>Question 39: Confidence Intervals (Meaning &amp; Misinterpretations)</w:t>
      </w:r>
    </w:p>
    <w:p>
      <w:r>
        <w:t>Next, precision and practical significance: interpreting 95% CIs and avoiding common pitfalls.</w:t>
      </w:r>
    </w:p>
    <w:p>
      <w:r>
        <w:t>Key teaching hooks:</w:t>
      </w:r>
    </w:p>
    <w:p>
      <w:r>
        <w:t>• 95% CI = precision around estimate; overlapping CIs and significance.</w:t>
      </w:r>
    </w:p>
    <w:p>
      <w:r>
        <w:t>• CI ≠ ‘95% of values’; avoid misreads.</w:t>
      </w:r>
    </w:p>
    <w:p>
      <w:r>
        <w:t>Where it appears in the deck: introduce as a clinical vignette, give think‑time, then reveal answer and teaching points.</w:t>
      </w:r>
    </w:p>
    <w:p>
      <w:pPr>
        <w:pStyle w:val="Heading1"/>
      </w:pPr>
      <w:r>
        <w:t>Part 5: Time‑to‑Event Thinking</w:t>
      </w:r>
    </w:p>
    <w:p>
      <w:pPr>
        <w:pStyle w:val="ListNumber"/>
      </w:pPr>
      <w:r>
        <w:t>Question 37: Time‑to‑Event: Kaplan–Meier &amp; Censoring</w:t>
      </w:r>
    </w:p>
    <w:p>
      <w:r>
        <w:t>We finish with survival analysis—the right tool when outcomes occur over time with censoring.</w:t>
      </w:r>
    </w:p>
    <w:p>
      <w:r>
        <w:t>Key teaching hooks:</w:t>
      </w:r>
    </w:p>
    <w:p>
      <w:r>
        <w:t>• Kaplan–Meier steps, censoring types, log‑rank test.</w:t>
      </w:r>
    </w:p>
    <w:p>
      <w:r>
        <w:t>• Hazard ratio vs risk ratio intuition.</w:t>
      </w:r>
    </w:p>
    <w:p>
      <w:r>
        <w:t>Where it appears in the deck: introduce as a clinical vignette, give think‑time, then reveal answer and teaching points.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