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Domestic Aviation — Phase 1 Calibration Report</w:t>
      </w:r>
    </w:p>
    <w:p>
      <w:pPr>
        <w:jc w:val="center"/>
      </w:pPr>
      <w:r>
        <w:rPr>
          <w:i/>
        </w:rPr>
        <w:t>Family: domestic_aviation   |   Generated: 2026-05-02   |   Unit: million_pkm</w:t>
      </w:r>
    </w:p>
    <w:p/>
    <w:p>
      <w:pPr>
        <w:pStyle w:val="Heading1"/>
      </w:pPr>
      <w:r>
        <w:t>1. Calibration Basis</w:t>
      </w:r>
    </w:p>
    <w:p>
      <w:r>
        <w:rPr>
          <w:b/>
        </w:rPr>
        <w:t xml:space="preserve">Demand anchor. </w:t>
      </w:r>
      <w:r>
        <w:t>The 2025 baseline demand is anchored at 75,500 million_pkm.</w:t>
      </w:r>
    </w:p>
    <w:p>
      <w:r>
        <w:rPr>
          <w:b/>
        </w:rPr>
        <w:t xml:space="preserve">Energy calibration. </w:t>
      </w:r>
      <w:r>
        <w:t>Total final energy at the 2025 anchor is 85.0 PJ (AES 2023-24). This gives an energy intensity of 1,126.0 GJ/million_pkm. Input fuels: aviation_turbine_fuel.</w:t>
      </w:r>
    </w:p>
    <w:p>
      <w:r>
        <w:rPr>
          <w:b/>
        </w:rPr>
        <w:t xml:space="preserve">Emissions calibration. </w:t>
      </w:r>
      <w:r>
        <w:t>Scope 1 CO2e at the anchor equals 6.1 MtCO2e (Cat 1A3a domestic aviation). This uses NGA 2024 emission factors and IPCC AR5 GWP100. Electricity-related emissions are excluded (scope 2 boundary, per A003).</w:t>
      </w:r>
    </w:p>
    <w:p>
      <w:pPr>
        <w:pStyle w:val="Heading1"/>
      </w:pPr>
      <w:r>
        <w:t>2. Technology States</w:t>
      </w:r>
    </w:p>
    <w:p>
      <w:pPr>
        <w:pStyle w:val="Heading2"/>
      </w:pPr>
      <w:r>
        <w:t>Conventional jet</w:t>
      </w:r>
    </w:p>
    <w:p>
      <w:r>
        <w:t>State ID: domestic_aviation__conventional_jet. Classification: incumbent. Max share range: 100% (2025) to 60% (2050). Cost: AUD 0.05/million_pkm (2024 real). Energy trajectory: 1126.0 → 1000.0 GJ/million_pkm.</w:t>
      </w:r>
    </w:p>
    <w:p>
      <w:pPr>
        <w:pStyle w:val="Heading2"/>
      </w:pPr>
      <w:r>
        <w:t>SAF blend</w:t>
      </w:r>
    </w:p>
    <w:p>
      <w:r>
        <w:t>State ID: domestic_aviation__saf_blend. Classification: progression. Max share range: 2% (2025) to 60% (2050). Cost: AUD 0.08/million_pkm (2024 real). Energy trajectory: ATF+SAF blend 5%→100% SAF.</w:t>
      </w:r>
    </w:p>
    <w:p>
      <w:pPr>
        <w:pStyle w:val="Heading2"/>
      </w:pPr>
      <w:r>
        <w:t>Battery-electric short-haul</w:t>
      </w:r>
    </w:p>
    <w:p>
      <w:r>
        <w:t>State ID: domestic_aviation__electric_short_haul. Classification: progression. Max share range: 0% (2025) to 20% (2050). Cost: AUD 0.12/million_pkm (2024 real). Energy trajectory: 360.0 → 280.0 GJ/million_pkm.</w:t>
      </w:r>
    </w:p>
    <w:p>
      <w:pPr>
        <w:pStyle w:val="Heading1"/>
      </w:pPr>
      <w:r>
        <w:t>3. Key Assumptions</w:t>
      </w:r>
    </w:p>
    <w:p>
      <w:pPr>
        <w:pStyle w:val="ListBullet"/>
      </w:pPr>
      <w:r>
        <w:t>Demand anchor: 75,500 million_pkm (BITRE Aviation Statistical Report 2023-24)</w:t>
      </w:r>
    </w:p>
    <w:p>
      <w:pPr>
        <w:pStyle w:val="ListBullet"/>
      </w:pPr>
      <w:r>
        <w:t>Energy intensity: 85 PJ / 75,500 million_pkm = 1,126 GJ/million_pkm (AES 2023-24)</w:t>
      </w:r>
    </w:p>
    <w:p>
      <w:pPr>
        <w:pStyle w:val="ListBullet"/>
      </w:pPr>
      <w:r>
        <w:t>100% aviation turbine fuel in incumbent state</w:t>
      </w:r>
    </w:p>
    <w:p>
      <w:pPr>
        <w:pStyle w:val="ListBullet"/>
      </w:pPr>
      <w:r>
        <w:t>SAF biogenic CO2 excluded from scope 1 per NGA accounting</w:t>
      </w:r>
    </w:p>
    <w:p>
      <w:pPr>
        <w:pStyle w:val="ListBullet"/>
      </w:pPr>
      <w:r>
        <w:t>Electricity-related emissions excluded per A003 (scope 1 only)</w:t>
      </w:r>
    </w:p>
    <w:p>
      <w:pPr>
        <w:pStyle w:val="ListBullet"/>
      </w:pPr>
      <w:r>
        <w:t>GWP: IPCC AR5 GWP100</w:t>
      </w:r>
    </w:p>
    <w:p>
      <w:pPr>
        <w:pStyle w:val="Heading1"/>
      </w:pPr>
      <w:r>
        <w:t>4. Known Caveats</w:t>
      </w:r>
    </w:p>
    <w:p>
      <w:pPr>
        <w:pStyle w:val="ListBullet"/>
      </w:pPr>
      <w:r>
        <w:t>National average masks route-length variation (short-haul vs long-haul domestic)</w:t>
      </w:r>
    </w:p>
    <w:p>
      <w:pPr>
        <w:pStyle w:val="ListBullet"/>
      </w:pPr>
      <w:r>
        <w:t>SAF supply chain for Australia is nascent; 100% SAF by 2050 is ambitious</w:t>
      </w:r>
    </w:p>
    <w:p>
      <w:pPr>
        <w:pStyle w:val="ListBullet"/>
      </w:pPr>
      <w:r>
        <w:t>Electric aviation limited to &lt;500 km routes; max share 20% reflects route constraints</w:t>
      </w:r>
    </w:p>
    <w:p>
      <w:pPr>
        <w:pStyle w:val="ListBullet"/>
      </w:pPr>
      <w:r>
        <w:t>NGGI Cat 1A3a total 6.1 MtCO2e assumes all domestic fuel combustion in scope</w:t>
      </w:r>
    </w:p>
    <w:p>
      <w:pPr>
        <w:pStyle w:val="Heading1"/>
      </w:pPr>
      <w:r>
        <w:t>5. Data Sources</w:t>
      </w:r>
    </w:p>
    <w:p>
      <w:pPr>
        <w:pStyle w:val="ListBullet"/>
      </w:pPr>
      <w:r>
        <w:t>S001 — AES 2023-24 Table F</w:t>
      </w:r>
    </w:p>
    <w:p>
      <w:pPr>
        <w:pStyle w:val="ListBullet"/>
      </w:pPr>
      <w:r>
        <w:t>S004 — National Inventory Report 2023</w:t>
      </w:r>
    </w:p>
    <w:p>
      <w:pPr>
        <w:pStyle w:val="ListBullet"/>
      </w:pPr>
      <w:r>
        <w:t>S012 — BITRE Aviation Statistical Report 2023-24</w:t>
      </w:r>
    </w:p>
    <w:p>
      <w:pPr>
        <w:pStyle w:val="ListBullet"/>
      </w:pPr>
      <w:r>
        <w:t>A002 — Cost definition: non-commodity conversion cost only</w:t>
      </w:r>
    </w:p>
    <w:p>
      <w:pPr>
        <w:pStyle w:val="ListBullet"/>
      </w:pPr>
      <w:r>
        <w:t>A003 — Scope 1 boundary: electricity-related emissions excluded</w:t>
      </w:r>
    </w:p>
    <w:p>
      <w:pPr>
        <w:pStyle w:val="ListBullet"/>
      </w:pPr>
      <w:r>
        <w:t>A022 — Feasibility bounds: indicative upper envelopes, not diffusion targets</w:t>
      </w:r>
    </w:p>
    <w:p>
      <w:pPr>
        <w:pStyle w:val="ListBullet"/>
      </w:pPr>
      <w:r>
        <w:t>A023 — Cost trajectories smoothed where evidence is sparse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