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Domestic Shipping — Phase 1 Calibration Report</w:t>
      </w:r>
    </w:p>
    <w:p>
      <w:pPr>
        <w:jc w:val="center"/>
      </w:pPr>
      <w:r>
        <w:rPr>
          <w:i/>
        </w:rPr>
        <w:t>Family: domestic_shipping   |   Generated: 2026-05-02   |   Unit: million_tkm</w:t>
      </w:r>
    </w:p>
    <w:p/>
    <w:p>
      <w:pPr>
        <w:pStyle w:val="Heading1"/>
      </w:pPr>
      <w:r>
        <w:t>1. Calibration Basis</w:t>
      </w:r>
    </w:p>
    <w:p>
      <w:r>
        <w:rPr>
          <w:b/>
        </w:rPr>
        <w:t xml:space="preserve">Demand anchor. </w:t>
      </w:r>
      <w:r>
        <w:t>The 2025 baseline demand is anchored at 30,000 million_tkm.</w:t>
      </w:r>
    </w:p>
    <w:p>
      <w:r>
        <w:rPr>
          <w:b/>
        </w:rPr>
        <w:t xml:space="preserve">Energy calibration. </w:t>
      </w:r>
      <w:r>
        <w:t>Total final energy at the 2025 anchor is 30.0 PJ (AES 2023-24). This gives an energy intensity of 1,000.0 GJ/million_tkm. Input fuels: marine_diesel_oil, heavy_fuel_oil.</w:t>
      </w:r>
    </w:p>
    <w:p>
      <w:r>
        <w:rPr>
          <w:b/>
        </w:rPr>
        <w:t xml:space="preserve">Emissions calibration. </w:t>
      </w:r>
      <w:r>
        <w:t>Scope 1 CO2e at the anchor equals 2.28 MtCO2e (Domestic navigation). This uses NGA 2024 emission factors and IPCC AR5 GWP100. Electricity-related emissions are excluded (scope 2 boundary, per A003).</w:t>
      </w:r>
    </w:p>
    <w:p>
      <w:pPr>
        <w:pStyle w:val="Heading1"/>
      </w:pPr>
      <w:r>
        <w:t>2. Technology States</w:t>
      </w:r>
    </w:p>
    <w:p>
      <w:pPr>
        <w:pStyle w:val="Heading2"/>
      </w:pPr>
      <w:r>
        <w:t>Conventional diesel</w:t>
      </w:r>
    </w:p>
    <w:p>
      <w:r>
        <w:t>State ID: domestic_shipping__conventional_diesel. Classification: incumbent. Max share range: 100% (2025) to 65% (2050). Cost: AUD 2.5/million_tkm (2024 real). Energy trajectory: MDO 650 → 580 + HFO 350 → 310 GJ/million_tkm.</w:t>
      </w:r>
    </w:p>
    <w:p>
      <w:pPr>
        <w:pStyle w:val="Heading2"/>
      </w:pPr>
      <w:r>
        <w:t>Battery-electric vessel</w:t>
      </w:r>
    </w:p>
    <w:p>
      <w:r>
        <w:t>State ID: domestic_shipping__battery_electric_vessel. Classification: progression. Max share range: 1% (2025) to 25% (2050). Cost: AUD 5.0/million_tkm (2024 real). Energy trajectory: 450 → 380 GJ electricity/million_tkm.</w:t>
      </w:r>
    </w:p>
    <w:p>
      <w:pPr>
        <w:pStyle w:val="Heading2"/>
      </w:pPr>
      <w:r>
        <w:t>Green ammonia vessel</w:t>
      </w:r>
    </w:p>
    <w:p>
      <w:r>
        <w:t>State ID: domestic_shipping__green_ammonia_vessel. Classification: progression. Max share range: 0% (2025) to 20% (2050). Cost: AUD 8.0/million_tkm (2024 real). Energy trajectory: 1200 → 1000 GJ ammonia/million_tkm.</w:t>
      </w:r>
    </w:p>
    <w:p>
      <w:pPr>
        <w:pStyle w:val="Heading1"/>
      </w:pPr>
      <w:r>
        <w:t>3. Key Assumptions</w:t>
      </w:r>
    </w:p>
    <w:p>
      <w:pPr>
        <w:pStyle w:val="ListBullet"/>
      </w:pPr>
      <w:r>
        <w:t>Demand anchor: 30,000 million_tkm = 30 billion tkm (BITRE coastal freight)</w:t>
      </w:r>
    </w:p>
    <w:p>
      <w:pPr>
        <w:pStyle w:val="ListBullet"/>
      </w:pPr>
      <w:r>
        <w:t>Energy intensity: 30 PJ / 30,000 million_tkm = 1,000 GJ/million_tkm</w:t>
      </w:r>
    </w:p>
    <w:p>
      <w:pPr>
        <w:pStyle w:val="ListBullet"/>
      </w:pPr>
      <w:r>
        <w:t>Fuel split: 65% MDO, 35% HFO (vessel type mix)</w:t>
      </w:r>
    </w:p>
    <w:p>
      <w:pPr>
        <w:pStyle w:val="ListBullet"/>
      </w:pPr>
      <w:r>
        <w:t>Green ammonia combustion CO2 = 0 (N2O slip excluded Phase 1)</w:t>
      </w:r>
    </w:p>
    <w:p>
      <w:pPr>
        <w:pStyle w:val="ListBullet"/>
      </w:pPr>
      <w:r>
        <w:t>Electric vessel scope 1 CO2 = 0; electricity scope 2 excluded per A003</w:t>
      </w:r>
    </w:p>
    <w:p>
      <w:pPr>
        <w:pStyle w:val="ListBullet"/>
      </w:pPr>
      <w:r>
        <w:t>GWP: IPCC AR5 GWP100</w:t>
      </w:r>
    </w:p>
    <w:p>
      <w:pPr>
        <w:pStyle w:val="Heading1"/>
      </w:pPr>
      <w:r>
        <w:t>4. Known Caveats</w:t>
      </w:r>
    </w:p>
    <w:p>
      <w:pPr>
        <w:pStyle w:val="ListBullet"/>
      </w:pPr>
      <w:r>
        <w:t>Coastal navigation is heterogeneous; 65/35 MDO/HFO split is an approximation</w:t>
      </w:r>
    </w:p>
    <w:p>
      <w:pPr>
        <w:pStyle w:val="ListBullet"/>
      </w:pPr>
      <w:r>
        <w:t>N2O emissions from ammonia combustion excluded in Phase 1 (add in Phase 2)</w:t>
      </w:r>
    </w:p>
    <w:p>
      <w:pPr>
        <w:pStyle w:val="ListBullet"/>
      </w:pPr>
      <w:r>
        <w:t>Battery-electric range limits applicability to &lt;100 km coastal routes</w:t>
      </w:r>
    </w:p>
    <w:p>
      <w:pPr>
        <w:pStyle w:val="ListBullet"/>
      </w:pPr>
      <w:r>
        <w:t>Green ammonia supply chain is nascent; max 20% by 2050 is exploratory</w:t>
      </w:r>
    </w:p>
    <w:p>
      <w:pPr>
        <w:pStyle w:val="Heading1"/>
      </w:pPr>
      <w:r>
        <w:t>5. Data Sources</w:t>
      </w:r>
    </w:p>
    <w:p>
      <w:pPr>
        <w:pStyle w:val="ListBullet"/>
      </w:pPr>
      <w:r>
        <w:t>S001 — AES 2023-24 Table F (ANZSIC 4800)</w:t>
      </w:r>
    </w:p>
    <w:p>
      <w:pPr>
        <w:pStyle w:val="ListBullet"/>
      </w:pPr>
      <w:r>
        <w:t>S004 — National Inventory Report 2023</w:t>
      </w:r>
    </w:p>
    <w:p>
      <w:pPr>
        <w:pStyle w:val="ListBullet"/>
      </w:pPr>
      <w:r>
        <w:t>S013 — BITRE coastal freight statistics</w:t>
      </w:r>
    </w:p>
    <w:p>
      <w:pPr>
        <w:pStyle w:val="ListBullet"/>
      </w:pPr>
      <w:r>
        <w:t>A002 — Cost definition: non-commodity conversion cost only</w:t>
      </w:r>
    </w:p>
    <w:p>
      <w:pPr>
        <w:pStyle w:val="ListBullet"/>
      </w:pPr>
      <w:r>
        <w:t>A003 — Scope 1 boundary: electricity-related emissions excluded</w:t>
      </w:r>
    </w:p>
    <w:p>
      <w:pPr>
        <w:pStyle w:val="ListBullet"/>
      </w:pPr>
      <w:r>
        <w:t>A022 — Feasibility bounds: indicative upper envelopes, not diffusion targets</w:t>
      </w:r>
    </w:p>
    <w:p>
      <w:pPr>
        <w:pStyle w:val="ListBullet"/>
      </w:pPr>
      <w:r>
        <w:t>A023 — Cost trajectories smoothed where evidence is sparse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