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International Aviation — Phase 1 Calibration Report</w:t>
      </w:r>
    </w:p>
    <w:p>
      <w:pPr>
        <w:jc w:val="center"/>
      </w:pPr>
      <w:r>
        <w:rPr>
          <w:i/>
        </w:rPr>
        <w:t>Family: international_aviation   |   Generated: 2026-05-02   |   Unit: million_pkm</w:t>
      </w:r>
    </w:p>
    <w:p/>
    <w:p>
      <w:pPr>
        <w:pStyle w:val="Heading1"/>
      </w:pPr>
      <w:r>
        <w:t>1. Calibration Basis</w:t>
      </w:r>
    </w:p>
    <w:p>
      <w:r>
        <w:rPr>
          <w:b/>
        </w:rPr>
        <w:t xml:space="preserve">Demand anchor. </w:t>
      </w:r>
      <w:r>
        <w:t>The 2025 baseline demand is anchored at 70,000 million_pkm.</w:t>
      </w:r>
    </w:p>
    <w:p>
      <w:r>
        <w:rPr>
          <w:b/>
        </w:rPr>
        <w:t xml:space="preserve">Energy calibration. </w:t>
      </w:r>
      <w:r>
        <w:t>Total final energy at the 2025 anchor is 165.0 PJ (AES 2023-24). This gives an energy intensity of 2,357.0 GJ/million_pkm. Input fuels: aviation_turbine_fuel.</w:t>
      </w:r>
    </w:p>
    <w:p>
      <w:r>
        <w:rPr>
          <w:b/>
        </w:rPr>
        <w:t xml:space="preserve">Emissions calibration. </w:t>
      </w:r>
      <w:r>
        <w:t>Scope 1 CO2e at the anchor equals 11.8 MtCO2e (International aviation bunkers). This uses NGA 2024 emission factors and IPCC AR5 GWP100. Electricity-related emissions are excluded (scope 2 boundary, per A003).</w:t>
      </w:r>
    </w:p>
    <w:p>
      <w:pPr>
        <w:pStyle w:val="Heading1"/>
      </w:pPr>
      <w:r>
        <w:t>2. Technology States</w:t>
      </w:r>
    </w:p>
    <w:p>
      <w:pPr>
        <w:pStyle w:val="Heading2"/>
      </w:pPr>
      <w:r>
        <w:t>Conventional jet</w:t>
      </w:r>
    </w:p>
    <w:p>
      <w:r>
        <w:t>State ID: international_aviation__conventional_jet. Classification: incumbent. Max share range: 100% (2025) to 70% (2050). Cost: AUD 0.04/million_pkm (2024 real). Energy trajectory: 2357.0 → 2100.0 GJ/million_pkm.</w:t>
      </w:r>
    </w:p>
    <w:p>
      <w:pPr>
        <w:pStyle w:val="Heading2"/>
      </w:pPr>
      <w:r>
        <w:t>SAF blend</w:t>
      </w:r>
    </w:p>
    <w:p>
      <w:r>
        <w:t>State ID: international_aviation__saf_blend. Classification: progression. Max share range: 0% (2025) to 50% (2050). Cost: AUD 0.07/million_pkm (2024 real). Energy trajectory: ATF 100%→20% + SAF 0%→80%.</w:t>
      </w:r>
    </w:p>
    <w:p>
      <w:pPr>
        <w:pStyle w:val="Heading2"/>
      </w:pPr>
      <w:r>
        <w:t>Hydrogen aircraft</w:t>
      </w:r>
    </w:p>
    <w:p>
      <w:r>
        <w:t>State ID: international_aviation__hydrogen_aircraft. Classification: progression. Max share range: 0% (2025) to 15% (2050). Cost: AUD 0.15/million_pkm (2024 real). Energy trajectory: 0 → 2200 → 2000 GJ H2/million_pkm (from 2035).</w:t>
      </w:r>
    </w:p>
    <w:p>
      <w:pPr>
        <w:pStyle w:val="Heading1"/>
      </w:pPr>
      <w:r>
        <w:t>3. Key Assumptions</w:t>
      </w:r>
    </w:p>
    <w:p>
      <w:pPr>
        <w:pStyle w:val="ListBullet"/>
      </w:pPr>
      <w:r>
        <w:t>Demand anchor: 70,000 million_pkm (BITRE international air travel 2023-24)</w:t>
      </w:r>
    </w:p>
    <w:p>
      <w:pPr>
        <w:pStyle w:val="ListBullet"/>
      </w:pPr>
      <w:r>
        <w:t>Energy intensity: 165 PJ / 70,000 million_pkm = 2,357 GJ/million_pkm</w:t>
      </w:r>
    </w:p>
    <w:p>
      <w:pPr>
        <w:pStyle w:val="ListBullet"/>
      </w:pPr>
      <w:r>
        <w:t>International aviation bunkers (fuel uplifted in Australia)</w:t>
      </w:r>
    </w:p>
    <w:p>
      <w:pPr>
        <w:pStyle w:val="ListBullet"/>
      </w:pPr>
      <w:r>
        <w:t>SAF biogenic CO2 excluded from scope 1 per NGA</w:t>
      </w:r>
    </w:p>
    <w:p>
      <w:pPr>
        <w:pStyle w:val="ListBullet"/>
      </w:pPr>
      <w:r>
        <w:t>Hydrogen aircraft available from 2035 only</w:t>
      </w:r>
    </w:p>
    <w:p>
      <w:pPr>
        <w:pStyle w:val="ListBullet"/>
      </w:pPr>
      <w:r>
        <w:t>GWP: IPCC AR5 GWP100</w:t>
      </w:r>
    </w:p>
    <w:p>
      <w:pPr>
        <w:pStyle w:val="Heading1"/>
      </w:pPr>
      <w:r>
        <w:t>4. Known Caveats</w:t>
      </w:r>
    </w:p>
    <w:p>
      <w:pPr>
        <w:pStyle w:val="ListBullet"/>
      </w:pPr>
      <w:r>
        <w:t>International bunker allocation has boundary uncertainty (vs ICAO fuel uplift data)</w:t>
      </w:r>
    </w:p>
    <w:p>
      <w:pPr>
        <w:pStyle w:val="ListBullet"/>
      </w:pPr>
      <w:r>
        <w:t>SAF penetration slower than domestic due to supply constraints for long-haul</w:t>
      </w:r>
    </w:p>
    <w:p>
      <w:pPr>
        <w:pStyle w:val="ListBullet"/>
      </w:pPr>
      <w:r>
        <w:t>H2 aircraft technology is highly uncertain; max 15% by 2050 is exploratory</w:t>
      </w:r>
    </w:p>
    <w:p>
      <w:pPr>
        <w:pStyle w:val="ListBullet"/>
      </w:pPr>
      <w:r>
        <w:t>Methane slip for LNG not modelled in Phase 1</w:t>
      </w:r>
    </w:p>
    <w:p>
      <w:pPr>
        <w:pStyle w:val="Heading1"/>
      </w:pPr>
      <w:r>
        <w:t>5. Data Sources</w:t>
      </w:r>
    </w:p>
    <w:p>
      <w:pPr>
        <w:pStyle w:val="ListBullet"/>
      </w:pPr>
      <w:r>
        <w:t>S001 — AES 2023-24 international aviation bunkers</w:t>
      </w:r>
    </w:p>
    <w:p>
      <w:pPr>
        <w:pStyle w:val="ListBullet"/>
      </w:pPr>
      <w:r>
        <w:t>S004 — National Inventory Report 2023</w:t>
      </w:r>
    </w:p>
    <w:p>
      <w:pPr>
        <w:pStyle w:val="ListBullet"/>
      </w:pPr>
      <w:r>
        <w:t>S012 — BITRE international air travel 2023-24</w:t>
      </w:r>
    </w:p>
    <w:p>
      <w:pPr>
        <w:pStyle w:val="ListBullet"/>
      </w:pPr>
      <w:r>
        <w:t>A002 — Cost definition: non-commodity conversion cost only</w:t>
      </w:r>
    </w:p>
    <w:p>
      <w:pPr>
        <w:pStyle w:val="ListBullet"/>
      </w:pPr>
      <w:r>
        <w:t>A003 — Scope 1 boundary: electricity-related emissions excluded</w:t>
      </w:r>
    </w:p>
    <w:p>
      <w:pPr>
        <w:pStyle w:val="ListBullet"/>
      </w:pPr>
      <w:r>
        <w:t>A022 — Feasibility bounds: indicative upper envelopes, not diffusion targets</w:t>
      </w:r>
    </w:p>
    <w:p>
      <w:pPr>
        <w:pStyle w:val="ListBullet"/>
      </w:pPr>
      <w:r>
        <w:t>A023 — Cost trajectories smoothed where evidence is sparse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