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International Shipping — Phase 1 Calibration Report</w:t>
      </w:r>
    </w:p>
    <w:p>
      <w:pPr>
        <w:jc w:val="center"/>
      </w:pPr>
      <w:r>
        <w:rPr>
          <w:i/>
        </w:rPr>
        <w:t>Family: international_shipping   |   Generated: 2026-05-02   |   Unit: million_tkm</w:t>
      </w:r>
    </w:p>
    <w:p/>
    <w:p>
      <w:pPr>
        <w:pStyle w:val="Heading1"/>
      </w:pPr>
      <w:r>
        <w:t>1. Calibration Basis</w:t>
      </w:r>
    </w:p>
    <w:p>
      <w:r>
        <w:rPr>
          <w:b/>
        </w:rPr>
        <w:t xml:space="preserve">Demand anchor. </w:t>
      </w:r>
      <w:r>
        <w:t>The 2025 baseline demand is anchored at 200,000 million_tkm.</w:t>
      </w:r>
    </w:p>
    <w:p>
      <w:r>
        <w:rPr>
          <w:b/>
        </w:rPr>
        <w:t xml:space="preserve">Energy calibration. </w:t>
      </w:r>
      <w:r>
        <w:t>Total final energy at the 2025 anchor is 65.0 PJ (AES 2023-24). This gives an energy intensity of 325.0 GJ/million_tkm. Input fuels: heavy_fuel_oil, marine_diesel_oil.</w:t>
      </w:r>
    </w:p>
    <w:p>
      <w:r>
        <w:rPr>
          <w:b/>
        </w:rPr>
        <w:t xml:space="preserve">Emissions calibration. </w:t>
      </w:r>
      <w:r>
        <w:t>Scope 1 CO2e at the anchor equals 5.0 MtCO2e (International maritime bunkers). This uses NGA 2024 emission factors and IPCC AR5 GWP100. Electricity-related emissions are excluded (scope 2 boundary, per A003).</w:t>
      </w:r>
    </w:p>
    <w:p>
      <w:pPr>
        <w:pStyle w:val="Heading1"/>
      </w:pPr>
      <w:r>
        <w:t>2. Technology States</w:t>
      </w:r>
    </w:p>
    <w:p>
      <w:pPr>
        <w:pStyle w:val="Heading2"/>
      </w:pPr>
      <w:r>
        <w:t>Conventional HFO/MDO</w:t>
      </w:r>
    </w:p>
    <w:p>
      <w:r>
        <w:t>State ID: international_shipping__conventional_hfo. Classification: incumbent. Max share range: 100% (2025) to 55% (2050). Cost: AUD 1.5/million_tkm (2024 real). Energy trajectory: HFO 195 → 165 + MDO 130 → 110 GJ/million_tkm.</w:t>
      </w:r>
    </w:p>
    <w:p>
      <w:pPr>
        <w:pStyle w:val="Heading2"/>
      </w:pPr>
      <w:r>
        <w:t>LNG transition</w:t>
      </w:r>
    </w:p>
    <w:p>
      <w:r>
        <w:t>State ID: international_shipping__lng_transition. Classification: progression. Max share range: 1% (2025) to 30% (2050). Cost: AUD 1.8/million_tkm (2024 real). Energy trajectory: 350 → 290 GJ LNG/million_tkm.</w:t>
      </w:r>
    </w:p>
    <w:p>
      <w:pPr>
        <w:pStyle w:val="Heading2"/>
      </w:pPr>
      <w:r>
        <w:t>Zero-emission fuel (ammonia)</w:t>
      </w:r>
    </w:p>
    <w:p>
      <w:r>
        <w:t>State ID: international_shipping__zero_emission_fuel. Classification: progression. Max share range: 0% (2025) to 25% (2050). Cost: AUD 4.0/million_tkm (2024 real). Energy trajectory: 0 → 400 → 320 GJ ammonia/million_tkm (from 2030).</w:t>
      </w:r>
    </w:p>
    <w:p>
      <w:pPr>
        <w:pStyle w:val="Heading1"/>
      </w:pPr>
      <w:r>
        <w:t>3. Key Assumptions</w:t>
      </w:r>
    </w:p>
    <w:p>
      <w:pPr>
        <w:pStyle w:val="ListBullet"/>
      </w:pPr>
      <w:r>
        <w:t>Service volume 200,000 million_tkm is estimated (no direct Australian statistic)</w:t>
      </w:r>
    </w:p>
    <w:p>
      <w:pPr>
        <w:pStyle w:val="ListBullet"/>
      </w:pPr>
      <w:r>
        <w:t>Energy intensity: 65 PJ / 200,000 million_tkm = 325 GJ/million_tkm</w:t>
      </w:r>
    </w:p>
    <w:p>
      <w:pPr>
        <w:pStyle w:val="ListBullet"/>
      </w:pPr>
      <w:r>
        <w:t>Fuel split: 60% HFO, 40% MDO for international large vessels</w:t>
      </w:r>
    </w:p>
    <w:p>
      <w:pPr>
        <w:pStyle w:val="ListBullet"/>
      </w:pPr>
      <w:r>
        <w:t>Zero-emission fuel state available from 2030 only</w:t>
      </w:r>
    </w:p>
    <w:p>
      <w:pPr>
        <w:pStyle w:val="ListBullet"/>
      </w:pPr>
      <w:r>
        <w:t>Methane slip from LNG excluded in Phase 1</w:t>
      </w:r>
    </w:p>
    <w:p>
      <w:pPr>
        <w:pStyle w:val="ListBullet"/>
      </w:pPr>
      <w:r>
        <w:t>GWP: IPCC AR5 GWP100</w:t>
      </w:r>
    </w:p>
    <w:p>
      <w:pPr>
        <w:pStyle w:val="Heading1"/>
      </w:pPr>
      <w:r>
        <w:t>4. Known Caveats</w:t>
      </w:r>
    </w:p>
    <w:p>
      <w:pPr>
        <w:pStyle w:val="ListBullet"/>
      </w:pPr>
      <w:r>
        <w:t>Service volume (200,000 million_tkm) is estimated; cross-check with IMO GHG data in Phase 2</w:t>
      </w:r>
    </w:p>
    <w:p>
      <w:pPr>
        <w:pStyle w:val="ListBullet"/>
      </w:pPr>
      <w:r>
        <w:t>LNG methane slip can increase net GHG relative to HFO; excluded Phase 1</w:t>
      </w:r>
    </w:p>
    <w:p>
      <w:pPr>
        <w:pStyle w:val="ListBullet"/>
      </w:pPr>
      <w:r>
        <w:t>N2O from ammonia combustion excluded Phase 1</w:t>
      </w:r>
    </w:p>
    <w:p>
      <w:pPr>
        <w:pStyle w:val="ListBullet"/>
      </w:pPr>
      <w:r>
        <w:t>International bunker data has flag/uplift-location boundary uncertainty</w:t>
      </w:r>
    </w:p>
    <w:p>
      <w:pPr>
        <w:pStyle w:val="Heading1"/>
      </w:pPr>
      <w:r>
        <w:t>5. Data Sources</w:t>
      </w:r>
    </w:p>
    <w:p>
      <w:pPr>
        <w:pStyle w:val="ListBullet"/>
      </w:pPr>
      <w:r>
        <w:t>S001 — AES 2023-24 international maritime bunkers</w:t>
      </w:r>
    </w:p>
    <w:p>
      <w:pPr>
        <w:pStyle w:val="ListBullet"/>
      </w:pPr>
      <w:r>
        <w:t>S004 — National Inventory Report 2023</w:t>
      </w:r>
    </w:p>
    <w:p>
      <w:pPr>
        <w:pStyle w:val="ListBullet"/>
      </w:pPr>
      <w:r>
        <w:t>S013 — BITRE freight statistics</w:t>
      </w:r>
    </w:p>
    <w:p>
      <w:pPr>
        <w:pStyle w:val="ListBullet"/>
      </w:pPr>
      <w:r>
        <w:t>A002 — Cost definition: non-commodity conversion cost only</w:t>
      </w:r>
    </w:p>
    <w:p>
      <w:pPr>
        <w:pStyle w:val="ListBullet"/>
      </w:pPr>
      <w:r>
        <w:t>A003 — Scope 1 boundary: electricity-related emissions excluded</w:t>
      </w:r>
    </w:p>
    <w:p>
      <w:pPr>
        <w:pStyle w:val="ListBullet"/>
      </w:pPr>
      <w:r>
        <w:t>A022 — Feasibility bounds: indicative upper envelopes, not diffusion targets</w:t>
      </w:r>
    </w:p>
    <w:p>
      <w:pPr>
        <w:pStyle w:val="ListBullet"/>
      </w:pPr>
      <w:r>
        <w:t>A023 — Cost trajectories smoothed where evidence is sparse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