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Rail Freight — Phase 1 Calibration Report</w:t>
      </w:r>
    </w:p>
    <w:p>
      <w:pPr>
        <w:jc w:val="center"/>
      </w:pPr>
      <w:r>
        <w:rPr>
          <w:i/>
        </w:rPr>
        <w:t>Family: rail_freight   |   Generated: 2026-05-02   |   Unit: billion_tkm</w:t>
      </w:r>
    </w:p>
    <w:p/>
    <w:p>
      <w:pPr>
        <w:pStyle w:val="Heading1"/>
      </w:pPr>
      <w:r>
        <w:t>1. Calibration Basis</w:t>
      </w:r>
    </w:p>
    <w:p>
      <w:r>
        <w:rPr>
          <w:b/>
        </w:rPr>
        <w:t xml:space="preserve">Demand anchor. </w:t>
      </w:r>
      <w:r>
        <w:t>The 2025 baseline demand is anchored at 700 billion_tkm.</w:t>
      </w:r>
    </w:p>
    <w:p>
      <w:r>
        <w:rPr>
          <w:b/>
        </w:rPr>
        <w:t xml:space="preserve">Energy calibration. </w:t>
      </w:r>
      <w:r>
        <w:t>Total final energy at the 2025 anchor is 25.0 PJ (AES 2023-24). This gives an energy intensity of 35,715.0 GJ/billion_tkm. Input fuels: diesel, electricity.</w:t>
      </w:r>
    </w:p>
    <w:p>
      <w:r>
        <w:rPr>
          <w:b/>
        </w:rPr>
        <w:t xml:space="preserve">Emissions calibration. </w:t>
      </w:r>
      <w:r>
        <w:t>Scope 1 CO2e at the anchor equals 1.62 MtCO2e (Rail freight scope 1 diesel). This uses NGA 2024 emission factors and IPCC AR5 GWP100. Electricity-related emissions are excluded (scope 2 boundary, per A003).</w:t>
      </w:r>
    </w:p>
    <w:p>
      <w:pPr>
        <w:pStyle w:val="Heading1"/>
      </w:pPr>
      <w:r>
        <w:t>2. Technology States</w:t>
      </w:r>
    </w:p>
    <w:p>
      <w:pPr>
        <w:pStyle w:val="Heading2"/>
      </w:pPr>
      <w:r>
        <w:t>Diesel-electric locomotive</w:t>
      </w:r>
    </w:p>
    <w:p>
      <w:r>
        <w:t>State ID: rail_freight__diesel_electric. Classification: incumbent. Max share range: 100% (2025) to 60% (2050). Cost: AUD 0.015/billion_tkm (2024 real). Energy trajectory: Diesel 33929 → 28500 + Elec 1786 → 1500 GJ/billion_tkm.</w:t>
      </w:r>
    </w:p>
    <w:p>
      <w:pPr>
        <w:pStyle w:val="Heading2"/>
      </w:pPr>
      <w:r>
        <w:t>Overhead electrification</w:t>
      </w:r>
    </w:p>
    <w:p>
      <w:r>
        <w:t>State ID: rail_freight__overhead_electrification. Classification: progression. Max share range: 1% (2025) to 30% (2050). Cost: AUD 0.02/billion_tkm (2024 real). Energy trajectory: 25000 → 20000 GJ electricity/billion_tkm.</w:t>
      </w:r>
    </w:p>
    <w:p>
      <w:pPr>
        <w:pStyle w:val="Heading2"/>
      </w:pPr>
      <w:r>
        <w:t>Hydrogen locomotive</w:t>
      </w:r>
    </w:p>
    <w:p>
      <w:r>
        <w:t>State ID: rail_freight__hydrogen_locomotive. Classification: progression. Max share range: 0% (2025) to 20% (2050). Cost: AUD 0.04/billion_tkm (2024 real). Energy trajectory: 0 → 40000 → 30000 GJ H2/billion_tkm (from 2030).</w:t>
      </w:r>
    </w:p>
    <w:p>
      <w:pPr>
        <w:pStyle w:val="Heading1"/>
      </w:pPr>
      <w:r>
        <w:t>3. Key Assumptions</w:t>
      </w:r>
    </w:p>
    <w:p>
      <w:pPr>
        <w:pStyle w:val="ListBullet"/>
      </w:pPr>
      <w:r>
        <w:t>Demand anchor: 700 billion_tkm (BITRE freight linehaul; mainly iron ore and coal)</w:t>
      </w:r>
    </w:p>
    <w:p>
      <w:pPr>
        <w:pStyle w:val="ListBullet"/>
      </w:pPr>
      <w:r>
        <w:t>AES rail freight energy estimated at ~25 PJ (total rail ~33 PJ; freight share ~76%)</w:t>
      </w:r>
    </w:p>
    <w:p>
      <w:pPr>
        <w:pStyle w:val="ListBullet"/>
      </w:pPr>
      <w:r>
        <w:t>95% diesel, 5% electricity (electrified corridor fraction)</w:t>
      </w:r>
    </w:p>
    <w:p>
      <w:pPr>
        <w:pStyle w:val="ListBullet"/>
      </w:pPr>
      <w:r>
        <w:t>Scope 1 CO2e from diesel only; electricity scope 2 excluded per A003</w:t>
      </w:r>
    </w:p>
    <w:p>
      <w:pPr>
        <w:pStyle w:val="ListBullet"/>
      </w:pPr>
      <w:r>
        <w:t>Hydrogen locomotives available from 2030 only</w:t>
      </w:r>
    </w:p>
    <w:p>
      <w:pPr>
        <w:pStyle w:val="ListBullet"/>
      </w:pPr>
      <w:r>
        <w:t>GWP: IPCC AR5 GWP100</w:t>
      </w:r>
    </w:p>
    <w:p>
      <w:pPr>
        <w:pStyle w:val="Heading1"/>
      </w:pPr>
      <w:r>
        <w:t>4. Known Caveats</w:t>
      </w:r>
    </w:p>
    <w:p>
      <w:pPr>
        <w:pStyle w:val="ListBullet"/>
      </w:pPr>
      <w:r>
        <w:t>AES does not separately report freight vs passenger rail; 25 PJ is an estimate</w:t>
      </w:r>
    </w:p>
    <w:p>
      <w:pPr>
        <w:pStyle w:val="ListBullet"/>
      </w:pPr>
      <w:r>
        <w:t>Heavy-haul iron ore (Pilbara private rail) dominates volumes but is separately operated</w:t>
      </w:r>
    </w:p>
    <w:p>
      <w:pPr>
        <w:pStyle w:val="ListBullet"/>
      </w:pPr>
      <w:r>
        <w:t>OHL electrification is very capital-intensive (AUD 1-3M/km); limited to high-density corridors</w:t>
      </w:r>
    </w:p>
    <w:p>
      <w:pPr>
        <w:pStyle w:val="ListBullet"/>
      </w:pPr>
      <w:r>
        <w:t>H2 locomotive technology is at demonstration scale; max 20% by 2050 is exploratory</w:t>
      </w:r>
    </w:p>
    <w:p>
      <w:pPr>
        <w:pStyle w:val="Heading1"/>
      </w:pPr>
      <w:r>
        <w:t>5. Data Sources</w:t>
      </w:r>
    </w:p>
    <w:p>
      <w:pPr>
        <w:pStyle w:val="ListBullet"/>
      </w:pPr>
      <w:r>
        <w:t>S001 — AES 2023-24 estimated rail freight share</w:t>
      </w:r>
    </w:p>
    <w:p>
      <w:pPr>
        <w:pStyle w:val="ListBullet"/>
      </w:pPr>
      <w:r>
        <w:t>S004 — National Inventory Report 2023</w:t>
      </w:r>
    </w:p>
    <w:p>
      <w:pPr>
        <w:pStyle w:val="ListBullet"/>
      </w:pPr>
      <w:r>
        <w:t>S013 — BITRE freight linehaul statistics</w:t>
      </w:r>
    </w:p>
    <w:p>
      <w:pPr>
        <w:pStyle w:val="ListBullet"/>
      </w:pPr>
      <w:r>
        <w:t>A002 — Cost definition: non-commodity conversion cost only</w:t>
      </w:r>
    </w:p>
    <w:p>
      <w:pPr>
        <w:pStyle w:val="ListBullet"/>
      </w:pPr>
      <w:r>
        <w:t>A003 — Scope 1 boundary: electricity-related emissions excluded</w:t>
      </w:r>
    </w:p>
    <w:p>
      <w:pPr>
        <w:pStyle w:val="ListBullet"/>
      </w:pPr>
      <w:r>
        <w:t>A022 — Feasibility bounds: indicative upper envelopes, not diffusion targets</w:t>
      </w:r>
    </w:p>
    <w:p>
      <w:pPr>
        <w:pStyle w:val="ListBullet"/>
      </w:pPr>
      <w:r>
        <w:t>A023 — Cost trajectories smoothed where evidence is sparse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